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170" w:rsidRDefault="000B4170" w:rsidP="000B4170">
      <w:pPr>
        <w:jc w:val="both"/>
      </w:pPr>
      <w:r>
        <w:t xml:space="preserve">Každá vláda, každý </w:t>
      </w:r>
      <w:proofErr w:type="spellStart"/>
      <w:r>
        <w:t>manager</w:t>
      </w:r>
      <w:proofErr w:type="spellEnd"/>
      <w:r>
        <w:t xml:space="preserve"> výzkumu se rádi zaklíná excelencí ve výzkumu. Přesto se ukazuje, že </w:t>
      </w:r>
      <w:r w:rsidR="00F13325">
        <w:t>vědci v některých institucích často publikují v </w:t>
      </w:r>
      <w:proofErr w:type="gramStart"/>
      <w:r w:rsidR="00F13325">
        <w:t>časopisech jejichž</w:t>
      </w:r>
      <w:proofErr w:type="gramEnd"/>
      <w:r w:rsidR="00F13325">
        <w:t xml:space="preserve"> vědecká excelence je snadno zpochybnitelná. Tyto „špatné“ výsledky ale následně vrhají špatné světlo na výzkumníky, kteří se upřímně snaží o kvalitní výzkum a kterým se to i daří. </w:t>
      </w:r>
    </w:p>
    <w:p w:rsidR="00715983" w:rsidRDefault="00F13325" w:rsidP="000B4170">
      <w:pPr>
        <w:jc w:val="both"/>
      </w:pPr>
      <w:r>
        <w:t>Věříme, že kultura vědecké práce se nejlépe dá ovlivnit na jednotlivých pracovištích. Pracoviště, které svým pracovníkům dá podmínky</w:t>
      </w:r>
      <w:r w:rsidR="001B1657">
        <w:t xml:space="preserve"> pro vytváření skutečně světově konkurenceschopných výsledků má šanci toho dosáhnout. Do toho je ale zapotřebí věnovat energii a čas.</w:t>
      </w:r>
      <w:r w:rsidR="003E5C00">
        <w:t xml:space="preserve"> Výzkumné organizace v Česku ale objevily jinou strategii – některé z nich totiž na </w:t>
      </w:r>
      <w:r w:rsidR="009843B7">
        <w:t>špičkový</w:t>
      </w:r>
      <w:r w:rsidR="003E5C00">
        <w:t xml:space="preserve"> mezinárodní výzkum </w:t>
      </w:r>
      <w:r w:rsidR="009843B7">
        <w:t xml:space="preserve">do značné míry rezignovaly. Místo toho se prostředky na </w:t>
      </w:r>
      <w:proofErr w:type="spellStart"/>
      <w:r w:rsidR="009843B7">
        <w:t>VaV</w:t>
      </w:r>
      <w:proofErr w:type="spellEnd"/>
      <w:r w:rsidR="009843B7">
        <w:t xml:space="preserve"> snaží získat pomocí publikací na okraji vědeckého zájmu – v časopisech vyloženě predátorských, nebo přinejlepším pouze lokálního významu.</w:t>
      </w:r>
      <w:r w:rsidR="00F64D87">
        <w:t xml:space="preserve"> (viz předchozí studie na tato témata). </w:t>
      </w:r>
      <w:r w:rsidR="00AA0CE2">
        <w:t>Kvalita vědy na různých pracovištích se liší – cílem této studie je tyto rozdíly ukázat přímo na úrovni jednotlivých pracovišť.</w:t>
      </w:r>
    </w:p>
    <w:p w:rsidR="00AA0CE2" w:rsidRDefault="00F64D87" w:rsidP="000B4170">
      <w:pPr>
        <w:tabs>
          <w:tab w:val="center" w:pos="4680"/>
        </w:tabs>
        <w:jc w:val="both"/>
      </w:pPr>
      <w:r>
        <w:t xml:space="preserve">Studie čerpá z </w:t>
      </w:r>
      <w:r w:rsidR="00AA0CE2">
        <w:t xml:space="preserve">dat Hodnocení výzkumu z roku 2016. To obsahuje veškeré výsledky, které instituce přihlásily do systému RIV v období 2011 – 2015. </w:t>
      </w:r>
      <w:r>
        <w:t>N</w:t>
      </w:r>
      <w:r w:rsidR="000B4170">
        <w:t xml:space="preserve">a jejich základě </w:t>
      </w:r>
      <w:r>
        <w:t xml:space="preserve">probíhá rozdělování peněz na </w:t>
      </w:r>
      <w:proofErr w:type="gramStart"/>
      <w:r>
        <w:t>výzkum a tudíž</w:t>
      </w:r>
      <w:proofErr w:type="gramEnd"/>
      <w:r>
        <w:t xml:space="preserve"> by měla být zdrojem informací o výzkumu probíhajících na jednotlivých pracovištích. </w:t>
      </w:r>
    </w:p>
    <w:p w:rsidR="00F13325" w:rsidRDefault="00715983" w:rsidP="000B4170">
      <w:pPr>
        <w:jc w:val="both"/>
      </w:pPr>
      <w:r>
        <w:t xml:space="preserve">Studie </w:t>
      </w:r>
      <w:r w:rsidR="000B4170">
        <w:t>vychází z</w:t>
      </w:r>
      <w:r w:rsidR="00F13325">
        <w:t> předpokladu, že skutečně kvalitní v</w:t>
      </w:r>
      <w:r w:rsidR="00EE2FE0">
        <w:t>ýzkum je výsostně mezinárodní. Zároveň si výzkumníci svých výstupů považují a nebudou ho chtít vydávat v časopise, který nemá</w:t>
      </w:r>
      <w:r w:rsidR="00F64D87">
        <w:t xml:space="preserve"> v rámci mezinárodní akademické obce dobrou reputaci. </w:t>
      </w:r>
      <w:r w:rsidR="00EE2FE0">
        <w:t xml:space="preserve"> </w:t>
      </w:r>
      <w:r w:rsidR="00F13325">
        <w:t>Vychází z principů stanovených ve třech předchozích studiích, koho to zaj</w:t>
      </w:r>
      <w:r w:rsidR="00F64D87">
        <w:t>ímá, může se do nich podívat.</w:t>
      </w:r>
    </w:p>
    <w:p w:rsidR="00F13325" w:rsidRPr="009843B7" w:rsidRDefault="00F921B8" w:rsidP="000B4170">
      <w:pPr>
        <w:jc w:val="both"/>
        <w:rPr>
          <w:b/>
        </w:rPr>
      </w:pPr>
      <w:r w:rsidRPr="009843B7">
        <w:rPr>
          <w:b/>
        </w:rPr>
        <w:t>Data:</w:t>
      </w:r>
      <w:r w:rsidR="00E5316E" w:rsidRPr="009843B7">
        <w:rPr>
          <w:b/>
        </w:rPr>
        <w:t xml:space="preserve"> </w:t>
      </w:r>
    </w:p>
    <w:p w:rsidR="00E5316E" w:rsidRDefault="00612E98" w:rsidP="000B4170">
      <w:pPr>
        <w:jc w:val="both"/>
      </w:pPr>
      <w:r>
        <w:t>V</w:t>
      </w:r>
      <w:r w:rsidR="00CE7BF2">
        <w:t>ycházíme z RIV, tedy hodnocení výzkumu</w:t>
      </w:r>
    </w:p>
    <w:p w:rsidR="00CE7BF2" w:rsidRDefault="00CE7BF2" w:rsidP="000B4170">
      <w:pPr>
        <w:jc w:val="both"/>
      </w:pPr>
      <w:r>
        <w:t xml:space="preserve">Zařazeny jsou pouze výsledky typu </w:t>
      </w:r>
      <w:proofErr w:type="spellStart"/>
      <w:r>
        <w:t>Jsc</w:t>
      </w:r>
      <w:proofErr w:type="spellEnd"/>
      <w:r>
        <w:t xml:space="preserve"> a </w:t>
      </w:r>
      <w:proofErr w:type="spellStart"/>
      <w:r>
        <w:t>JImp</w:t>
      </w:r>
      <w:proofErr w:type="spellEnd"/>
      <w:r>
        <w:t>, které šly do časopisů zapsaných do Scopus Source List. Navíc jsme přidali několik časopisů, které ve Scopus Source List zapsány nejsou, ale prokazatelně se v</w:t>
      </w:r>
      <w:r w:rsidR="00DA134A">
        <w:t xml:space="preserve"> </w:t>
      </w:r>
      <w:r>
        <w:t>Scopusu nacházejí</w:t>
      </w:r>
      <w:r w:rsidR="00F64D87">
        <w:t>, protože jsme je předtím identifikovaly jako predátorské</w:t>
      </w:r>
      <w:r>
        <w:t>. Tyto jsou zapsány v XLS SourceIDs.xlsx.</w:t>
      </w:r>
    </w:p>
    <w:p w:rsidR="00CE7BF2" w:rsidRDefault="00CE7BF2" w:rsidP="000B4170">
      <w:pPr>
        <w:jc w:val="both"/>
      </w:pPr>
      <w:r>
        <w:t>Abychom se vyhnul</w:t>
      </w:r>
      <w:r w:rsidR="00DA134A">
        <w:t>i</w:t>
      </w:r>
      <w:r>
        <w:t xml:space="preserve"> soudům nad titěrnými časopisy, které </w:t>
      </w:r>
      <w:proofErr w:type="gramStart"/>
      <w:r>
        <w:t>vydávají</w:t>
      </w:r>
      <w:proofErr w:type="gramEnd"/>
      <w:r>
        <w:t xml:space="preserve"> velmi málo článků z dostupných dat jsme </w:t>
      </w:r>
      <w:proofErr w:type="gramStart"/>
      <w:r>
        <w:t>vyřadili</w:t>
      </w:r>
      <w:proofErr w:type="gramEnd"/>
      <w:r>
        <w:t xml:space="preserve"> všechny články směřující do časopisů s méně než 10 výsledky</w:t>
      </w:r>
      <w:r w:rsidR="00DA134A">
        <w:t xml:space="preserve">, což za 4 roky je skutečně minimum. </w:t>
      </w:r>
    </w:p>
    <w:p w:rsidR="00CE7BF2" w:rsidRDefault="00F64D87" w:rsidP="000B4170">
      <w:pPr>
        <w:jc w:val="both"/>
      </w:pPr>
      <w:r>
        <w:t xml:space="preserve">Pro sestavení indikátorů byly vytvořeny </w:t>
      </w:r>
      <w:r w:rsidR="00DA134A">
        <w:t>seznamy</w:t>
      </w:r>
      <w:r w:rsidR="000E28CA">
        <w:t xml:space="preserve"> ISSN</w:t>
      </w:r>
      <w:r w:rsidR="00DA134A">
        <w:t xml:space="preserve"> „podezřelých“ časopisů – jeden </w:t>
      </w:r>
      <w:r w:rsidR="00135670">
        <w:t>za</w:t>
      </w:r>
      <w:r w:rsidR="00DA134A">
        <w:t xml:space="preserve">hrnuje časopisy, které J. </w:t>
      </w:r>
      <w:proofErr w:type="spellStart"/>
      <w:r w:rsidR="00DA134A">
        <w:t>Beall</w:t>
      </w:r>
      <w:proofErr w:type="spellEnd"/>
      <w:r w:rsidR="00DA134A">
        <w:t xml:space="preserve"> nařkl z predátorských praktik </w:t>
      </w:r>
      <w:r>
        <w:t xml:space="preserve"> - seznam tzv. predátorských časopisů, který byl použit pro studii Predátorské časopisy ve Scopusu</w:t>
      </w:r>
      <w:r w:rsidR="00DA134A">
        <w:t xml:space="preserve">(nicméně jsme </w:t>
      </w:r>
      <w:r w:rsidR="00612E98">
        <w:t>nezahrnuli</w:t>
      </w:r>
      <w:r w:rsidR="00DA134A">
        <w:t xml:space="preserve"> časopisy </w:t>
      </w:r>
      <w:r w:rsidR="000E28CA">
        <w:t xml:space="preserve">vydavatelství </w:t>
      </w:r>
      <w:proofErr w:type="spellStart"/>
      <w:r w:rsidR="00DA134A">
        <w:t>Frontiers</w:t>
      </w:r>
      <w:proofErr w:type="spellEnd"/>
      <w:r w:rsidR="000E28CA">
        <w:t xml:space="preserve"> </w:t>
      </w:r>
      <w:proofErr w:type="spellStart"/>
      <w:r w:rsidR="000E28CA">
        <w:t>Research</w:t>
      </w:r>
      <w:proofErr w:type="spellEnd"/>
      <w:r w:rsidR="000E28CA">
        <w:t xml:space="preserve"> </w:t>
      </w:r>
      <w:proofErr w:type="spellStart"/>
      <w:r w:rsidR="000E28CA">
        <w:t>Foundation</w:t>
      </w:r>
      <w:proofErr w:type="spellEnd"/>
      <w:r w:rsidR="00DA134A">
        <w:t>, z důvodů, které jsou podrobně rozepsány v</w:t>
      </w:r>
      <w:r w:rsidR="00135670">
        <w:t>e</w:t>
      </w:r>
      <w:r w:rsidR="00DA134A">
        <w:t xml:space="preserve"> studii</w:t>
      </w:r>
      <w:r w:rsidR="00135670">
        <w:t xml:space="preserve"> Pod pokličkou</w:t>
      </w:r>
      <w:r w:rsidR="00DA134A">
        <w:t>).</w:t>
      </w:r>
    </w:p>
    <w:p w:rsidR="00135670" w:rsidRDefault="00135670" w:rsidP="000B4170">
      <w:pPr>
        <w:jc w:val="both"/>
      </w:pPr>
      <w:r>
        <w:t xml:space="preserve">Ten druhý seznam obsahuje místní </w:t>
      </w:r>
      <w:r w:rsidR="000E28CA">
        <w:t xml:space="preserve">česko-slovenské </w:t>
      </w:r>
      <w:r>
        <w:t xml:space="preserve">časopisy. Ty jsou definovány jako časopisy, u kterých alespoň třetina výsledků typu </w:t>
      </w:r>
      <w:proofErr w:type="spellStart"/>
      <w:r>
        <w:t>Articles</w:t>
      </w:r>
      <w:proofErr w:type="spellEnd"/>
      <w:r>
        <w:t xml:space="preserve"> ve sledovaném období (tj. 2011-2015) má alespoň jednoho z autorů České republiky nebo ze Slovenska. Máme drobný metodologický problém – články s jedním autorem z </w:t>
      </w:r>
      <w:r w:rsidR="00F64D87">
        <w:t>č</w:t>
      </w:r>
      <w:r>
        <w:t xml:space="preserve">eské instituce a druhým ze </w:t>
      </w:r>
      <w:r w:rsidR="00F64D87">
        <w:t>s</w:t>
      </w:r>
      <w:r>
        <w:t>lovenské jsou započítány dvakrát.</w:t>
      </w:r>
    </w:p>
    <w:p w:rsidR="00135670" w:rsidRDefault="00135670" w:rsidP="000B4170">
      <w:pPr>
        <w:jc w:val="both"/>
      </w:pPr>
      <w:r>
        <w:lastRenderedPageBreak/>
        <w:t xml:space="preserve">Také jsme zvažovali třetí kategorii </w:t>
      </w:r>
      <w:r w:rsidR="00315D5E">
        <w:t>„Východních časopisů“ – zvažovali jsme čtyři způsoby výpočty „</w:t>
      </w:r>
      <w:proofErr w:type="spellStart"/>
      <w:r w:rsidR="00315D5E">
        <w:t>Výchdonosti</w:t>
      </w:r>
      <w:proofErr w:type="spellEnd"/>
      <w:r w:rsidR="00315D5E">
        <w:t xml:space="preserve">“ – narážíme na problém dvojího započítávání. </w:t>
      </w:r>
    </w:p>
    <w:p w:rsidR="00315D5E" w:rsidRDefault="00315D5E" w:rsidP="00315D5E">
      <w:pPr>
        <w:pStyle w:val="ListParagraph"/>
        <w:numPr>
          <w:ilvl w:val="0"/>
          <w:numId w:val="1"/>
        </w:numPr>
        <w:jc w:val="both"/>
      </w:pPr>
      <w:r>
        <w:t xml:space="preserve">Alespoň 2/3 článků v časopise mezi 2011 – 2015 má autory z Evropských zemí bývalého východního bloku (nepočítáme </w:t>
      </w:r>
      <w:proofErr w:type="spellStart"/>
      <w:r>
        <w:t>kavkaz</w:t>
      </w:r>
      <w:proofErr w:type="spellEnd"/>
      <w:r>
        <w:t>), ale časopis není započítán jako ryze místní</w:t>
      </w:r>
    </w:p>
    <w:p w:rsidR="00315D5E" w:rsidRPr="00715983" w:rsidRDefault="00315D5E" w:rsidP="00315D5E">
      <w:pPr>
        <w:pStyle w:val="ListParagraph"/>
        <w:numPr>
          <w:ilvl w:val="0"/>
          <w:numId w:val="1"/>
        </w:numPr>
        <w:jc w:val="both"/>
      </w:pPr>
      <w:r>
        <w:t xml:space="preserve">Alespoň ½ článků v časopise mezi 2011 – 2015 má autory z Evropských zemí bývalého východního bloku (nepočítáme </w:t>
      </w:r>
      <w:proofErr w:type="spellStart"/>
      <w:r>
        <w:t>kavkaz</w:t>
      </w:r>
      <w:proofErr w:type="spellEnd"/>
      <w:r>
        <w:t xml:space="preserve">). </w:t>
      </w:r>
    </w:p>
    <w:p w:rsidR="00315D5E" w:rsidRPr="00715983" w:rsidRDefault="00315D5E" w:rsidP="00315D5E">
      <w:pPr>
        <w:pStyle w:val="ListParagraph"/>
        <w:numPr>
          <w:ilvl w:val="0"/>
          <w:numId w:val="1"/>
        </w:numPr>
        <w:jc w:val="both"/>
      </w:pPr>
      <w:r>
        <w:t>Součet tří nejčastějších přispěvatelů ze zemí bývalého východního bloku přesahuje 2/3 všech článků v časopise</w:t>
      </w:r>
    </w:p>
    <w:p w:rsidR="00315D5E" w:rsidRPr="00715983" w:rsidRDefault="00315D5E" w:rsidP="00315D5E">
      <w:pPr>
        <w:pStyle w:val="ListParagraph"/>
        <w:numPr>
          <w:ilvl w:val="0"/>
          <w:numId w:val="1"/>
        </w:numPr>
        <w:jc w:val="both"/>
      </w:pPr>
      <w:r>
        <w:t>Součet tří nejčastějších přispěvatelů ze zemí bývalého východního bloku přesahuje 1/2 všech článků v časopise</w:t>
      </w:r>
    </w:p>
    <w:p w:rsidR="00315D5E" w:rsidRDefault="00315D5E" w:rsidP="00315D5E">
      <w:pPr>
        <w:ind w:left="360"/>
        <w:jc w:val="both"/>
      </w:pPr>
      <w:r>
        <w:t xml:space="preserve">Nicméně ani ta </w:t>
      </w:r>
      <w:proofErr w:type="spellStart"/>
      <w:r>
        <w:t>nejrširší</w:t>
      </w:r>
      <w:proofErr w:type="spellEnd"/>
      <w:r>
        <w:t xml:space="preserve"> varianta, </w:t>
      </w:r>
      <w:proofErr w:type="spellStart"/>
      <w:proofErr w:type="gramStart"/>
      <w:r>
        <w:t>tj</w:t>
      </w:r>
      <w:proofErr w:type="spellEnd"/>
      <w:r>
        <w:t>,. b) nemá</w:t>
      </w:r>
      <w:proofErr w:type="gramEnd"/>
      <w:r>
        <w:t xml:space="preserve"> příliš velký počet autorů z Česka. Zdá </w:t>
      </w:r>
      <w:proofErr w:type="gramStart"/>
      <w:r>
        <w:t>se že</w:t>
      </w:r>
      <w:proofErr w:type="gramEnd"/>
      <w:r>
        <w:t xml:space="preserve"> publikování ve „Východně“ zaměřených časopisech není pro </w:t>
      </w:r>
      <w:proofErr w:type="spellStart"/>
      <w:r>
        <w:t>čechy</w:t>
      </w:r>
      <w:proofErr w:type="spellEnd"/>
      <w:r>
        <w:t xml:space="preserve"> ve výsledku příliš obvyklé.  Nicméně rozřazení časopisů do těchto kategorií je v souboru Journals.xlsx</w:t>
      </w:r>
    </w:p>
    <w:p w:rsidR="0019332C" w:rsidRDefault="0019332C" w:rsidP="00315D5E">
      <w:pPr>
        <w:ind w:left="360"/>
        <w:jc w:val="both"/>
      </w:pPr>
      <w:r>
        <w:t>Řešíme jak úroveň fakult, tak celých univerzit. Nicméně Akademie věd zůstává rozdělena na jednotlivé ústavy. V </w:t>
      </w:r>
      <w:proofErr w:type="spellStart"/>
      <w:r>
        <w:t>datasetu</w:t>
      </w:r>
      <w:proofErr w:type="spellEnd"/>
      <w:r>
        <w:t xml:space="preserve"> jsou ale zařazeny také další instituce – soukromé firmy, nemocnice </w:t>
      </w:r>
      <w:proofErr w:type="spellStart"/>
      <w:r>
        <w:t>etc</w:t>
      </w:r>
      <w:proofErr w:type="spellEnd"/>
      <w:r>
        <w:t xml:space="preserve">.  </w:t>
      </w:r>
    </w:p>
    <w:p w:rsidR="00315D5E" w:rsidRPr="0019332C" w:rsidRDefault="00315D5E" w:rsidP="00315D5E">
      <w:pPr>
        <w:ind w:left="360"/>
        <w:jc w:val="both"/>
        <w:rPr>
          <w:b/>
        </w:rPr>
      </w:pPr>
      <w:r w:rsidRPr="0019332C">
        <w:rPr>
          <w:b/>
        </w:rPr>
        <w:t xml:space="preserve">Výsledky: </w:t>
      </w:r>
    </w:p>
    <w:p w:rsidR="00315D5E" w:rsidRDefault="0019332C" w:rsidP="00315D5E">
      <w:pPr>
        <w:ind w:left="360"/>
        <w:jc w:val="both"/>
      </w:pPr>
      <w:r>
        <w:t>Výzkumné instituce byly ohodnoceny pomocí indikátorů četnosti publikací v „podezřelých“ časopisech – tedy predátorských, respektive místně zaměřených. Oba indikátory jsou spočteny jako prostý podíl výsledků v „podezřelých“ časopisech na celkovém počtu výsledků v naší databázi.</w:t>
      </w:r>
    </w:p>
    <w:p w:rsidR="0019332C" w:rsidRDefault="0019332C" w:rsidP="00315D5E">
      <w:pPr>
        <w:ind w:left="360"/>
        <w:jc w:val="both"/>
      </w:pPr>
      <w:r>
        <w:t>Výsledek je pak zobrazen na dvourozměrném grafu (podobně jako Pod Pokličkou). Na ose x je podíl místních časopisů, na ose y je pak tendence publikovat v predátorských časopisech. Velikost bubliny je pak odvozena od celkového počtu výsledků zařazených do analýzy – tedy velké instituce mají velkou bublinu, instituce s malým počtem výsledků</w:t>
      </w:r>
      <w:r w:rsidR="00D6669A">
        <w:t xml:space="preserve"> jsou pak malé.</w:t>
      </w:r>
    </w:p>
    <w:p w:rsidR="00490C29" w:rsidRDefault="00D6669A" w:rsidP="00315D5E">
      <w:pPr>
        <w:ind w:left="360"/>
        <w:jc w:val="both"/>
      </w:pPr>
      <w:r>
        <w:t xml:space="preserve">Na grafu jsou pak instituce barvami rozděleny do dle jednotlivých </w:t>
      </w:r>
      <w:proofErr w:type="gramStart"/>
      <w:r>
        <w:t>oborů ve</w:t>
      </w:r>
      <w:proofErr w:type="gramEnd"/>
      <w:r>
        <w:t xml:space="preserve"> kterých působí. Tyto jsou prozatím získány velmi hrubě – tj. podle tzv. širokých </w:t>
      </w:r>
      <w:proofErr w:type="spellStart"/>
      <w:r>
        <w:t>kategorií</w:t>
      </w:r>
      <w:r w:rsidR="000E28CA">
        <w:t>í</w:t>
      </w:r>
      <w:proofErr w:type="spellEnd"/>
      <w:r>
        <w:t xml:space="preserve"> v </w:t>
      </w:r>
      <w:proofErr w:type="spellStart"/>
      <w:r>
        <w:t>RIVu</w:t>
      </w:r>
      <w:proofErr w:type="spellEnd"/>
      <w:r>
        <w:t xml:space="preserve">. Instituce je označena jako působící v daném oboru </w:t>
      </w:r>
      <w:r w:rsidR="00490C29">
        <w:t xml:space="preserve">podle širokého oboru, do kterého přihlásila nejvíce výsledků. </w:t>
      </w:r>
    </w:p>
    <w:p w:rsidR="00D6669A" w:rsidRDefault="00490C29" w:rsidP="00315D5E">
      <w:pPr>
        <w:ind w:left="360"/>
        <w:jc w:val="both"/>
      </w:pPr>
      <w:r>
        <w:t xml:space="preserve">Nicméně je možné výsledky rozřadit i podle užších oborů (v datech hodnocení označených sloupcem CATEGORY_RIV_NARROW. Tyto pak je možné naopak znovu zobecnit do smysluplnějších rozřazení oborů než je široká kategorie RIV – jako např.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Science and Technology </w:t>
      </w:r>
      <w:proofErr w:type="spellStart"/>
      <w:r>
        <w:t>classification</w:t>
      </w:r>
      <w:proofErr w:type="spellEnd"/>
      <w:r>
        <w:t xml:space="preserve"> dle OECD (</w:t>
      </w:r>
      <w:hyperlink r:id="rId5" w:history="1">
        <w:r w:rsidRPr="00490C29">
          <w:rPr>
            <w:rStyle w:val="Hyperlink"/>
          </w:rPr>
          <w:t>FOS</w:t>
        </w:r>
      </w:hyperlink>
      <w:r>
        <w:t>).</w:t>
      </w:r>
    </w:p>
    <w:p w:rsidR="0019332C" w:rsidRDefault="00490C29" w:rsidP="00315D5E">
      <w:pPr>
        <w:ind w:left="360"/>
        <w:jc w:val="both"/>
      </w:pPr>
      <w:r>
        <w:t xml:space="preserve">Na následném grafu je ukázán první náčrt dle institucí. </w:t>
      </w:r>
    </w:p>
    <w:p w:rsidR="00490C29" w:rsidRDefault="00490C29" w:rsidP="00315D5E">
      <w:pPr>
        <w:ind w:left="360"/>
        <w:jc w:val="both"/>
      </w:pPr>
      <w:r>
        <w:t>Je zapotřebí si uvědomit, že oba dva ukazatele – tj. četnost publikace v predátorských i místních časopisech je spočítána ze st</w:t>
      </w:r>
      <w:r w:rsidR="00445951">
        <w:t>ejného základu. Není tedy možné, aby se jakákoliv instituce nacházela v pravé horní polovině grafu (</w:t>
      </w:r>
      <w:proofErr w:type="spellStart"/>
      <w:r w:rsidR="00445951">
        <w:t>zašedivělá</w:t>
      </w:r>
      <w:proofErr w:type="spellEnd"/>
      <w:r w:rsidR="00445951">
        <w:t xml:space="preserve"> plocha).  Levý dolní okraj této šedivé plochy totiž spojuje všechny body, kde se součet obou indikátorů rovná 100 % - jinými slovy, u instituce, která by se </w:t>
      </w:r>
      <w:r w:rsidR="00445951">
        <w:lastRenderedPageBreak/>
        <w:t xml:space="preserve">nacházela na hranici šedivé plochy, bychom jako podezřelé označili všechny výsledky, které se dostaly do naší databáze. </w:t>
      </w:r>
    </w:p>
    <w:p w:rsidR="000E28CA" w:rsidRDefault="000E28CA" w:rsidP="00315D5E">
      <w:pPr>
        <w:ind w:left="360"/>
        <w:jc w:val="both"/>
      </w:pPr>
      <w:r>
        <w:t>Topologie grafu –</w:t>
      </w:r>
      <w:r w:rsidR="00B80422">
        <w:t xml:space="preserve"> v </w:t>
      </w:r>
      <w:r w:rsidR="00B80422">
        <w:t xml:space="preserve">levém </w:t>
      </w:r>
      <w:r w:rsidR="00B80422">
        <w:t xml:space="preserve">dolním rohu jsou instituce, které veškeré své články ve Scopusu publikují v zahraničních ne-predátorských časopisech.  Podle našich měřítek tak </w:t>
      </w:r>
      <w:r w:rsidR="005C7608">
        <w:t>u nich není žádný problém k řešení</w:t>
      </w:r>
      <w:r w:rsidR="00B80422">
        <w:t>. V</w:t>
      </w:r>
      <w:r w:rsidR="005C7608">
        <w:t xml:space="preserve"> pravém </w:t>
      </w:r>
      <w:r w:rsidR="00B80422">
        <w:t>dolní</w:t>
      </w:r>
      <w:r w:rsidR="005C7608">
        <w:t xml:space="preserve">m rohu </w:t>
      </w:r>
      <w:r w:rsidR="00BB3C9E">
        <w:t>by se pak nacházely</w:t>
      </w:r>
      <w:r w:rsidR="005C7608">
        <w:t xml:space="preserve"> instituce</w:t>
      </w:r>
      <w:r w:rsidR="00BB3C9E">
        <w:t xml:space="preserve">, u nichž jsou všechny vzniklé výsledky publikovány ryze místních </w:t>
      </w:r>
      <w:proofErr w:type="gramStart"/>
      <w:r w:rsidR="00BB3C9E">
        <w:t>časopisech</w:t>
      </w:r>
      <w:proofErr w:type="gramEnd"/>
      <w:r w:rsidR="00BB3C9E">
        <w:t xml:space="preserve">, kde je více než třetina autorů z Česka nebo ze Slovenska.  Naopak v levém horním rohu </w:t>
      </w:r>
      <w:proofErr w:type="gramStart"/>
      <w:r w:rsidR="00BB3C9E">
        <w:t>jsou</w:t>
      </w:r>
      <w:proofErr w:type="gramEnd"/>
      <w:r w:rsidR="00BB3C9E">
        <w:t xml:space="preserve">  by </w:t>
      </w:r>
      <w:proofErr w:type="gramStart"/>
      <w:r w:rsidR="00BB3C9E">
        <w:t>byly</w:t>
      </w:r>
      <w:proofErr w:type="gramEnd"/>
      <w:r w:rsidR="00BB3C9E">
        <w:t xml:space="preserve"> k nalezení instituce, které veškeré publikace ve </w:t>
      </w:r>
      <w:proofErr w:type="spellStart"/>
      <w:r w:rsidR="00BB3C9E">
        <w:t>Scopusových</w:t>
      </w:r>
      <w:proofErr w:type="spellEnd"/>
      <w:r w:rsidR="00BB3C9E">
        <w:t xml:space="preserve"> časopisech posílají do časopisů označených jako predátorské. </w:t>
      </w:r>
    </w:p>
    <w:p w:rsidR="00B80422" w:rsidRDefault="00BB3C9E" w:rsidP="00315D5E">
      <w:pPr>
        <w:ind w:left="360"/>
        <w:jc w:val="both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920BC8" wp14:editId="12DAC18A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353050" cy="4324350"/>
                <wp:effectExtent l="0" t="0" r="0" b="0"/>
                <wp:wrapNone/>
                <wp:docPr id="11" name="Right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53050" cy="4324350"/>
                        </a:xfrm>
                        <a:prstGeom prst="rtTriangl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7B286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1" o:spid="_x0000_s1026" type="#_x0000_t6" style="position:absolute;margin-left:370.3pt;margin-top:5.7pt;width:421.5pt;height:340.5pt;rotation:180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" fillcolor="#d8d8d8 [2732]" stroked="f" strokeweight="2pt">
                <w10:wrap anchorx="margin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5086A3" wp14:editId="6649C9E5">
                <wp:simplePos x="0" y="0"/>
                <wp:positionH relativeFrom="column">
                  <wp:posOffset>942975</wp:posOffset>
                </wp:positionH>
                <wp:positionV relativeFrom="paragraph">
                  <wp:posOffset>284481</wp:posOffset>
                </wp:positionV>
                <wp:extent cx="571500" cy="304800"/>
                <wp:effectExtent l="0" t="95250" r="0" b="952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43027"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7608" w:rsidRPr="00445951" w:rsidRDefault="005C7608" w:rsidP="005C7608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445951">
                              <w:rPr>
                                <w:b/>
                                <w:color w:val="FFFFFF" w:themeColor="background1"/>
                              </w:rPr>
                              <w:t>100 %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086A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74.25pt;margin-top:22.4pt;width:45pt;height:24pt;rotation:2559210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" filled="f" stroked="f" strokeweight=".5pt">
                <v:textbox>
                  <w:txbxContent>
                    <w:p w:rsidR="005C7608" w:rsidRPr="00445951" w:rsidRDefault="005C7608" w:rsidP="005C7608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445951">
                        <w:rPr>
                          <w:b/>
                          <w:color w:val="FFFFFF" w:themeColor="background1"/>
                        </w:rPr>
                        <w:t>100 %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w:drawing>
          <wp:inline distT="0" distB="0" distL="0" distR="0" wp14:anchorId="4F159A11">
            <wp:extent cx="6501130" cy="4716571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189" cy="47333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62E4" w:rsidRDefault="00CC62E4" w:rsidP="00315D5E">
      <w:pPr>
        <w:ind w:left="360"/>
        <w:jc w:val="both"/>
      </w:pPr>
    </w:p>
    <w:p w:rsidR="00CC62E4" w:rsidRDefault="00CC62E4" w:rsidP="00315D5E">
      <w:pPr>
        <w:ind w:left="360"/>
        <w:jc w:val="both"/>
      </w:pPr>
    </w:p>
    <w:p w:rsidR="00B80422" w:rsidRDefault="00B80422" w:rsidP="00315D5E">
      <w:pPr>
        <w:ind w:left="360"/>
        <w:jc w:val="both"/>
      </w:pPr>
    </w:p>
    <w:p w:rsidR="00490C29" w:rsidRDefault="00445951" w:rsidP="00315D5E">
      <w:pPr>
        <w:ind w:left="360"/>
        <w:jc w:val="both"/>
      </w:pPr>
      <w:r>
        <w:rPr>
          <w:noProof/>
          <w:lang w:eastAsia="cs-CZ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290195</wp:posOffset>
                </wp:positionV>
                <wp:extent cx="571500" cy="304800"/>
                <wp:effectExtent l="0" t="95250" r="0" b="952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43027"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45951" w:rsidRPr="00445951" w:rsidRDefault="0044595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445951">
                              <w:rPr>
                                <w:b/>
                                <w:color w:val="FFFFFF" w:themeColor="background1"/>
                              </w:rPr>
                              <w:t>100 %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68.25pt;margin-top:22.85pt;width:45pt;height:24pt;rotation:2559210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" filled="f" stroked="f" strokeweight=".5pt">
                <v:textbox>
                  <w:txbxContent>
                    <w:p w:rsidR="00445951" w:rsidRPr="00445951" w:rsidRDefault="00445951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445951">
                        <w:rPr>
                          <w:b/>
                          <w:color w:val="FFFFFF" w:themeColor="background1"/>
                        </w:rPr>
                        <w:t>100 %</w:t>
                      </w:r>
                    </w:p>
                  </w:txbxContent>
                </v:textbox>
              </v:shape>
            </w:pict>
          </mc:Fallback>
        </mc:AlternateContent>
      </w:r>
      <w:r w:rsidR="00421702" w:rsidRPr="00421702">
        <w:t xml:space="preserve"> </w:t>
      </w:r>
      <w:bookmarkStart w:id="0" w:name="_GoBack"/>
      <w:r w:rsidR="00421702" w:rsidRPr="00421702">
        <w:drawing>
          <wp:inline distT="0" distB="0" distL="0" distR="0">
            <wp:extent cx="5943600" cy="5001757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B3C9E" w:rsidRDefault="00BB3C9E" w:rsidP="00315D5E">
      <w:pPr>
        <w:ind w:left="360"/>
        <w:jc w:val="both"/>
      </w:pPr>
      <w:r>
        <w:t>Mnohem častější je publikování v místních, než v predátorských časopisech. Pouz</w:t>
      </w:r>
      <w:r w:rsidR="001F67CF">
        <w:t>e tři instituce to mají naopak.</w:t>
      </w:r>
    </w:p>
    <w:p w:rsidR="00BB3C9E" w:rsidRDefault="001F67CF" w:rsidP="00F02619">
      <w:pPr>
        <w:ind w:left="360"/>
        <w:jc w:val="both"/>
      </w:pPr>
      <w:r>
        <w:t xml:space="preserve">Masivní publikování v predátorských časopisech se týká pouze několika izolovaných oborů – hlavně společenských věd a také některých </w:t>
      </w:r>
      <w:r w:rsidR="00E10902">
        <w:t>inženýrských</w:t>
      </w:r>
      <w:r>
        <w:t xml:space="preserve"> věd.</w:t>
      </w:r>
    </w:p>
    <w:p w:rsidR="009843B7" w:rsidRDefault="000E28CA" w:rsidP="00315D5E">
      <w:pPr>
        <w:ind w:left="360"/>
        <w:jc w:val="both"/>
      </w:pPr>
      <w:r>
        <w:t> Přírodní vědy typu Matematických, fyzikálních, chemických či biologických věd jsou na tom poměrně dost dobře – soustředí se v levém dolním rohu grafu</w:t>
      </w:r>
    </w:p>
    <w:p w:rsidR="000E28CA" w:rsidRDefault="000E28CA" w:rsidP="00315D5E">
      <w:pPr>
        <w:ind w:left="360"/>
        <w:jc w:val="both"/>
      </w:pPr>
      <w:r>
        <w:t>Lékařské vědy</w:t>
      </w:r>
      <w:r w:rsidR="008F3276">
        <w:t>, zemědělské vědy</w:t>
      </w:r>
      <w:r>
        <w:t xml:space="preserve"> jsou rozprostřeny po spodním okraji</w:t>
      </w:r>
    </w:p>
    <w:p w:rsidR="00B6571D" w:rsidRDefault="00B6571D" w:rsidP="00315D5E">
      <w:pPr>
        <w:ind w:left="360"/>
        <w:jc w:val="both"/>
      </w:pPr>
    </w:p>
    <w:p w:rsidR="00B6571D" w:rsidRDefault="00B6571D" w:rsidP="00315D5E">
      <w:pPr>
        <w:ind w:left="360"/>
        <w:jc w:val="both"/>
      </w:pPr>
    </w:p>
    <w:p w:rsidR="00B6571D" w:rsidRDefault="00B6571D" w:rsidP="00315D5E">
      <w:pPr>
        <w:ind w:left="360"/>
        <w:jc w:val="both"/>
      </w:pPr>
    </w:p>
    <w:p w:rsidR="00B6571D" w:rsidRDefault="00B6571D" w:rsidP="00315D5E">
      <w:pPr>
        <w:ind w:left="360"/>
        <w:jc w:val="both"/>
      </w:pPr>
    </w:p>
    <w:p w:rsidR="008F3276" w:rsidRDefault="008F3276" w:rsidP="00315D5E">
      <w:pPr>
        <w:ind w:left="360"/>
        <w:jc w:val="both"/>
      </w:pPr>
      <w:r w:rsidRPr="008F3276">
        <w:rPr>
          <w:highlight w:val="yellow"/>
        </w:rPr>
        <w:t xml:space="preserve">POZOR CHYBA: </w:t>
      </w:r>
      <w:r>
        <w:rPr>
          <w:highlight w:val="yellow"/>
        </w:rPr>
        <w:t xml:space="preserve">DO VÝPOČTU MÍSTNÍHO ZAMĚŘENÍ ČASOPISŮ </w:t>
      </w:r>
      <w:r w:rsidRPr="008F3276">
        <w:rPr>
          <w:highlight w:val="yellow"/>
        </w:rPr>
        <w:t>NEJSOU ZAPOČÍTÁNY UNDEFINED</w:t>
      </w:r>
      <w:r>
        <w:rPr>
          <w:highlight w:val="yellow"/>
        </w:rPr>
        <w:t xml:space="preserve"> </w:t>
      </w:r>
      <w:r w:rsidRPr="008F3276">
        <w:rPr>
          <w:highlight w:val="yellow"/>
        </w:rPr>
        <w:t>!!!</w:t>
      </w:r>
    </w:p>
    <w:p w:rsidR="0019332C" w:rsidRDefault="0019332C" w:rsidP="00315D5E">
      <w:pPr>
        <w:ind w:left="360"/>
        <w:jc w:val="both"/>
        <w:rPr>
          <w:b/>
        </w:rPr>
      </w:pPr>
      <w:r w:rsidRPr="0019332C">
        <w:rPr>
          <w:b/>
        </w:rPr>
        <w:t>Aplikace</w:t>
      </w:r>
    </w:p>
    <w:p w:rsidR="008F3276" w:rsidRDefault="00E10902" w:rsidP="00315D5E">
      <w:pPr>
        <w:ind w:left="360"/>
        <w:jc w:val="both"/>
      </w:pPr>
      <w:r>
        <w:t xml:space="preserve">Aplikace bude umět hierarchické vyhledávání na úrovni celých institucí (zobrazí všechny fakulty například). </w:t>
      </w:r>
    </w:p>
    <w:p w:rsidR="00E10902" w:rsidRDefault="00E10902" w:rsidP="00315D5E">
      <w:pPr>
        <w:ind w:left="360"/>
        <w:jc w:val="both"/>
      </w:pPr>
      <w:r>
        <w:t>Může také přepočet na základě výsledků v </w:t>
      </w:r>
      <w:proofErr w:type="gramStart"/>
      <w:r>
        <w:t>RIV</w:t>
      </w:r>
      <w:proofErr w:type="gramEnd"/>
      <w:r>
        <w:t xml:space="preserve"> pro daný široce definovaný či úzce definovaných oborů – jak často jsou predátorské a místní výsledky v Vysoké škole ekonomické v </w:t>
      </w:r>
      <w:proofErr w:type="spellStart"/>
      <w:r>
        <w:t>narrow</w:t>
      </w:r>
      <w:proofErr w:type="spellEnd"/>
      <w:r>
        <w:t xml:space="preserve"> oboru ekonomie? </w:t>
      </w:r>
      <w:proofErr w:type="spellStart"/>
      <w:r>
        <w:t>Etc</w:t>
      </w:r>
      <w:proofErr w:type="spellEnd"/>
      <w:r>
        <w:t>.</w:t>
      </w:r>
    </w:p>
    <w:p w:rsidR="00E10902" w:rsidRPr="008F3276" w:rsidRDefault="00E10902" w:rsidP="00315D5E">
      <w:pPr>
        <w:ind w:left="360"/>
        <w:jc w:val="both"/>
      </w:pPr>
      <w:r>
        <w:t>Stahování všech výsledků v Excelu pro danou instituci nebo jejich seznam.</w:t>
      </w:r>
    </w:p>
    <w:sectPr w:rsidR="00E10902" w:rsidRPr="008F3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6715B2"/>
    <w:multiLevelType w:val="hybridMultilevel"/>
    <w:tmpl w:val="3D1EFC9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983"/>
    <w:rsid w:val="000B4170"/>
    <w:rsid w:val="000E28CA"/>
    <w:rsid w:val="0010443A"/>
    <w:rsid w:val="00135670"/>
    <w:rsid w:val="0019332C"/>
    <w:rsid w:val="001B1657"/>
    <w:rsid w:val="001F67CF"/>
    <w:rsid w:val="00315D5E"/>
    <w:rsid w:val="003800B1"/>
    <w:rsid w:val="003E5C00"/>
    <w:rsid w:val="00421702"/>
    <w:rsid w:val="00445951"/>
    <w:rsid w:val="00490C29"/>
    <w:rsid w:val="005C7608"/>
    <w:rsid w:val="00612E98"/>
    <w:rsid w:val="00715983"/>
    <w:rsid w:val="008157A8"/>
    <w:rsid w:val="008F3276"/>
    <w:rsid w:val="00956CF5"/>
    <w:rsid w:val="009843B7"/>
    <w:rsid w:val="009C410A"/>
    <w:rsid w:val="00AA0CE2"/>
    <w:rsid w:val="00B6571D"/>
    <w:rsid w:val="00B80422"/>
    <w:rsid w:val="00BB3C9E"/>
    <w:rsid w:val="00CC62E4"/>
    <w:rsid w:val="00CE7BF2"/>
    <w:rsid w:val="00D6669A"/>
    <w:rsid w:val="00DA134A"/>
    <w:rsid w:val="00E10902"/>
    <w:rsid w:val="00E5316E"/>
    <w:rsid w:val="00EE2FE0"/>
    <w:rsid w:val="00F02619"/>
    <w:rsid w:val="00F13325"/>
    <w:rsid w:val="00F64D87"/>
    <w:rsid w:val="00F9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9866C"/>
  <w15:chartTrackingRefBased/>
  <w15:docId w15:val="{AF6C04F4-0606-4A30-AC1B-0145526F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D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C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oecd.org/science/inno/38235147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5</Pages>
  <Words>1095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CERGE-EI</Company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 Macháček</dc:creator>
  <cp:keywords/>
  <dc:description/>
  <cp:lastModifiedBy>Vít Macháček</cp:lastModifiedBy>
  <cp:revision>5</cp:revision>
  <dcterms:created xsi:type="dcterms:W3CDTF">2018-02-23T13:29:00Z</dcterms:created>
  <dcterms:modified xsi:type="dcterms:W3CDTF">2018-03-01T12:42:00Z</dcterms:modified>
</cp:coreProperties>
</file>