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72.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métrica do espaço para construir as funções de Green. Isso permite uma generalização natural para espaços curvos e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Generaliza</w:t>
      </w:r>
      <w:r>
        <w:t xml:space="preserve"> </w:t>
      </w:r>
      <w:r>
        <w:t xml:space="preserve">para espaços curvos (relatividade geral)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FirstParagraph"/>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5"/>
        </w:numPr>
      </w:pPr>
      <w:r>
        <w:rPr>
          <w:b/>
          <w:bCs/>
        </w:rPr>
        <w:t xml:space="preserve">Integração angular</w:t>
      </w:r>
      <w:r>
        <w:t xml:space="preserve">:</w:t>
      </w:r>
    </w:p>
    <w:p>
      <w:pPr>
        <w:pStyle w:val="FirstParagraph"/>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6"/>
        </w:numPr>
      </w:pPr>
      <w:r>
        <w:rPr>
          <w:b/>
          <w:bCs/>
        </w:rPr>
        <w:t xml:space="preserve">Integração por partes</w:t>
      </w:r>
      <w:r>
        <w:t xml:space="preserve"> </w:t>
      </w:r>
      <w:r>
        <w:t xml:space="preserve">(para simplificar):</w:t>
      </w:r>
    </w:p>
    <w:p>
      <w:pPr>
        <w:pStyle w:val="FirstParagraph"/>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7"/>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FirstParagraph"/>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8"/>
        </w:numPr>
      </w:pPr>
      <w:r>
        <w:rPr>
          <w:b/>
          <w:bCs/>
        </w:rPr>
        <w:t xml:space="preserve">Resultado final</w:t>
      </w:r>
      <w:r>
        <w:t xml:space="preserve">:</w:t>
      </w:r>
    </w:p>
    <w:p>
      <w:pPr>
        <w:pStyle w:val="FirstParagraph"/>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9"/>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10"/>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9"/>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11"/>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11"/>
        </w:numPr>
      </w:pPr>
      <w:r>
        <w:t xml:space="preserve">Contribuição:</w:t>
      </w:r>
      <w:r>
        <w:t xml:space="preserve"> </w:t>
      </w:r>
      <m:oMath>
        <m:r>
          <m:t>0</m:t>
        </m:r>
      </m:oMath>
    </w:p>
    <w:p>
      <w:pPr>
        <w:pStyle w:val="Compact"/>
        <w:numPr>
          <w:ilvl w:val="0"/>
          <w:numId w:val="1009"/>
        </w:numPr>
      </w:pPr>
      <w:r>
        <w:rPr>
          <w:b/>
          <w:bCs/>
        </w:rPr>
        <w:t xml:space="preserve">Termo quadrático</w:t>
      </w:r>
      <w:r>
        <w:t xml:space="preserve">:</w:t>
      </w:r>
    </w:p>
    <w:p>
      <w:pPr>
        <w:pStyle w:val="Compact"/>
        <w:numPr>
          <w:ilvl w:val="1"/>
          <w:numId w:val="1012"/>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9"/>
        </w:numPr>
      </w:pPr>
      <w:r>
        <w:rPr>
          <w:b/>
          <w:bCs/>
        </w:rPr>
        <w:t xml:space="preserve">Termos de ordem superior</w:t>
      </w:r>
      <w:r>
        <w:t xml:space="preserve">:</w:t>
      </w:r>
    </w:p>
    <w:p>
      <w:pPr>
        <w:pStyle w:val="Compact"/>
        <w:numPr>
          <w:ilvl w:val="1"/>
          <w:numId w:val="1013"/>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71"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4"/>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4"/>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4"/>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Start w:id="67" w:name="topologia-do-universo"/>
    <w:p>
      <w:pPr>
        <w:pStyle w:val="Heading2"/>
      </w:pPr>
      <w:r>
        <w:t xml:space="preserve">Topologia do Universo</w:t>
      </w:r>
    </w:p>
    <w:p>
      <w:pPr>
        <w:pStyle w:val="FirstParagraph"/>
      </w:pPr>
      <w:r>
        <w:t xml:space="preserve">Medidas precisas da lei de Coulomb podem revelar a dimensão e topologia do espaço:</w:t>
      </w:r>
    </w:p>
    <w:p>
      <w:pPr>
        <w:pStyle w:val="Compact"/>
        <w:numPr>
          <w:ilvl w:val="0"/>
          <w:numId w:val="1015"/>
        </w:numPr>
      </w:pPr>
      <w:r>
        <w:rPr>
          <w:b/>
          <w:bCs/>
        </w:rPr>
        <w:t xml:space="preserve">Dimensão exata</w:t>
      </w:r>
      <w:r>
        <w:t xml:space="preserve">: Se a força variasse como</w:t>
      </w:r>
      <w:r>
        <w:t xml:space="preserve"> </w:t>
      </w:r>
      <m:oMath>
        <m:r>
          <m:t>1</m:t>
        </m:r>
        <m:r>
          <m:rPr>
            <m:sty m:val="p"/>
          </m:rPr>
          <m:t>/</m:t>
        </m:r>
        <m:sSup>
          <m:e>
            <m:r>
              <m:t>r</m:t>
            </m:r>
          </m:e>
          <m:sup>
            <m:r>
              <m:t>2</m:t>
            </m:r>
            <m:r>
              <m:rPr>
                <m:sty m:val="p"/>
              </m:rPr>
              <m:t>+</m:t>
            </m:r>
            <m:r>
              <m:t>ϵ</m:t>
            </m:r>
          </m:sup>
        </m:sSup>
      </m:oMath>
      <w:r>
        <w:t xml:space="preserve">, indicaria dimensões fracionárias ou dimensões extras</w:t>
      </w:r>
    </w:p>
    <w:p>
      <w:pPr>
        <w:pStyle w:val="Compact"/>
        <w:numPr>
          <w:ilvl w:val="0"/>
          <w:numId w:val="1015"/>
        </w:numPr>
      </w:pPr>
      <w:r>
        <w:rPr>
          <w:b/>
          <w:bCs/>
        </w:rPr>
        <w:t xml:space="preserve">Topologia não-trivial</w:t>
      </w:r>
      <w:r>
        <w:t xml:space="preserve">: Em universos com topologia de toro, poderíamos observar múltiplas imagens de uma mesma fonte</w:t>
      </w:r>
    </w:p>
    <w:bookmarkEnd w:id="67"/>
    <w:bookmarkStart w:id="70" w:name="teoria-das-cordas"/>
    <w:p>
      <w:pPr>
        <w:pStyle w:val="Heading2"/>
      </w:pPr>
      <w:r>
        <w:t xml:space="preserve">Teoria das Cordas</w:t>
      </w:r>
    </w:p>
    <w:p>
      <w:pPr>
        <w:pStyle w:val="FirstParagraph"/>
      </w:pPr>
      <w:r>
        <w:t xml:space="preserve">Em teoria de cordas, dimensões extras podem ser</w:t>
      </w:r>
      <w:r>
        <w:t xml:space="preserve"> </w:t>
      </w:r>
      <w:r>
        <w:t xml:space="preserve">“compactificadas”</w:t>
      </w:r>
      <w:r>
        <w:t xml:space="preserve"> </w:t>
      </w:r>
      <w:r>
        <w:t xml:space="preserve">(enroladas em escalas muito pequenas). Nesse caso:</w:t>
      </w:r>
    </w:p>
    <w:p>
      <w:pPr>
        <w:pStyle w:val="Compact"/>
        <w:numPr>
          <w:ilvl w:val="0"/>
          <w:numId w:val="1016"/>
        </w:numPr>
      </w:pPr>
      <w:r>
        <w:t xml:space="preserve">Em distâncias grandes (&gt; escala de compactificação): 3D efetivo</w:t>
      </w:r>
    </w:p>
    <w:p>
      <w:pPr>
        <w:pStyle w:val="Compact"/>
        <w:numPr>
          <w:ilvl w:val="0"/>
          <w:numId w:val="1016"/>
        </w:numPr>
      </w:pPr>
      <w:r>
        <w:t xml:space="preserve">Em distâncias pequenas (&lt; escala de compactificação):</w:t>
      </w:r>
      <w:r>
        <w:t xml:space="preserve"> </w:t>
      </w:r>
      <m:oMath>
        <m:r>
          <m:t>N</m:t>
        </m:r>
      </m:oMath>
      <w:r>
        <w:t xml:space="preserve">D efetivo</w:t>
      </w:r>
    </w:p>
    <w:p>
      <w:pPr>
        <w:pStyle w:val="FirstParagraph"/>
      </w:pPr>
      <w:r>
        <w:t xml:space="preserve">A lei de Coulomb seria modificada em distâncias muito pequenas, fornecendo um teste experimental para dimensões extras.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utilizada em física de partículas é análoga à técnica de Frobenius para raízes repetidas. Em ambos os casos, tratamos dimensões não-inteiras como um artifício matemático para obter resultados finitos.</w:t>
            </w:r>
          </w:p>
          <w:p/>
        </w:tc>
      </w:tr>
    </w:tbl>
    <w:bookmarkEnd w:id="70"/>
    <w:bookmarkEnd w:id="71"/>
    <w:bookmarkStart w:id="84"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greens-functions"/>
          <w:p>
            <w:pPr>
              <w:pStyle w:val="Compact"/>
              <w:jc w:val="center"/>
            </w:pPr>
            <w:r>
              <w:drawing>
                <wp:inline>
                  <wp:extent cx="5334000" cy="1746861"/>
                  <wp:effectExtent b="0" l="0" r="0" t="0"/>
                  <wp:docPr descr="" title="" id="73" name="Picture"/>
                  <a:graphic>
                    <a:graphicData uri="http://schemas.openxmlformats.org/drawingml/2006/picture">
                      <pic:pic>
                        <pic:nvPicPr>
                          <pic:cNvPr descr="green-functions-nd_files/figure-docx/fig-greens-functions-output-1.png" id="74" name="Picture"/>
                          <pic:cNvPicPr>
                            <a:picLocks noChangeArrowheads="1" noChangeAspect="1"/>
                          </pic:cNvPicPr>
                        </pic:nvPicPr>
                        <pic:blipFill>
                          <a:blip r:embed="rId72"/>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5"/>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regularization"/>
          <w:p>
            <w:pPr>
              <w:pStyle w:val="Compact"/>
              <w:jc w:val="center"/>
            </w:pPr>
            <w:r>
              <w:drawing>
                <wp:inline>
                  <wp:extent cx="5334000" cy="4116371"/>
                  <wp:effectExtent b="0" l="0" r="0" t="0"/>
                  <wp:docPr descr="" title="" id="77" name="Picture"/>
                  <a:graphic>
                    <a:graphicData uri="http://schemas.openxmlformats.org/drawingml/2006/picture">
                      <pic:pic>
                        <pic:nvPicPr>
                          <pic:cNvPr descr="green-functions-nd_files/figure-docx/fig-regularization-output-1.png" id="78" name="Picture"/>
                          <pic:cNvPicPr>
                            <a:picLocks noChangeArrowheads="1" noChangeAspect="1"/>
                          </pic:cNvPicPr>
                        </pic:nvPicPr>
                        <pic:blipFill>
                          <a:blip r:embed="rId76"/>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9"/>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3" w:name="fig-laplaciano-regularizado"/>
          <w:p>
            <w:pPr>
              <w:pStyle w:val="Compact"/>
              <w:jc w:val="center"/>
            </w:pPr>
            <w:r>
              <w:drawing>
                <wp:inline>
                  <wp:extent cx="5334000" cy="3992880"/>
                  <wp:effectExtent b="0" l="0" r="0" t="0"/>
                  <wp:docPr descr="" title="" id="81" name="Picture"/>
                  <a:graphic>
                    <a:graphicData uri="http://schemas.openxmlformats.org/drawingml/2006/picture">
                      <pic:pic>
                        <pic:nvPicPr>
                          <pic:cNvPr descr="green-functions-nd_files/figure-docx/fig-laplaciano-regularizado-output-1.png" id="82" name="Picture"/>
                          <pic:cNvPicPr>
                            <a:picLocks noChangeArrowheads="1" noChangeAspect="1"/>
                          </pic:cNvPicPr>
                        </pic:nvPicPr>
                        <pic:blipFill>
                          <a:blip r:embed="rId80"/>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3"/>
        </w:tc>
      </w:tr>
    </w:tbl>
    <w:bookmarkEnd w:id="84"/>
    <w:bookmarkStart w:id="87"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7"/>
    <w:bookmarkStart w:id="103" w:name="exercícios"/>
    <w:p>
      <w:pPr>
        <w:pStyle w:val="Heading1"/>
      </w:pPr>
      <w:r>
        <w:t xml:space="preserve">Exercícios</w:t>
      </w:r>
    </w:p>
    <w:bookmarkStart w:id="88"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sSub>
          <m:e>
            <m:r>
              <m:rPr>
                <m:sty m:val="p"/>
              </m:rPr>
              <m:t>∇</m:t>
            </m:r>
          </m:e>
          <m:sub>
            <m:r>
              <m:t>μ</m:t>
            </m:r>
          </m:sub>
        </m:sSub>
        <m:r>
          <m:t>σ</m:t>
        </m:r>
        <m:sSup>
          <m:e>
            <m:r>
              <m:rPr>
                <m:sty m:val="p"/>
              </m:rPr>
              <m:t>∇</m:t>
            </m:r>
          </m:e>
          <m:sup>
            <m:r>
              <m:t>μ</m:t>
            </m:r>
          </m:sup>
        </m:sSup>
        <m:r>
          <m:t>σ</m:t>
        </m:r>
      </m:oMath>
      <w:r>
        <w:t xml:space="preserve"> </w:t>
      </w:r>
      <w:r>
        <w:t xml:space="preserve">em notação tensorial.</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Qual é a importância da função de Synge em relatividade geral?</w:t>
      </w:r>
    </w:p>
    <w:bookmarkEnd w:id="88"/>
    <w:bookmarkStart w:id="89" w:name="exercício-2-lei-de-potência"/>
    <w:p>
      <w:pPr>
        <w:pStyle w:val="Heading2"/>
      </w:pPr>
      <w:r>
        <w:t xml:space="preserve">Exercício 2: Lei de Potência</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9"/>
    <w:bookmarkStart w:id="90"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90"/>
    <w:bookmarkStart w:id="91" w:name="exercício-4-regularização-3d"/>
    <w:p>
      <w:pPr>
        <w:pStyle w:val="Heading2"/>
      </w:pPr>
      <w:r>
        <w:t xml:space="preserve">Exercício 4: Regularização 3D</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91"/>
    <w:bookmarkStart w:id="92"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92"/>
    <w:bookmarkStart w:id="93"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93"/>
    <w:bookmarkStart w:id="94"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4"/>
    <w:bookmarkStart w:id="95" w:name="exercício-8-topologia-do-universo"/>
    <w:p>
      <w:pPr>
        <w:pStyle w:val="Heading2"/>
      </w:pPr>
      <w:r>
        <w:t xml:space="preserve">Exercício 8: Topologia do Universo</w:t>
      </w:r>
    </w:p>
    <w:p>
      <w:pPr>
        <w:pStyle w:val="FirstParagraph"/>
      </w:pPr>
      <w:r>
        <w:rPr>
          <w:b/>
          <w:bCs/>
        </w:rPr>
        <w:t xml:space="preserve">a)</w:t>
      </w:r>
      <w:r>
        <w:t xml:space="preserve"> </w:t>
      </w:r>
      <w:r>
        <w:t xml:space="preserve">O que são</w:t>
      </w:r>
      <w:r>
        <w:t xml:space="preserve"> </w:t>
      </w:r>
      <w:r>
        <w:t xml:space="preserve">“círculos no céu”</w:t>
      </w:r>
      <w:r>
        <w:t xml:space="preserve"> </w:t>
      </w:r>
      <w:r>
        <w:t xml:space="preserve">e como se relacionam com a topologia do universo?</w:t>
      </w:r>
    </w:p>
    <w:p>
      <w:pPr>
        <w:pStyle w:val="BodyText"/>
      </w:pPr>
      <w:r>
        <w:rPr>
          <w:b/>
          <w:bCs/>
        </w:rPr>
        <w:t xml:space="preserve">b)</w:t>
      </w:r>
      <w:r>
        <w:t xml:space="preserve"> </w:t>
      </w:r>
      <w:r>
        <w:t xml:space="preserve">Por que a topologia do universo é difícil de determinar experimentalmente?</w:t>
      </w:r>
    </w:p>
    <w:p>
      <w:pPr>
        <w:pStyle w:val="BodyText"/>
      </w:pPr>
      <w:r>
        <w:rPr>
          <w:b/>
          <w:bCs/>
        </w:rPr>
        <w:t xml:space="preserve">c)</w:t>
      </w:r>
      <w:r>
        <w:t xml:space="preserve"> </w:t>
      </w:r>
      <w:r>
        <w:t xml:space="preserve">Qual é a relação entre topologia e funções de Green?</w:t>
      </w:r>
    </w:p>
    <w:p>
      <w:pPr>
        <w:pStyle w:val="BodyText"/>
      </w:pPr>
      <w:r>
        <w:rPr>
          <w:b/>
          <w:bCs/>
        </w:rPr>
        <w:t xml:space="preserve">d)</w:t>
      </w:r>
      <w:r>
        <w:t xml:space="preserve"> </w:t>
      </w:r>
      <w:r>
        <w:t xml:space="preserve">Como a função de Green mudaria em um universo com topologia de toro?</w:t>
      </w:r>
    </w:p>
    <w:bookmarkEnd w:id="95"/>
    <w:bookmarkStart w:id="96" w:name="exercício-9-regularização-dimensional"/>
    <w:p>
      <w:pPr>
        <w:pStyle w:val="Heading2"/>
      </w:pPr>
      <w:r>
        <w:t xml:space="preserve">Exercício 9: Regularização Dimensional</w:t>
      </w:r>
    </w:p>
    <w:p>
      <w:pPr>
        <w:pStyle w:val="FirstParagraph"/>
      </w:pPr>
      <w:r>
        <w:rPr>
          <w:b/>
          <w:bCs/>
        </w:rPr>
        <w:t xml:space="preserve">a)</w:t>
      </w:r>
      <w:r>
        <w:t xml:space="preserve"> </w:t>
      </w:r>
      <w:r>
        <w:t xml:space="preserve">Explique o que é regularização dimensional em física de partículas.</w:t>
      </w:r>
    </w:p>
    <w:p>
      <w:pPr>
        <w:pStyle w:val="BodyText"/>
      </w:pPr>
      <w:r>
        <w:rPr>
          <w:b/>
          <w:bCs/>
        </w:rPr>
        <w:t xml:space="preserve">b)</w:t>
      </w:r>
      <w:r>
        <w:t xml:space="preserve"> </w:t>
      </w:r>
      <w:r>
        <w:t xml:space="preserve">Como ela se relaciona com o método de Frobenius usado na aula?</w:t>
      </w:r>
    </w:p>
    <w:p>
      <w:pPr>
        <w:pStyle w:val="BodyText"/>
      </w:pPr>
      <w:r>
        <w:rPr>
          <w:b/>
          <w:bCs/>
        </w:rPr>
        <w:t xml:space="preserve">c)</w:t>
      </w:r>
      <w:r>
        <w:t xml:space="preserve"> </w:t>
      </w:r>
      <w:r>
        <w:t xml:space="preserve">Por que a regularização dimensional funciona mesmo com dimensões não-inteiras?</w:t>
      </w:r>
    </w:p>
    <w:p>
      <w:pPr>
        <w:pStyle w:val="BodyText"/>
      </w:pPr>
      <w:r>
        <w:rPr>
          <w:b/>
          <w:bCs/>
        </w:rPr>
        <w:t xml:space="preserve">d)</w:t>
      </w:r>
      <w:r>
        <w:t xml:space="preserve"> </w:t>
      </w:r>
      <w:r>
        <w:t xml:space="preserve">Dê um exemplo de como a regularização dimensional é usada para calcular integrais divergentes.</w:t>
      </w:r>
    </w:p>
    <w:bookmarkEnd w:id="96"/>
    <w:bookmarkStart w:id="97" w:name="exercício-10-implementação-numérica"/>
    <w:p>
      <w:pPr>
        <w:pStyle w:val="Heading2"/>
      </w:pPr>
      <w:r>
        <w:t xml:space="preserve">Exercício 10: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7"/>
    <w:bookmarkStart w:id="98" w:name="Xe98023ab4aa24ec3edd059cb781afa538c7fcc0"/>
    <w:p>
      <w:pPr>
        <w:pStyle w:val="Heading2"/>
      </w:pPr>
      <w:r>
        <w:t xml:space="preserve">Exercício 11: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8"/>
    <w:bookmarkStart w:id="99" w:name="exercício-12-caso-1d-detalhado"/>
    <w:p>
      <w:pPr>
        <w:pStyle w:val="Heading2"/>
      </w:pPr>
      <w:r>
        <w:t xml:space="preserve">Exercício 12: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9"/>
    <w:bookmarkStart w:id="100" w:name="exercício-13-método-de-frobenius"/>
    <w:p>
      <w:pPr>
        <w:pStyle w:val="Heading2"/>
      </w:pPr>
      <w:r>
        <w:t xml:space="preserve">Exercício 13: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100"/>
    <w:bookmarkStart w:id="101" w:name="exercício-14-espaços-curvos"/>
    <w:p>
      <w:pPr>
        <w:pStyle w:val="Heading2"/>
      </w:pPr>
      <w:r>
        <w:t xml:space="preserve">Exercício 14: Espaços Curvos</w:t>
      </w:r>
    </w:p>
    <w:p>
      <w:pPr>
        <w:pStyle w:val="FirstParagraph"/>
      </w:pPr>
      <w:r>
        <w:rPr>
          <w:b/>
          <w:bCs/>
        </w:rPr>
        <w:t xml:space="preserve">a)</w:t>
      </w:r>
      <w:r>
        <w:t xml:space="preserve"> </w:t>
      </w:r>
      <w:r>
        <w:t xml:space="preserve">Como a função de Synge se generaliza para espaços curvos?</w:t>
      </w:r>
    </w:p>
    <w:p>
      <w:pPr>
        <w:pStyle w:val="BodyText"/>
      </w:pPr>
      <w:r>
        <w:rPr>
          <w:b/>
          <w:bCs/>
        </w:rPr>
        <w:t xml:space="preserve">b)</w:t>
      </w:r>
      <w:r>
        <w:t xml:space="preserve"> </w:t>
      </w:r>
      <w:r>
        <w:t xml:space="preserve">Qual é a equação que a função de Green satisfaz em um espaço curvo?</w:t>
      </w:r>
    </w:p>
    <w:p>
      <w:pPr>
        <w:pStyle w:val="BodyText"/>
      </w:pPr>
      <w:r>
        <w:rPr>
          <w:b/>
          <w:bCs/>
        </w:rPr>
        <w:t xml:space="preserve">c)</w:t>
      </w:r>
      <w:r>
        <w:t xml:space="preserve"> </w:t>
      </w:r>
      <w:r>
        <w:t xml:space="preserve">Como a curvatura afeta a função de Green?</w:t>
      </w:r>
    </w:p>
    <w:p>
      <w:pPr>
        <w:pStyle w:val="BodyText"/>
      </w:pPr>
      <w:r>
        <w:rPr>
          <w:b/>
          <w:bCs/>
        </w:rPr>
        <w:t xml:space="preserve">d)</w:t>
      </w:r>
      <w:r>
        <w:t xml:space="preserve"> </w:t>
      </w:r>
      <w:r>
        <w:t xml:space="preserve">Por que a função de Synge é importante em relatividade geral?</w:t>
      </w:r>
    </w:p>
    <w:bookmarkEnd w:id="101"/>
    <w:bookmarkStart w:id="102" w:name="exercício-15-aplicações-práticas"/>
    <w:p>
      <w:pPr>
        <w:pStyle w:val="Heading2"/>
      </w:pPr>
      <w:r>
        <w:t xml:space="preserve">Exercício 15: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102"/>
    <w:bookmarkEnd w:id="103"/>
    <w:bookmarkStart w:id="104"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7"/>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7"/>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7"/>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7"/>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7"/>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7"/>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2026-06-30T01:03:39Z</dcterms:created>
  <dcterms:modified xsi:type="dcterms:W3CDTF">2026-06-30T01:03:39Z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