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</w:p>
    <w:p>
      <w:pPr>
        <w:pStyle w:val="BodyText"/>
      </w:pP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X13fdd90d4a52248b373d8956d1bb4b14c2a45bb"/>
    <w:p>
      <w:pPr>
        <w:pStyle w:val="Heading2"/>
      </w:pPr>
      <w:r>
        <w:t xml:space="preserve">5.3 O Princípio da Ação a Distância (Retardada)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</w:p>
    <w:p>
      <w:pPr>
        <w:pStyle w:val="BodyText"/>
      </w:pP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"/>
    <w:p>
      <w:pPr>
        <w:pStyle w:val="Heading2"/>
      </w:pPr>
      <w:r>
        <w:t xml:space="preserve">9.2 Exercício 2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"/>
    <w:p>
      <w:pPr>
        <w:pStyle w:val="Heading2"/>
      </w:pPr>
      <w:r>
        <w:t xml:space="preserve">9.7 Exercício 7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2026-06-30T01:04:23Z</dcterms:created>
  <dcterms:modified xsi:type="dcterms:W3CDTF">2026-06-30T01:04:23Z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