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9.png" ContentType="image/png"/>
  <Override PartName="/word/media/rId70.png" ContentType="image/png"/>
  <Override PartName="/word/media/rId7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distância euclidiana entre pontos para construir as funções de Green. Isso permite uma generalização natural para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Vale em qualquer dimensão</w:t>
      </w:r>
      <w:r>
        <w:t xml:space="preserve"> </w:t>
      </w:r>
      <m:oMath>
        <m:r>
          <m:t>N</m:t>
        </m:r>
      </m:oMath>
      <w:r>
        <w:t xml:space="preserve">, sem exigir uma decomposição em funções de base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4"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50"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Como</w:t>
            </w:r>
            <w:r>
              <w:t xml:space="preserve"> </w:t>
            </w:r>
            <m:oMath>
              <m:r>
                <m:t>σ</m:t>
              </m:r>
              <m:r>
                <m:rPr>
                  <m:sty m:val="p"/>
                </m:rPr>
                <m:t>=</m:t>
              </m:r>
              <m:sSup>
                <m:e>
                  <m:r>
                    <m:t>r</m:t>
                  </m:r>
                </m:e>
                <m:sup>
                  <m:r>
                    <m:t>2</m:t>
                  </m:r>
                </m:sup>
              </m:sSup>
              <m:r>
                <m:rPr>
                  <m:sty m:val="p"/>
                </m:rPr>
                <m:t>/</m:t>
              </m:r>
              <m:r>
                <m:t>2</m:t>
              </m:r>
            </m:oMath>
            <w:r>
              <w:t xml:space="preserve">, este regulador tende a</w:t>
            </w:r>
            <w:r>
              <w:t xml:space="preserve"> </w:t>
            </w:r>
            <m:oMath>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e não a</w:t>
            </w:r>
            <w:r>
              <w:t xml:space="preserve"> </w:t>
            </w:r>
            <m:oMath>
              <m:r>
                <m:t>1</m:t>
              </m:r>
              <m:r>
                <m:rPr>
                  <m:sty m:val="p"/>
                </m:rPr>
                <m:t>/</m:t>
              </m:r>
              <m:r>
                <m:t>r</m:t>
              </m:r>
            </m:oMath>
            <w:r>
              <w:t xml:space="preserve">. O fator</w:t>
            </w:r>
            <w:r>
              <w:t xml:space="preserve"> </w:t>
            </w:r>
            <m:oMath>
              <m:rad>
                <m:radPr>
                  <m:degHide m:val="on"/>
                </m:radPr>
                <m:deg/>
                <m:e>
                  <m:r>
                    <m:t>2</m:t>
                  </m:r>
                </m:e>
              </m:rad>
            </m:oMath>
            <w:r>
              <w:t xml:space="preserve"> </w:t>
            </w:r>
            <w:r>
              <w:t xml:space="preserve">extra vai aparecer explicitamente no resultado da integral abaixo, e será cancelado na normalização final.</w:t>
            </w:r>
          </w:p>
          <w:p/>
        </w:tc>
      </w:tr>
    </w:tbl>
    <w:bookmarkStart w:id="49"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f>
            <m:fPr>
              <m:type m:val="bar"/>
            </m:fPr>
            <m:num>
              <m:r>
                <m:t>3</m:t>
              </m:r>
            </m:num>
            <m:den>
              <m:r>
                <m:t>2</m:t>
              </m:r>
            </m:den>
          </m:f>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9"/>
    <w:bookmarkEnd w:id="50"/>
    <w:bookmarkStart w:id="54" w:name="integral-normalizada"/>
    <w:p>
      <w:pPr>
        <w:pStyle w:val="Heading2"/>
      </w:pPr>
      <w:r>
        <w:t xml:space="preserve">Integral Normalizada</w:t>
      </w:r>
    </w:p>
    <w:bookmarkStart w:id="52"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m:oMathPara>
    </w:p>
    <w:bookmarkStart w:id="51"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f>
            <m:fPr>
              <m:type m:val="bar"/>
            </m:fPr>
            <m:num>
              <m:r>
                <m:t>3</m:t>
              </m:r>
            </m:num>
            <m:den>
              <m:r>
                <m:t>2</m:t>
              </m:r>
            </m:den>
          </m:f>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(o termo de fronteira se anula em</w:t>
      </w:r>
      <w:r>
        <w:t xml:space="preserve"> </w:t>
      </w:r>
      <m:oMath>
        <m:r>
          <m:t>r</m:t>
        </m:r>
        <m:r>
          <m:rPr>
            <m:sty m:val="p"/>
          </m:rPr>
          <m:t>=</m:t>
        </m:r>
        <m:r>
          <m:t>0</m:t>
        </m:r>
      </m:oMath>
      <w:r>
        <w:t xml:space="preserve"> </w:t>
      </w:r>
      <w:r>
        <w:t xml:space="preserve">e</w:t>
      </w:r>
      <w:r>
        <w:t xml:space="preserve"> </w:t>
      </w:r>
      <m:oMath>
        <m:r>
          <m:t>r</m:t>
        </m:r>
        <m:r>
          <m:rPr>
            <m:sty m:val="p"/>
          </m:rPr>
          <m:t>→</m:t>
        </m:r>
        <m:r>
          <m:rPr>
            <m:sty m:val="p"/>
          </m:rPr>
          <m:t>∞</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r>
            <m:rPr>
              <m:sty m:val="p"/>
            </m:rPr>
            <m:t>=</m:t>
          </m:r>
          <m:f>
            <m:fPr>
              <m:type m:val="bar"/>
            </m:fPr>
            <m:num>
              <m:r>
                <m:t>2</m:t>
              </m:r>
            </m:num>
            <m:den>
              <m:r>
                <m:t>3</m:t>
              </m:r>
            </m:den>
          </m:f>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ad>
                <m:radPr>
                  <m:degHide m:val="on"/>
                </m:radPr>
                <m:deg/>
                <m:e>
                  <m:r>
                    <m:t>2</m:t>
                  </m:r>
                </m:e>
              </m:rad>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ad>
                <m:radPr>
                  <m:degHide m:val="on"/>
                </m:radPr>
                <m:deg/>
                <m:e>
                  <m:r>
                    <m:t>2</m:t>
                  </m:r>
                </m:e>
              </m:rad>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r>
            <m:rPr>
              <m:sty m:val="p"/>
            </m:rPr>
            <m:t>⋅</m:t>
          </m:r>
          <m:f>
            <m:fPr>
              <m:type m:val="bar"/>
            </m:fPr>
            <m:num>
              <m:r>
                <m:t>2</m:t>
              </m:r>
            </m:num>
            <m:den>
              <m:r>
                <m:t>3</m:t>
              </m:r>
            </m:den>
          </m:f>
          <m:r>
            <m:rPr>
              <m:sty m:val="p"/>
            </m:rPr>
            <m:t>⋅</m:t>
          </m:r>
          <m:f>
            <m:fPr>
              <m:type m:val="bar"/>
            </m:fPr>
            <m:num>
              <m:rad>
                <m:radPr>
                  <m:degHide m:val="on"/>
                </m:radPr>
                <m:deg/>
                <m:e>
                  <m:r>
                    <m:t>2</m:t>
                  </m:r>
                </m:e>
              </m:rad>
            </m:num>
            <m:den>
              <m:r>
                <m:t>ε</m:t>
              </m:r>
            </m:den>
          </m:f>
          <m:r>
            <m:rPr>
              <m:sty m:val="p"/>
            </m:rPr>
            <m:t>=</m:t>
          </m:r>
          <m:r>
            <m:rPr>
              <m:sty m:val="p"/>
            </m:rPr>
            <m:t>−</m:t>
          </m:r>
          <m:r>
            <m:t>4</m:t>
          </m:r>
          <m:rad>
            <m:radPr>
              <m:degHide m:val="on"/>
            </m:radPr>
            <m:deg/>
            <m:e>
              <m:r>
                <m:t>2</m:t>
              </m:r>
            </m:e>
          </m:rad>
          <m:r>
            <m:t> </m:t>
          </m:r>
          <m:r>
            <m:t>π</m:t>
          </m:r>
        </m:oMath>
      </m:oMathPara>
    </w:p>
    <w:bookmarkEnd w:id="51"/>
    <w:bookmarkEnd w:id="52"/>
    <w:bookmarkStart w:id="53" w:name="normalização"/>
    <w:p>
      <w:pPr>
        <w:pStyle w:val="Heading3"/>
      </w:pPr>
      <w:r>
        <w:t xml:space="preserve">Normalização</w:t>
      </w:r>
    </w:p>
    <w:p>
      <w:pPr>
        <w:pStyle w:val="FirstParagraph"/>
      </w:pPr>
      <w:r>
        <w:t xml:space="preserve">Como</w:t>
      </w:r>
      <w:r>
        <w:t xml:space="preserve"> </w:t>
      </w:r>
      <m:oMath>
        <m:sSub>
          <m:e>
            <m:r>
              <m:t>G</m:t>
            </m:r>
          </m:e>
          <m:sub>
            <m:r>
              <m:t>ε</m:t>
            </m:r>
          </m:sub>
        </m:sSub>
        <m:r>
          <m:rPr>
            <m:sty m:val="p"/>
          </m:rPr>
          <m:t>→</m:t>
        </m:r>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o fator</w:t>
      </w:r>
      <w:r>
        <w:t xml:space="preserve"> </w:t>
      </w:r>
      <m:oMath>
        <m:rad>
          <m:radPr>
            <m:degHide m:val="on"/>
          </m:radPr>
          <m:deg/>
          <m:e>
            <m:r>
              <m:t>2</m:t>
            </m:r>
          </m:e>
        </m:rad>
      </m:oMath>
      <w:r>
        <w:t xml:space="preserve"> </w:t>
      </w:r>
      <w:r>
        <w:t xml:space="preserve">herdado do resultado acima se cancela exatamente ao dividirmos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f>
            <m:fPr>
              <m:type m:val="bar"/>
            </m:fPr>
            <m:num>
              <m:sSup>
                <m:e>
                  <m:r>
                    <m:t>σ</m:t>
                  </m:r>
                </m:e>
                <m:sup>
                  <m:r>
                    <m:rPr>
                      <m:sty m:val="p"/>
                    </m:rPr>
                    <m:t>−</m:t>
                  </m:r>
                  <m:r>
                    <m:t>1</m:t>
                  </m:r>
                  <m:r>
                    <m:rPr>
                      <m:sty m:val="p"/>
                    </m:rPr>
                    <m:t>/</m:t>
                  </m:r>
                  <m:r>
                    <m:t>2</m:t>
                  </m:r>
                </m:sup>
              </m:sSup>
            </m:num>
            <m:den>
              <m:r>
                <m:rPr>
                  <m:sty m:val="p"/>
                </m:rPr>
                <m:t>−</m:t>
              </m:r>
              <m:r>
                <m:t>4</m:t>
              </m:r>
              <m:rad>
                <m:radPr>
                  <m:degHide m:val="on"/>
                </m:radPr>
                <m:deg/>
                <m:e>
                  <m:r>
                    <m:t>2</m:t>
                  </m:r>
                </m:e>
              </m:rad>
              <m:r>
                <m:t> </m:t>
              </m:r>
              <m:r>
                <m:t>π</m:t>
              </m:r>
            </m:den>
          </m:f>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3"/>
    <w:bookmarkEnd w:id="54"/>
    <w:bookmarkStart w:id="63"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5"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5"/>
    <w:bookmarkStart w:id="58"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ad>
          <m:radPr>
            <m:degHide m:val="on"/>
          </m:radPr>
          <m:deg/>
          <m:e>
            <m:r>
              <m:t>2</m:t>
            </m:r>
          </m:e>
        </m:rad>
        <m:r>
          <m:t> </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ad>
            <m:radPr>
              <m:degHide m:val="on"/>
            </m:radPr>
            <m:deg/>
            <m:e>
              <m:r>
                <m:t>2</m:t>
              </m:r>
            </m:e>
          </m:rad>
          <m:r>
            <m:t> </m:t>
          </m:r>
          <m:r>
            <m:t>π</m:t>
          </m:r>
          <m:r>
            <m:t>f</m:t>
          </m:r>
          <m:r>
            <m:rPr>
              <m:sty m:val="p"/>
            </m:rPr>
            <m:t>(</m:t>
          </m:r>
          <m:sSub>
            <m:e>
              <m:r>
                <m:rPr>
                  <m:sty m:val="b"/>
                </m:rPr>
                <m:t>x</m:t>
              </m:r>
            </m:e>
            <m:sub>
              <m:r>
                <m:t>0</m:t>
              </m:r>
            </m:sub>
          </m:sSub>
          <m:r>
            <m:rPr>
              <m:sty m:val="p"/>
            </m:rPr>
            <m:t>)</m:t>
          </m:r>
        </m:oMath>
      </m:oMathPara>
    </w:p>
    <w:bookmarkEnd w:id="58"/>
    <w:bookmarkStart w:id="62" w:name="normalização-final"/>
    <w:p>
      <w:pPr>
        <w:pStyle w:val="Heading3"/>
      </w:pPr>
      <w:r>
        <w:t xml:space="preserve">Normalização Final</w:t>
      </w:r>
    </w:p>
    <w:p>
      <w:pPr>
        <w:pStyle w:val="FirstParagraph"/>
      </w:pPr>
      <w:r>
        <w:t xml:space="preserve">Dividindo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ad>
                    <m:radPr>
                      <m:degHide m:val="on"/>
                    </m:radPr>
                    <m:deg/>
                    <m:e>
                      <m:r>
                        <m:t>2</m:t>
                      </m:r>
                    </m:e>
                  </m:rad>
                  <m:r>
                    <m:t> </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warning.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2"/>
    <w:bookmarkEnd w:id="63"/>
    <w:bookmarkEnd w:id="64"/>
    <w:bookmarkStart w:id="69" w:name="interpretações-físicas"/>
    <w:p>
      <w:pPr>
        <w:pStyle w:val="Heading1"/>
      </w:pPr>
      <w:r>
        <w:t xml:space="preserve">Interpretações Físicas</w:t>
      </w:r>
    </w:p>
    <w:bookmarkStart w:id="68"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7"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7"/>
    <w:bookmarkEnd w:id="68"/>
    <w:bookmarkEnd w:id="69"/>
    <w:bookmarkStart w:id="82"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3" w:name="fig-greens-functions"/>
          <w:p>
            <w:pPr>
              <w:pStyle w:val="Compact"/>
              <w:jc w:val="center"/>
            </w:pPr>
            <w:r>
              <w:drawing>
                <wp:inline>
                  <wp:extent cx="5334000" cy="1746861"/>
                  <wp:effectExtent b="0" l="0" r="0" t="0"/>
                  <wp:docPr descr="" title="" id="71" name="Picture"/>
                  <a:graphic>
                    <a:graphicData uri="http://schemas.openxmlformats.org/drawingml/2006/picture">
                      <pic:pic>
                        <pic:nvPicPr>
                          <pic:cNvPr descr="green-functions-nd_files/figure-docx/fig-greens-functions-output-1.png" id="72" name="Picture"/>
                          <pic:cNvPicPr>
                            <a:picLocks noChangeArrowheads="1" noChangeAspect="1"/>
                          </pic:cNvPicPr>
                        </pic:nvPicPr>
                        <pic:blipFill>
                          <a:blip r:embed="rId70"/>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3"/>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 (não normalizada, G_ε = (σ+ε)^{-1/2})"""</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 tende a sqrt(2)/r, não 1/r</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(√2/r)"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7" w:name="fig-regularization"/>
          <w:p>
            <w:pPr>
              <w:pStyle w:val="Compact"/>
              <w:jc w:val="center"/>
            </w:pPr>
            <w:r>
              <w:drawing>
                <wp:inline>
                  <wp:extent cx="5334000" cy="4116371"/>
                  <wp:effectExtent b="0" l="0" r="0" t="0"/>
                  <wp:docPr descr="" title="" id="75" name="Picture"/>
                  <a:graphic>
                    <a:graphicData uri="http://schemas.openxmlformats.org/drawingml/2006/picture">
                      <pic:pic>
                        <pic:nvPicPr>
                          <pic:cNvPr descr="green-functions-nd_files/figure-docx/fig-regularization-output-1.png" id="76" name="Picture"/>
                          <pic:cNvPicPr>
                            <a:picLocks noChangeArrowheads="1" noChangeAspect="1"/>
                          </pic:cNvPicPr>
                        </pic:nvPicPr>
                        <pic:blipFill>
                          <a:blip r:embed="rId74"/>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7"/>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81" w:name="fig-laplaciano-regularizado"/>
          <w:p>
            <w:pPr>
              <w:pStyle w:val="Compact"/>
              <w:jc w:val="center"/>
            </w:pPr>
            <w:r>
              <w:drawing>
                <wp:inline>
                  <wp:extent cx="5334000" cy="3992880"/>
                  <wp:effectExtent b="0" l="0" r="0" t="0"/>
                  <wp:docPr descr="" title="" id="79" name="Picture"/>
                  <a:graphic>
                    <a:graphicData uri="http://schemas.openxmlformats.org/drawingml/2006/picture">
                      <pic:pic>
                        <pic:nvPicPr>
                          <pic:cNvPr descr="green-functions-nd_files/figure-docx/fig-laplaciano-regularizado-output-1.png" id="80" name="Picture"/>
                          <pic:cNvPicPr>
                            <a:picLocks noChangeArrowheads="1" noChangeAspect="1"/>
                          </pic:cNvPicPr>
                        </pic:nvPicPr>
                        <pic:blipFill>
                          <a:blip r:embed="rId78"/>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81"/>
        </w:tc>
      </w:tr>
    </w:tbl>
    <w:bookmarkEnd w:id="82"/>
    <w:bookmarkStart w:id="85"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5"/>
    <w:bookmarkStart w:id="98" w:name="exercícios"/>
    <w:p>
      <w:pPr>
        <w:pStyle w:val="Heading1"/>
      </w:pPr>
      <w:r>
        <w:t xml:space="preserve">Exercícios</w:t>
      </w:r>
    </w:p>
    <w:bookmarkStart w:id="86" w:name="exercício-1-função-de-synge"/>
    <w:p>
      <w:pPr>
        <w:pStyle w:val="Heading2"/>
      </w:pPr>
      <w:r>
        <w:t xml:space="preserve">Exercício 1: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r>
        <w:rPr>
          <w:b/>
          <w:bCs/>
        </w:rPr>
        <w:t xml:space="preserve">b)</w:t>
      </w:r>
      <w:r>
        <w:t xml:space="preserve"> </w:t>
      </w:r>
      <w:r>
        <w:t xml:space="preserve">Calcule</w:t>
      </w:r>
      <w:r>
        <w:t xml:space="preserve"> </w:t>
      </w:r>
      <m:oMath>
        <m:r>
          <m:rPr>
            <m:sty m:val="p"/>
          </m:rPr>
          <m:t>∇</m:t>
        </m:r>
        <m:r>
          <m:t>σ</m:t>
        </m:r>
        <m:r>
          <m:rPr>
            <m:sty m:val="p"/>
          </m:rPr>
          <m:t>⋅</m:t>
        </m:r>
        <m:r>
          <m:rPr>
            <m:sty m:val="p"/>
          </m:rPr>
          <m:t>∇</m:t>
        </m:r>
        <m:r>
          <m:t>σ</m:t>
        </m:r>
      </m:oMath>
      <w:r>
        <w:t xml:space="preserve"> </w:t>
      </w:r>
      <w:r>
        <w:t xml:space="preserve">explicitamente.</w:t>
      </w:r>
    </w:p>
    <w:p>
      <w:pPr>
        <w:pStyle w:val="BodyText"/>
      </w:pPr>
      <w:r>
        <w:rPr>
          <w:b/>
          <w:bCs/>
        </w:rPr>
        <w:t xml:space="preserve">c)</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d)</w:t>
      </w:r>
      <w:r>
        <w:t xml:space="preserve"> </w:t>
      </w:r>
      <w:r>
        <w:t xml:space="preserve">Por que escrever a função de Green em termos de</w:t>
      </w:r>
      <w:r>
        <w:t xml:space="preserve"> </w:t>
      </w:r>
      <m:oMath>
        <m:r>
          <m:t>σ</m:t>
        </m:r>
      </m:oMath>
      <w:r>
        <w:t xml:space="preserve"> </w:t>
      </w:r>
      <w:r>
        <w:t xml:space="preserve">evita a necessidade de decompor</w:t>
      </w:r>
      <w:r>
        <w:t xml:space="preserve"> </w:t>
      </w:r>
      <m:oMath>
        <m:r>
          <m:t>G</m:t>
        </m:r>
      </m:oMath>
      <w:r>
        <w:t xml:space="preserve"> </w:t>
      </w:r>
      <w:r>
        <w:t xml:space="preserve">em funções de base, ao contrário do método usado nas aulas anteriores?</w:t>
      </w:r>
    </w:p>
    <w:bookmarkEnd w:id="86"/>
    <w:bookmarkStart w:id="87" w:name="exercício-2-lei-de-potência-essencial"/>
    <w:p>
      <w:pPr>
        <w:pStyle w:val="Heading2"/>
      </w:pPr>
      <w:r>
        <w:t xml:space="preserve">Exercício 2: Lei de Potência</w:t>
      </w:r>
      <w:r>
        <w:t xml:space="preserve"> </w:t>
      </w:r>
      <w:r>
        <w:rPr>
          <w:b/>
          <w:bCs/>
        </w:rPr>
        <w:t xml:space="preserve">(Essencial)</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w:t>
      </w:r>
    </w:p>
    <w:p>
      <w:pPr>
        <w:pStyle w:val="BodyText"/>
      </w:pPr>
      <w:r>
        <w:rPr>
          <w:b/>
          <w:bCs/>
        </w:rPr>
        <w:t xml:space="preserve">c)</w:t>
      </w:r>
      <w:r>
        <w:t xml:space="preserve"> </w:t>
      </w:r>
      <w:r>
        <w:t xml:space="preserve">O que acontece para</w:t>
      </w:r>
      <w:r>
        <w:t xml:space="preserve"> </w:t>
      </w:r>
      <m:oMath>
        <m:r>
          <m:t>N</m:t>
        </m:r>
        <m:r>
          <m:rPr>
            <m:sty m:val="p"/>
          </m:rPr>
          <m:t>=</m:t>
        </m:r>
        <m:r>
          <m:t>2</m:t>
        </m:r>
      </m:oMath>
      <w:r>
        <w:t xml:space="preserve">? Explique por que a lei de potência falha neste caso.</w:t>
      </w:r>
    </w:p>
    <w:p>
      <w:pPr>
        <w:pStyle w:val="BodyText"/>
      </w:pPr>
      <w:r>
        <w:rPr>
          <w:b/>
          <w:bCs/>
        </w:rPr>
        <w:t xml:space="preserve">d)</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7"/>
    <w:bookmarkStart w:id="88" w:name="exercício-3-solução-2d"/>
    <w:p>
      <w:pPr>
        <w:pStyle w:val="Heading2"/>
      </w:pPr>
      <w:r>
        <w:t xml:space="preserve">Exercício 3: Solução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w:t>
      </w:r>
    </w:p>
    <w:p>
      <w:pPr>
        <w:pStyle w:val="BodyText"/>
      </w:pPr>
      <w:r>
        <w:rPr>
          <w:b/>
          <w:bCs/>
        </w:rPr>
        <w:t xml:space="preserve">b)</w:t>
      </w:r>
      <w:r>
        <w:t xml:space="preserve"> </w:t>
      </w:r>
      <w:r>
        <w:t xml:space="preserve">Calcule</w:t>
      </w:r>
      <w:r>
        <w:t xml:space="preserve"> </w:t>
      </w:r>
      <m:oMath>
        <m:sSup>
          <m:e>
            <m:r>
              <m:rPr>
                <m:sty m:val="p"/>
              </m:rPr>
              <m:t>∇</m:t>
            </m:r>
          </m:e>
          <m:sup>
            <m:r>
              <m:t>2</m:t>
            </m:r>
          </m:sup>
        </m:sSup>
        <m:r>
          <m:t>G</m:t>
        </m:r>
      </m:oMath>
      <w:r>
        <w:t xml:space="preserve"> </w:t>
      </w:r>
      <w:r>
        <w:t xml:space="preserve">em</w:t>
      </w:r>
      <w:r>
        <w:t xml:space="preserve"> </w:t>
      </w:r>
      <m:oMath>
        <m:r>
          <m:t>N</m:t>
        </m:r>
      </m:oMath>
      <w:r>
        <w:t xml:space="preserve"> </w:t>
      </w:r>
      <w:r>
        <w:t xml:space="preserve">dimensões para</w:t>
      </w:r>
      <w:r>
        <w:t xml:space="preserve"> </w:t>
      </w:r>
      <m:oMath>
        <m:r>
          <m:t>G</m:t>
        </m:r>
        <m:r>
          <m:rPr>
            <m:sty m:val="p"/>
          </m:rPr>
          <m:t>=</m:t>
        </m:r>
        <m:r>
          <m:rPr>
            <m:sty m:val="p"/>
          </m:rPr>
          <m:t>ln</m:t>
        </m:r>
        <m:r>
          <m:t>σ</m:t>
        </m:r>
      </m:oMath>
      <w:r>
        <w:t xml:space="preserve"> </w:t>
      </w:r>
      <w:r>
        <w:t xml:space="preserve">e verifique que só funciona para</w:t>
      </w:r>
      <w:r>
        <w:t xml:space="preserve"> </w:t>
      </w:r>
      <m:oMath>
        <m:r>
          <m:t>N</m:t>
        </m:r>
        <m:r>
          <m:rPr>
            <m:sty m:val="p"/>
          </m:rPr>
          <m:t>=</m:t>
        </m:r>
        <m:r>
          <m:t>2</m:t>
        </m:r>
      </m:oMath>
      <w:r>
        <w:t xml:space="preserve">.</w:t>
      </w:r>
    </w:p>
    <w:p>
      <w:pPr>
        <w:pStyle w:val="BodyText"/>
      </w:pPr>
      <w:r>
        <w:rPr>
          <w:b/>
          <w:bCs/>
        </w:rPr>
        <w:t xml:space="preserve">c)</w:t>
      </w:r>
      <w:r>
        <w:t xml:space="preserve"> </w:t>
      </w:r>
      <w:r>
        <w:t xml:space="preserve">Qual é a função de Green normalizada em 2D? Justifique o fator de normalização.</w:t>
      </w:r>
    </w:p>
    <w:p>
      <w:pPr>
        <w:pStyle w:val="BodyText"/>
      </w:pPr>
      <w:r>
        <w:rPr>
          <w:b/>
          <w:bCs/>
        </w:rPr>
        <w:t xml:space="preserve">d)</w:t>
      </w:r>
      <w:r>
        <w:t xml:space="preserve"> </w:t>
      </w:r>
      <w:r>
        <w:t xml:space="preserve">Como a solução 2D se relaciona com o limite</w:t>
      </w:r>
      <w:r>
        <w:t xml:space="preserve"> </w:t>
      </w:r>
      <m:oMath>
        <m:r>
          <m:t>N</m:t>
        </m:r>
        <m:r>
          <m:rPr>
            <m:sty m:val="p"/>
          </m:rPr>
          <m:t>→</m:t>
        </m:r>
        <m:r>
          <m:t>2</m:t>
        </m:r>
      </m:oMath>
      <w:r>
        <w:t xml:space="preserve"> </w:t>
      </w:r>
      <w:r>
        <w:t xml:space="preserve">da solução geral?</w:t>
      </w:r>
    </w:p>
    <w:bookmarkEnd w:id="88"/>
    <w:bookmarkStart w:id="89" w:name="exercício-4-regularização-3d-essencial"/>
    <w:p>
      <w:pPr>
        <w:pStyle w:val="Heading2"/>
      </w:pPr>
      <w:r>
        <w:t xml:space="preserve">Exercício 4: Regularização 3D</w:t>
      </w:r>
      <w:r>
        <w:t xml:space="preserve"> </w:t>
      </w:r>
      <w:r>
        <w:rPr>
          <w:b/>
          <w:bCs/>
        </w:rPr>
        <w:t xml:space="preserve">(Essencial)</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w:t>
      </w:r>
    </w:p>
    <w:p>
      <w:pPr>
        <w:pStyle w:val="BodyText"/>
      </w:pPr>
      <w:r>
        <w:rPr>
          <w:b/>
          <w:bCs/>
        </w:rPr>
        <w:t xml:space="preserve">b)</w:t>
      </w:r>
      <w:r>
        <w:t xml:space="preserve"> </w:t>
      </w:r>
      <w:r>
        <w:t xml:space="preserve">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c)</w:t>
      </w:r>
      <w:r>
        <w:t xml:space="preserve"> </w:t>
      </w:r>
      <w:r>
        <w:t xml:space="preserve">Mostre que</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w:r>
        <w:t xml:space="preserve">, e explique por que o fator</w:t>
      </w:r>
      <w:r>
        <w:t xml:space="preserve"> </w:t>
      </w:r>
      <m:oMath>
        <m:rad>
          <m:radPr>
            <m:degHide m:val="on"/>
          </m:radPr>
          <m:deg/>
          <m:e>
            <m:r>
              <m:t>2</m:t>
            </m:r>
          </m:e>
        </m:rad>
      </m:oMath>
      <w:r>
        <w:t xml:space="preserve"> </w:t>
      </w:r>
      <w:r>
        <w:t xml:space="preserve">aparece.</w:t>
      </w:r>
    </w:p>
    <w:p>
      <w:pPr>
        <w:pStyle w:val="BodyText"/>
      </w:pPr>
      <w:r>
        <w:rPr>
          <w:b/>
          <w:bCs/>
        </w:rPr>
        <w:t xml:space="preserve">d)</w:t>
      </w:r>
      <w:r>
        <w:t xml:space="preserve"> </w:t>
      </w:r>
      <w:r>
        <w:t xml:space="preserve">Interprete fisicamente o papel do parâmetro</w:t>
      </w:r>
      <w:r>
        <w:t xml:space="preserve"> </w:t>
      </w:r>
      <m:oMath>
        <m:r>
          <m:t>ε</m:t>
        </m:r>
      </m:oMath>
      <w:r>
        <w:t xml:space="preserve"> </w:t>
      </w:r>
      <w:r>
        <w:t xml:space="preserve">na regularização.</w:t>
      </w:r>
    </w:p>
    <w:bookmarkEnd w:id="89"/>
    <w:bookmarkStart w:id="90" w:name="exercício-5-propriedade-de-filtragem"/>
    <w:p>
      <w:pPr>
        <w:pStyle w:val="Heading2"/>
      </w:pPr>
      <w:r>
        <w:t xml:space="preserve">Exercício 5: Propriedade de Filtragem</w:t>
      </w:r>
    </w:p>
    <w:p>
      <w:pPr>
        <w:pStyle w:val="FirstParagraph"/>
      </w:pPr>
      <w:r>
        <w:rPr>
          <w:b/>
          <w:bCs/>
        </w:rPr>
        <w:t xml:space="preserve">a)</w:t>
      </w:r>
      <w:r>
        <w:t xml:space="preserve"> </w:t>
      </w:r>
      <w:r>
        <w:t xml:space="preserve">Use a expansão de Taylor para mostrar que: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p>
      <w:pPr>
        <w:pStyle w:val="FirstParagraph"/>
      </w:pPr>
      <w:r>
        <w:rPr>
          <w:b/>
          <w:bCs/>
        </w:rPr>
        <w:t xml:space="preserve">b)</w:t>
      </w:r>
      <w:r>
        <w:t xml:space="preserve"> </w:t>
      </w:r>
      <w:r>
        <w:t xml:space="preserve">Mostre que o termo linear em</w:t>
      </w:r>
      <w:r>
        <w:t xml:space="preserve"> </w:t>
      </w:r>
      <m:oMath>
        <m:r>
          <m:rPr>
            <m:sty m:val="p"/>
          </m:rPr>
          <m:t>(</m:t>
        </m:r>
        <m:r>
          <m:rPr>
            <m:sty m:val="b"/>
          </m:rPr>
          <m:t>x</m:t>
        </m:r>
        <m:r>
          <m:rPr>
            <m:sty m:val="p"/>
          </m:rPr>
          <m:t>−</m:t>
        </m:r>
        <m:sSub>
          <m:e>
            <m:r>
              <m:rPr>
                <m:sty m:val="b"/>
              </m:rPr>
              <m:t>x</m:t>
            </m:r>
          </m:e>
          <m:sub>
            <m:r>
              <m:t>0</m:t>
            </m:r>
          </m:sub>
        </m:sSub>
        <m:r>
          <m:rPr>
            <m:sty m:val="p"/>
          </m:rPr>
          <m:t>)</m:t>
        </m:r>
      </m:oMath>
      <w:r>
        <w:t xml:space="preserve"> </w:t>
      </w:r>
      <w:r>
        <w:t xml:space="preserve">contribui com zero.</w:t>
      </w:r>
    </w:p>
    <w:p>
      <w:pPr>
        <w:pStyle w:val="BodyText"/>
      </w:pPr>
      <w:r>
        <w:rPr>
          <w:b/>
          <w:bCs/>
        </w:rPr>
        <w:t xml:space="preserve">c)</w:t>
      </w:r>
      <w:r>
        <w:t xml:space="preserve"> </w:t>
      </w:r>
      <w:r>
        <w:t xml:space="preserve">Mostre que os termos de ordem superior 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w:t>
      </w:r>
    </w:p>
    <w:p>
      <w:pPr>
        <w:pStyle w:val="BodyText"/>
      </w:pPr>
      <w:r>
        <w:rPr>
          <w:b/>
          <w:bCs/>
        </w:rPr>
        <w:t xml:space="preserve">d)</w:t>
      </w:r>
      <w:r>
        <w:t xml:space="preserve"> </w:t>
      </w:r>
      <w:r>
        <w:t xml:space="preserve">O que este resultado prova sobre a natureza do laplaciano da função de Green?</w:t>
      </w:r>
    </w:p>
    <w:bookmarkEnd w:id="90"/>
    <w:bookmarkStart w:id="91" w:name="exercício-6-generalização-nd"/>
    <w:p>
      <w:pPr>
        <w:pStyle w:val="Heading2"/>
      </w:pPr>
      <w:r>
        <w:t xml:space="preserve">Exercício 6: Generalização ND</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Gamma.</w:t>
      </w:r>
    </w:p>
    <w:p>
      <w:pPr>
        <w:pStyle w:val="BodyText"/>
      </w:pPr>
      <w:r>
        <w:rPr>
          <w:b/>
          <w:bCs/>
        </w:rPr>
        <w:t xml:space="preserve">c)</w:t>
      </w:r>
      <w:r>
        <w:t xml:space="preserve"> </w:t>
      </w:r>
      <w:r>
        <w:t xml:space="preserve">Mostre que a normalização é</w:t>
      </w:r>
      <w:r>
        <w:t xml:space="preserve"> </w:t>
      </w:r>
      <m:oMath>
        <m:r>
          <m:rPr>
            <m:sty m:val="p"/>
          </m:rPr>
          <m:t>∝</m:t>
        </m:r>
        <m:r>
          <m:rPr>
            <m:sty m:val="p"/>
          </m:rPr>
          <m:t>(</m:t>
        </m:r>
        <m:r>
          <m:t>N</m:t>
        </m:r>
        <m:r>
          <m:rPr>
            <m:sty m:val="p"/>
          </m:rPr>
          <m:t>−</m:t>
        </m:r>
        <m:r>
          <m:t>2</m:t>
        </m:r>
        <m:r>
          <m:rPr>
            <m:sty m:val="p"/>
          </m:rPr>
          <m:t>)</m:t>
        </m:r>
      </m:oMath>
      <w:r>
        <w:t xml:space="preserve">.</w:t>
      </w:r>
    </w:p>
    <w:p>
      <w:pPr>
        <w:pStyle w:val="BodyText"/>
      </w:pPr>
      <w:r>
        <w:rPr>
          <w:b/>
          <w:bCs/>
        </w:rPr>
        <w:t xml:space="preserve">d)</w:t>
      </w:r>
      <w:r>
        <w:t xml:space="preserve"> </w:t>
      </w:r>
      <w:r>
        <w:t xml:space="preserve">O que acontece com a normalização no limite</w:t>
      </w:r>
      <w:r>
        <w:t xml:space="preserve"> </w:t>
      </w:r>
      <m:oMath>
        <m:r>
          <m:t>N</m:t>
        </m:r>
        <m:r>
          <m:rPr>
            <m:sty m:val="p"/>
          </m:rPr>
          <m:t>→</m:t>
        </m:r>
        <m:r>
          <m:t>2</m:t>
        </m:r>
      </m:oMath>
      <w:r>
        <w:t xml:space="preserve">?</w:t>
      </w:r>
    </w:p>
    <w:bookmarkEnd w:id="91"/>
    <w:bookmarkStart w:id="92" w:name="exercício-7-interpretação-física"/>
    <w:p>
      <w:pPr>
        <w:pStyle w:val="Heading2"/>
      </w:pPr>
      <w:r>
        <w:t xml:space="preserve">Exercício 7: Interpretação Física</w:t>
      </w:r>
    </w:p>
    <w:p>
      <w:pPr>
        <w:pStyle w:val="FirstParagraph"/>
      </w:pPr>
      <w:r>
        <w:rPr>
          <w:b/>
          <w:bCs/>
        </w:rPr>
        <w:t xml:space="preserve">a)</w:t>
      </w:r>
      <w:r>
        <w:t xml:space="preserve"> </w:t>
      </w:r>
      <w:r>
        <w:t xml:space="preserve">Explique por que a lei de Coulomb seria diferente em um universo com 4 dimensões espaciais.</w:t>
      </w:r>
    </w:p>
    <w:p>
      <w:pPr>
        <w:pStyle w:val="BodyText"/>
      </w:pPr>
      <w:r>
        <w:rPr>
          <w:b/>
          <w:bCs/>
        </w:rPr>
        <w:t xml:space="preserve">b)</w:t>
      </w:r>
      <w:r>
        <w:t xml:space="preserve"> </w:t>
      </w:r>
      <w:r>
        <w:t xml:space="preserve">Em teoria de cordas, como dimensões extras poderiam ser detectadas?</w:t>
      </w:r>
    </w:p>
    <w:p>
      <w:pPr>
        <w:pStyle w:val="BodyText"/>
      </w:pPr>
      <w:r>
        <w:rPr>
          <w:b/>
          <w:bCs/>
        </w:rPr>
        <w:t xml:space="preserve">c)</w:t>
      </w:r>
      <w:r>
        <w:t xml:space="preserve"> </w:t>
      </w:r>
      <w:r>
        <w:t xml:space="preserve">O que a precisão da lei de Coulomb nos diz sobre a geometria do espaço?</w:t>
      </w:r>
    </w:p>
    <w:p>
      <w:pPr>
        <w:pStyle w:val="BodyText"/>
      </w:pPr>
      <w:r>
        <w:rPr>
          <w:b/>
          <w:bCs/>
        </w:rPr>
        <w:t xml:space="preserve">d)</w:t>
      </w:r>
      <w:r>
        <w:t xml:space="preserve"> </w:t>
      </w:r>
      <w:r>
        <w:t xml:space="preserve">Como a regularização dimensional se relaciona com a detecção de dimensões extras?</w:t>
      </w:r>
    </w:p>
    <w:bookmarkEnd w:id="92"/>
    <w:bookmarkStart w:id="93" w:name="exercício-8-implementação-numérica"/>
    <w:p>
      <w:pPr>
        <w:pStyle w:val="Heading2"/>
      </w:pPr>
      <w:r>
        <w:t xml:space="preserve">Exercício 8: Implementação Numérica</w:t>
      </w:r>
    </w:p>
    <w:p>
      <w:pPr>
        <w:pStyle w:val="FirstParagraph"/>
      </w:pPr>
      <w:r>
        <w:rPr>
          <w:b/>
          <w:bCs/>
        </w:rPr>
        <w:t xml:space="preserve">a)</w:t>
      </w:r>
      <w:r>
        <w:t xml:space="preserve"> </w:t>
      </w:r>
      <w:r>
        <w:t xml:space="preserve">Escreva um código Python que calcule numericamente o laplaciano da função de Green regularizada.</w:t>
      </w:r>
    </w:p>
    <w:p>
      <w:pPr>
        <w:pStyle w:val="BodyText"/>
      </w:pPr>
      <w:r>
        <w:rPr>
          <w:b/>
          <w:bCs/>
        </w:rPr>
        <w:t xml:space="preserve">b)</w:t>
      </w:r>
      <w:r>
        <w:t xml:space="preserve"> </w:t>
      </w:r>
      <w:r>
        <w:t xml:space="preserve">Verifique que a integral se aproxima de</w:t>
      </w:r>
      <w:r>
        <w:t xml:space="preserve"> </w:t>
      </w:r>
      <m:oMath>
        <m:r>
          <m:rPr>
            <m:sty m:val="p"/>
          </m:rPr>
          <m:t>−</m:t>
        </m:r>
        <m:r>
          <m:t>4</m:t>
        </m:r>
        <m:r>
          <m:t>π</m:t>
        </m:r>
      </m:oMath>
      <w:r>
        <w:t xml:space="preserve"> </w:t>
      </w:r>
      <w:r>
        <w:t xml:space="preserve">para</w:t>
      </w:r>
      <w:r>
        <w:t xml:space="preserve"> </w:t>
      </w:r>
      <m:oMath>
        <m:r>
          <m:t>ε</m:t>
        </m:r>
        <m:r>
          <m:rPr>
            <m:sty m:val="p"/>
          </m:rPr>
          <m:t>→</m:t>
        </m:r>
        <m:r>
          <m:t>0</m:t>
        </m:r>
      </m:oMath>
      <w:r>
        <w:t xml:space="preserve">.</w:t>
      </w:r>
    </w:p>
    <w:p>
      <w:pPr>
        <w:pStyle w:val="BodyText"/>
      </w:pPr>
      <w:r>
        <w:rPr>
          <w:b/>
          <w:bCs/>
        </w:rPr>
        <w:t xml:space="preserve">c)</w:t>
      </w:r>
      <w:r>
        <w:t xml:space="preserve"> </w:t>
      </w:r>
      <w:r>
        <w:t xml:space="preserve">Plote o laplaciano para diferentes valores de</w:t>
      </w:r>
      <w:r>
        <w:t xml:space="preserve"> </w:t>
      </w:r>
      <m:oMath>
        <m:r>
          <m:t>ε</m:t>
        </m:r>
      </m:oMath>
      <w:r>
        <w:t xml:space="preserve"> </w:t>
      </w:r>
      <w:r>
        <w:t xml:space="preserve">e discuta o comportamento.</w:t>
      </w:r>
    </w:p>
    <w:p>
      <w:pPr>
        <w:pStyle w:val="BodyText"/>
      </w:pPr>
      <w:r>
        <w:rPr>
          <w:b/>
          <w:bCs/>
        </w:rPr>
        <w:t xml:space="preserve">d)</w:t>
      </w:r>
      <w:r>
        <w:t xml:space="preserve"> </w:t>
      </w:r>
      <w:r>
        <w:t xml:space="preserve">Como a escolha do método de integração numérica afeta a precisão do resultado?</w:t>
      </w:r>
    </w:p>
    <w:bookmarkEnd w:id="93"/>
    <w:bookmarkStart w:id="94" w:name="exercício-9-conexão-com-eletromagnetismo"/>
    <w:p>
      <w:pPr>
        <w:pStyle w:val="Heading2"/>
      </w:pPr>
      <w:r>
        <w:t xml:space="preserve">Exercício 9: Conexão com Eletromagnetismo</w:t>
      </w:r>
    </w:p>
    <w:p>
      <w:pPr>
        <w:pStyle w:val="FirstParagraph"/>
      </w:pPr>
      <w:r>
        <w:rPr>
          <w:b/>
          <w:bCs/>
        </w:rPr>
        <w:t xml:space="preserve">a)</w:t>
      </w:r>
      <w:r>
        <w:t xml:space="preserve"> </w:t>
      </w:r>
      <w:r>
        <w:t xml:space="preserve">Como a função de Green 3D se relaciona com o potencial eletrostático?</w:t>
      </w:r>
    </w:p>
    <w:p>
      <w:pPr>
        <w:pStyle w:val="BodyText"/>
      </w:pPr>
      <w:r>
        <w:rPr>
          <w:b/>
          <w:bCs/>
        </w:rPr>
        <w:t xml:space="preserve">b)</w:t>
      </w:r>
      <w:r>
        <w:t xml:space="preserve"> </w:t>
      </w:r>
      <w:r>
        <w:t xml:space="preserve">Derive a lei de Coulomb a partir da função de Green.</w:t>
      </w:r>
    </w:p>
    <w:p>
      <w:pPr>
        <w:pStyle w:val="BodyText"/>
      </w:pPr>
      <w:r>
        <w:rPr>
          <w:b/>
          <w:bCs/>
        </w:rPr>
        <w:t xml:space="preserve">c)</w:t>
      </w:r>
      <w:r>
        <w:t xml:space="preserve"> </w:t>
      </w:r>
      <w:r>
        <w:t xml:space="preserve">Qual seria a lei de força em 2D? Em 4D?</w:t>
      </w:r>
    </w:p>
    <w:p>
      <w:pPr>
        <w:pStyle w:val="BodyText"/>
      </w:pPr>
      <w:r>
        <w:rPr>
          <w:b/>
          <w:bCs/>
        </w:rPr>
        <w:t xml:space="preserve">d)</w:t>
      </w:r>
      <w:r>
        <w:t xml:space="preserve"> </w:t>
      </w:r>
      <w:r>
        <w:t xml:space="preserve">Como a lei de Gauss se generaliza para dimensões arbitrárias?</w:t>
      </w:r>
    </w:p>
    <w:bookmarkEnd w:id="94"/>
    <w:bookmarkStart w:id="95" w:name="exercício-10-caso-1d-detalhado"/>
    <w:p>
      <w:pPr>
        <w:pStyle w:val="Heading2"/>
      </w:pPr>
      <w:r>
        <w:t xml:space="preserve">Exercício 10: Caso 1D Detalhado</w:t>
      </w:r>
    </w:p>
    <w:p>
      <w:pPr>
        <w:pStyle w:val="FirstParagraph"/>
      </w:pPr>
      <w:r>
        <w:rPr>
          <w:b/>
          <w:bCs/>
        </w:rPr>
        <w:t xml:space="preserve">a)</w:t>
      </w:r>
      <w:r>
        <w:t xml:space="preserve"> </w:t>
      </w:r>
      <w:r>
        <w:t xml:space="preserve">Mostre que em 1D,</w:t>
      </w:r>
      <w:r>
        <w:t xml:space="preserve"> </w:t>
      </w:r>
      <m:oMath>
        <m:r>
          <m:t>G</m:t>
        </m:r>
        <m:r>
          <m:rPr>
            <m:sty m:val="p"/>
          </m:rPr>
          <m:t>(</m:t>
        </m:r>
        <m:r>
          <m:t>x</m:t>
        </m:r>
        <m:r>
          <m:rPr>
            <m:sty m:val="p"/>
          </m:rPr>
          <m:t>)</m:t>
        </m:r>
        <m:r>
          <m:rPr>
            <m:sty m:val="p"/>
          </m:rPr>
          <m:t>=</m:t>
        </m:r>
        <m:r>
          <m:rPr>
            <m:sty m:val="p"/>
          </m:rPr>
          <m:t>|</m:t>
        </m:r>
        <m:r>
          <m:t>x</m:t>
        </m:r>
        <m:r>
          <m:rPr>
            <m:sty m:val="p"/>
          </m:rPr>
          <m:t>|</m:t>
        </m:r>
        <m:r>
          <m:rPr>
            <m:sty m:val="p"/>
          </m:rPr>
          <m:t>/</m:t>
        </m:r>
        <m:r>
          <m:t>2</m:t>
        </m:r>
      </m:oMath>
      <w:r>
        <w:t xml:space="preserve"> </w:t>
      </w:r>
      <w:r>
        <w:t xml:space="preserve">satisfaz</w:t>
      </w:r>
      <w:r>
        <w:t xml:space="preserve"> </w:t>
      </w:r>
      <m:oMath>
        <m:sSup>
          <m:e>
            <m:r>
              <m:t>G</m:t>
            </m:r>
          </m:e>
          <m:sup>
            <m:r>
              <m:rPr>
                <m:sty m:val="p"/>
              </m:rPr>
              <m:t>″</m:t>
            </m:r>
          </m:sup>
        </m:sSup>
        <m:r>
          <m:rPr>
            <m:sty m:val="p"/>
          </m:rPr>
          <m:t>(</m:t>
        </m:r>
        <m:r>
          <m:t>x</m:t>
        </m:r>
        <m:r>
          <m:rPr>
            <m:sty m:val="p"/>
          </m:rPr>
          <m:t>)</m:t>
        </m:r>
        <m:r>
          <m:rPr>
            <m:sty m:val="p"/>
          </m:rPr>
          <m:t>=</m:t>
        </m:r>
        <m:r>
          <m:t>δ</m:t>
        </m:r>
        <m:r>
          <m:rPr>
            <m:sty m:val="p"/>
          </m:rPr>
          <m:t>(</m:t>
        </m:r>
        <m:r>
          <m:t>x</m:t>
        </m:r>
        <m:r>
          <m:rPr>
            <m:sty m:val="p"/>
          </m:rPr>
          <m:t>)</m:t>
        </m:r>
      </m:oMath>
      <w:r>
        <w:t xml:space="preserve">.</w:t>
      </w:r>
    </w:p>
    <w:p>
      <w:pPr>
        <w:pStyle w:val="BodyText"/>
      </w:pPr>
      <w:r>
        <w:rPr>
          <w:b/>
          <w:bCs/>
        </w:rPr>
        <w:t xml:space="preserve">b)</w:t>
      </w:r>
      <w:r>
        <w:t xml:space="preserve"> </w:t>
      </w:r>
      <w:r>
        <w:t xml:space="preserve">Qual é a interpretação física da função de Green em 1D?</w:t>
      </w:r>
    </w:p>
    <w:p>
      <w:pPr>
        <w:pStyle w:val="BodyText"/>
      </w:pPr>
      <w:r>
        <w:rPr>
          <w:b/>
          <w:bCs/>
        </w:rPr>
        <w:t xml:space="preserve">c)</w:t>
      </w:r>
      <w:r>
        <w:t xml:space="preserve"> </w:t>
      </w:r>
      <w:r>
        <w:t xml:space="preserve">Como a solução 1D se relaciona com o caso geral</w:t>
      </w:r>
      <w:r>
        <w:t xml:space="preserve"> </w:t>
      </w:r>
      <m:oMath>
        <m:r>
          <m:t>N</m:t>
        </m:r>
        <m:r>
          <m:rPr>
            <m:sty m:val="p"/>
          </m:rPr>
          <m:t>=</m:t>
        </m:r>
        <m:r>
          <m:t>1</m:t>
        </m:r>
      </m:oMath>
      <w:r>
        <w:t xml:space="preserve">?</w:t>
      </w:r>
    </w:p>
    <w:p>
      <w:pPr>
        <w:pStyle w:val="BodyText"/>
      </w:pPr>
      <w:r>
        <w:rPr>
          <w:b/>
          <w:bCs/>
        </w:rPr>
        <w:t xml:space="preserve">d)</w:t>
      </w:r>
      <w:r>
        <w:t xml:space="preserve"> </w:t>
      </w:r>
      <w:r>
        <w:t xml:space="preserve">Por que em 1D o potencial não decai com a distância?</w:t>
      </w:r>
    </w:p>
    <w:bookmarkEnd w:id="95"/>
    <w:bookmarkStart w:id="96" w:name="exercício-11-método-de-frobenius"/>
    <w:p>
      <w:pPr>
        <w:pStyle w:val="Heading2"/>
      </w:pPr>
      <w:r>
        <w:t xml:space="preserve">Exercício 11: Método de Frobenius</w:t>
      </w:r>
    </w:p>
    <w:p>
      <w:pPr>
        <w:pStyle w:val="FirstParagraph"/>
      </w:pPr>
      <w:r>
        <w:rPr>
          <w:b/>
          <w:bCs/>
        </w:rPr>
        <w:t xml:space="preserve">a)</w:t>
      </w:r>
      <w:r>
        <w:t xml:space="preserve"> </w:t>
      </w:r>
      <w:r>
        <w:t xml:space="preserve">Explique o método de Frobenius para equações diferenciais com raízes repetidas.</w:t>
      </w:r>
    </w:p>
    <w:p>
      <w:pPr>
        <w:pStyle w:val="BodyText"/>
      </w:pPr>
      <w:r>
        <w:rPr>
          <w:b/>
          <w:bCs/>
        </w:rPr>
        <w:t xml:space="preserve">b)</w:t>
      </w:r>
      <w:r>
        <w:t xml:space="preserve"> </w:t>
      </w:r>
      <w:r>
        <w:t xml:space="preserve">Como este método se aplica ao caso 2D da função de Green?</w:t>
      </w:r>
    </w:p>
    <w:p>
      <w:pPr>
        <w:pStyle w:val="BodyText"/>
      </w:pPr>
      <w:r>
        <w:rPr>
          <w:b/>
          <w:bCs/>
        </w:rPr>
        <w:t xml:space="preserve">c)</w:t>
      </w:r>
      <w:r>
        <w:t xml:space="preserve"> </w:t>
      </w:r>
      <w:r>
        <w:t xml:space="preserve">Mostre que a solução logarítmica surge naturalmente do método de Frobenius.</w:t>
      </w:r>
    </w:p>
    <w:p>
      <w:pPr>
        <w:pStyle w:val="BodyText"/>
      </w:pPr>
      <w:r>
        <w:rPr>
          <w:b/>
          <w:bCs/>
        </w:rPr>
        <w:t xml:space="preserve">d)</w:t>
      </w:r>
      <w:r>
        <w:t xml:space="preserve"> </w:t>
      </w:r>
      <w:r>
        <w:t xml:space="preserve">Compare com a regularização dimensional para obter o mesmo resultado.</w:t>
      </w:r>
    </w:p>
    <w:bookmarkEnd w:id="96"/>
    <w:bookmarkStart w:id="97" w:name="exercício-12-aplicações-práticas"/>
    <w:p>
      <w:pPr>
        <w:pStyle w:val="Heading2"/>
      </w:pPr>
      <w:r>
        <w:t xml:space="preserve">Exercício 12: Aplicações Práticas</w:t>
      </w:r>
    </w:p>
    <w:p>
      <w:pPr>
        <w:pStyle w:val="FirstParagraph"/>
      </w:pPr>
      <w:r>
        <w:rPr>
          <w:b/>
          <w:bCs/>
        </w:rPr>
        <w:t xml:space="preserve">a)</w:t>
      </w:r>
      <w:r>
        <w:t xml:space="preserve"> </w:t>
      </w:r>
      <w:r>
        <w:t xml:space="preserve">Em que áreas da física as funções de Green em diferentes dimensões são utilizadas?</w:t>
      </w:r>
    </w:p>
    <w:p>
      <w:pPr>
        <w:pStyle w:val="BodyText"/>
      </w:pPr>
      <w:r>
        <w:rPr>
          <w:b/>
          <w:bCs/>
        </w:rPr>
        <w:t xml:space="preserve">b)</w:t>
      </w:r>
      <w:r>
        <w:t xml:space="preserve"> </w:t>
      </w:r>
      <w:r>
        <w:t xml:space="preserve">Como a função de Green 2D aparece em sistemas de vórtices?</w:t>
      </w:r>
    </w:p>
    <w:p>
      <w:pPr>
        <w:pStyle w:val="BodyText"/>
      </w:pPr>
      <w:r>
        <w:rPr>
          <w:b/>
          <w:bCs/>
        </w:rPr>
        <w:t xml:space="preserve">c)</w:t>
      </w:r>
      <w:r>
        <w:t xml:space="preserve"> </w:t>
      </w:r>
      <w:r>
        <w:t xml:space="preserve">Qual é a relação entre funções de Green e equações de difusão?</w:t>
      </w:r>
    </w:p>
    <w:p>
      <w:pPr>
        <w:pStyle w:val="BodyText"/>
      </w:pPr>
      <w:r>
        <w:rPr>
          <w:b/>
          <w:bCs/>
        </w:rPr>
        <w:t xml:space="preserve">d)</w:t>
      </w:r>
      <w:r>
        <w:t xml:space="preserve"> </w:t>
      </w:r>
      <w:r>
        <w:t xml:space="preserve">Como a regularização de funções de Green é usada em teoria quântica de campos?</w:t>
      </w:r>
    </w:p>
    <w:bookmarkEnd w:id="97"/>
    <w:bookmarkEnd w:id="98"/>
    <w:bookmarkStart w:id="99"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1"/>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1"/>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1"/>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1"/>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1"/>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1"/>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9" Target="media/rId59.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2026-07-08T16:57:33Z</dcterms:created>
  <dcterms:modified xsi:type="dcterms:W3CDTF">2026-07-08T16:57:33Z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