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Campos Escalares Relativísticos: Bases, Vácuo e Propagadores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introdução"/>
    <w:p>
      <w:pPr>
        <w:pStyle w:val="Heading1"/>
      </w:pPr>
      <w:r>
        <w:t xml:space="preserve">1. Introdução</w:t>
      </w:r>
    </w:p>
    <w:p>
      <w:pPr>
        <w:pStyle w:val="FirstParagraph"/>
      </w:pPr>
      <w:r>
        <w:rPr>
          <w:b/>
          <w:bCs/>
        </w:rPr>
        <w:t xml:space="preserve">Objetivos da Aula:</w:t>
      </w:r>
      <w:r>
        <w:t xml:space="preserve"> </w:t>
      </w:r>
      <w:r>
        <w:t xml:space="preserve">- Construir uma base completa no espaço de fase para campos escalares relativísticos</w:t>
      </w:r>
      <w:r>
        <w:t xml:space="preserve"> </w:t>
      </w:r>
      <w:r>
        <w:t xml:space="preserve">- Explorar a normalização e as liberdades de gauge na escolha da base</w:t>
      </w:r>
      <w:r>
        <w:t xml:space="preserve"> </w:t>
      </w:r>
      <w:r>
        <w:t xml:space="preserve">- Conectar a escolha da base com a definição do vácuo e a simetria de inversão temporal</w:t>
      </w:r>
      <w:r>
        <w:t xml:space="preserve"> </w:t>
      </w:r>
      <w:r>
        <w:t xml:space="preserve">- Desenvolver a solução com fonte (propagador) para o campo escalar</w:t>
      </w:r>
    </w:p>
    <w:p>
      <w:pPr>
        <w:pStyle w:val="BodyText"/>
      </w:pPr>
      <w:r>
        <w:rPr>
          <w:b/>
          <w:bCs/>
        </w:rPr>
        <w:t xml:space="preserve">Contexto:</w:t>
      </w:r>
      <w:r>
        <w:t xml:space="preserve"> </w:t>
      </w:r>
      <w:r>
        <w:t xml:space="preserve">Estendemos o problema do oscilador harmônico para o caso de infinitos graus de liberdade, representando um campo escalar relativístico. A estrutura simplética do espaço de fase agora inclui uma integral sobre todos os modos de Fourier.</w:t>
      </w:r>
    </w:p>
    <w:bookmarkEnd w:id="9"/>
    <w:bookmarkStart w:id="13" w:name="base-no-espaço-de-fase"/>
    <w:p>
      <w:pPr>
        <w:pStyle w:val="Heading1"/>
      </w:pPr>
      <w:r>
        <w:t xml:space="preserve">2. Base no Espaço de Fase</w:t>
      </w:r>
    </w:p>
    <w:bookmarkStart w:id="10" w:name="definição-da-base"/>
    <w:p>
      <w:pPr>
        <w:pStyle w:val="Heading2"/>
      </w:pPr>
      <w:r>
        <w:t xml:space="preserve">2.1 Definição da Base</w:t>
      </w:r>
    </w:p>
    <w:p>
      <w:pPr>
        <w:pStyle w:val="FirstParagraph"/>
      </w:pPr>
      <w:r>
        <w:t xml:space="preserve">Para cada vetor de onda</w:t>
      </w:r>
      <w:r>
        <w:t xml:space="preserve"> </w:t>
      </w:r>
      <m:oMath>
        <m:r>
          <m:rPr>
            <m:sty m:val="bi"/>
          </m:rPr>
          <m:t>k</m:t>
        </m:r>
      </m:oMath>
      <w:r>
        <w:t xml:space="preserve">, definimos pares de funções temporais: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sty m:val="bi"/>
                </m:rP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q</m:t>
              </m:r>
            </m:e>
            <m:sub>
              <m:r>
                <m:rPr>
                  <m:sty m:val="bi"/>
                </m:rP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c</m:t>
        </m:r>
        <m:r>
          <m:t>t</m:t>
        </m:r>
      </m:oMath>
      <w:r>
        <w:t xml:space="preserve"> </w:t>
      </w:r>
      <w:r>
        <w:t xml:space="preserve">é a coordenada temporal. A base completa no espaço de fase é composta por: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bi"/>
                </m:rPr>
                <m:t>k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m:t>k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q</m:t>
                        </m:r>
                      </m:e>
                      <m:sub>
                        <m:r>
                          <m:rPr>
                            <m:sty m:val="bi"/>
                          </m:rPr>
                          <m:t>k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 a dependência espacial dada por</w:t>
      </w:r>
      <w:r>
        <w:t xml:space="preserve"> </w:t>
      </w:r>
      <m:oMath>
        <m:sSup>
          <m:e>
            <m:r>
              <m:t>e</m:t>
            </m:r>
          </m:e>
          <m:sup>
            <m:r>
              <m:t>i</m:t>
            </m:r>
            <m:r>
              <m:rPr>
                <m:sty m:val="bi"/>
              </m:rPr>
              <m:t>k</m:t>
            </m:r>
            <m:r>
              <m:rPr>
                <m:sty m:val="p"/>
              </m:rPr>
              <m:t>⋅</m:t>
            </m:r>
            <m:r>
              <m:rPr>
                <m:sty m:val="bi"/>
              </m:rPr>
              <m:t>x</m:t>
            </m:r>
          </m:sup>
        </m:sSup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Observação:</w:t>
      </w:r>
      <w:r>
        <w:t xml:space="preserve"> </w:t>
      </w:r>
      <w:r>
        <w:t xml:space="preserve">Estamos usando a notação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para a coordenada temporal, seguindo a convenção relativística onde as coordenadas espaço-tempo são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"/>
    <w:bookmarkStart w:id="11" w:name="produto-simplético"/>
    <w:p>
      <w:pPr>
        <w:pStyle w:val="Heading2"/>
      </w:pPr>
      <w:r>
        <w:t xml:space="preserve">2.2 Produto Simplético</w:t>
      </w:r>
    </w:p>
    <w:p>
      <w:pPr>
        <w:pStyle w:val="FirstParagraph"/>
      </w:pPr>
      <w:r>
        <w:t xml:space="preserve">O produto entre dois elementos da base é definido por: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Ψ</m:t>
              </m:r>
            </m:e>
            <m:sub>
              <m:sSup>
                <m:e>
                  <m:r>
                    <m:rPr>
                      <m:sty m:val="bi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bi"/>
                </m:rP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</m:sub>
            <m:sup>
              <m:r>
                <m:t>​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f</m:t>
                      </m:r>
                    </m:e>
                    <m:sub>
                      <m:sSup>
                        <m:e>
                          <m:r>
                            <m:rPr>
                              <m:sty m:val="bi"/>
                            </m:rPr>
                            <m:t>k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sSub>
                    <m:e>
                      <m:r>
                        <m:t>q</m:t>
                      </m:r>
                    </m:e>
                    <m:sub>
                      <m:r>
                        <m:rPr>
                          <m:sty m:val="bi"/>
                        </m:rP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q</m:t>
                      </m:r>
                    </m:e>
                    <m:sub>
                      <m:sSup>
                        <m:e>
                          <m:r>
                            <m:rPr>
                              <m:sty m:val="bi"/>
                            </m:rPr>
                            <m:t>k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sSub>
                    <m:e>
                      <m: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m:t>k</m:t>
                      </m:r>
                    </m:sub>
                  </m:sSub>
                </m:e>
              </m:d>
            </m:e>
          </m:nary>
          <m:sSup>
            <m:e>
              <m:r>
                <m:t>d</m:t>
              </m:r>
            </m:e>
            <m:sup>
              <m:r>
                <m:t>3</m:t>
              </m:r>
            </m:sup>
          </m:sSup>
          <m:r>
            <m:t>x</m:t>
          </m:r>
        </m:oMath>
      </m:oMathPara>
    </w:p>
    <w:p>
      <w:pPr>
        <w:pStyle w:val="FirstParagraph"/>
      </w:pPr>
      <w:r>
        <w:t xml:space="preserve">Substituindo as dependências espaciais: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Ψ</m:t>
              </m:r>
            </m:e>
            <m:sub>
              <m:sSup>
                <m:e>
                  <m:r>
                    <m:rPr>
                      <m:sty m:val="bi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bi"/>
                </m:rP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f</m:t>
                  </m:r>
                </m:e>
                <m:sub>
                  <m:r>
                    <m:rPr>
                      <m:sty m:val="bi"/>
                    </m:rPr>
                    <m:t>k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sSub>
                <m:e>
                  <m:r>
                    <m:t>q</m:t>
                  </m:r>
                </m:e>
                <m:sub>
                  <m:r>
                    <m:rPr>
                      <m:sty m:val="bi"/>
                    </m:rP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r>
                    <m:t>q</m:t>
                  </m:r>
                </m:e>
                <m:sub>
                  <m:r>
                    <m:rPr>
                      <m:sty m:val="bi"/>
                    </m:rPr>
                    <m:t>k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sSub>
                <m:e>
                  <m:r>
                    <m:t>f</m:t>
                  </m:r>
                </m:e>
                <m:sub>
                  <m:r>
                    <m:rPr>
                      <m:sty m:val="bi"/>
                    </m:rPr>
                    <m:t>k</m:t>
                  </m:r>
                </m:sub>
              </m:sSub>
            </m:e>
          </m:d>
          <m:sSup>
            <m:e>
              <m:r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r>
            <m:rPr>
              <m:sty m:val="bi"/>
            </m:rPr>
            <m:t>k</m:t>
          </m:r>
          <m:r>
            <m:rPr>
              <m:sty m:val="p"/>
            </m:rPr>
            <m:t>−</m:t>
          </m:r>
          <m:sSup>
            <m:e>
              <m:r>
                <m:rPr>
                  <m:sty m:val="bi"/>
                </m:rP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base é ortogonal com normalização delta de Dirac.</w:t>
      </w:r>
    </w:p>
    <w:bookmarkEnd w:id="11"/>
    <w:bookmarkStart w:id="12" w:name="normalização-da-base"/>
    <w:p>
      <w:pPr>
        <w:pStyle w:val="Heading2"/>
      </w:pPr>
      <w:r>
        <w:t xml:space="preserve">2.3 Normalização da Base</w:t>
      </w:r>
    </w:p>
    <w:p>
      <w:pPr>
        <w:pStyle w:val="FirstParagraph"/>
      </w:pPr>
      <w:r>
        <w:t xml:space="preserve">Para que a base seja ortonormal no sentido da delta de Dirac: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f</m:t>
                  </m:r>
                </m:e>
                <m:sub>
                  <m:r>
                    <m:rPr>
                      <m:sty m:val="bi"/>
                    </m:rPr>
                    <m:t>k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sSub>
                <m:e>
                  <m:r>
                    <m:t>q</m:t>
                  </m:r>
                </m:e>
                <m:sub>
                  <m:r>
                    <m:rPr>
                      <m:sty m:val="bi"/>
                    </m:rP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r>
                    <m:t>q</m:t>
                  </m:r>
                </m:e>
                <m:sub>
                  <m:r>
                    <m:rPr>
                      <m:sty m:val="bi"/>
                    </m:rPr>
                    <m:t>k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sSub>
                <m:e>
                  <m:r>
                    <m:t>f</m:t>
                  </m:r>
                </m:e>
                <m:sub>
                  <m:r>
                    <m:rPr>
                      <m:sty m:val="bi"/>
                    </m:rPr>
                    <m:t>k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Equivalentemente: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 </m:t>
          </m:r>
          <m:r>
            <m:rPr>
              <m:nor/>
              <m:sty m:val="p"/>
            </m:rPr>
            <m:t>Im</m:t>
          </m:r>
          <m:r>
            <m:rPr>
              <m:sty m:val="p"/>
            </m:rPr>
            <m:t>(</m:t>
          </m:r>
          <m:sSubSup>
            <m:e>
              <m:r>
                <m:t>f</m:t>
              </m:r>
            </m:e>
            <m:sub>
              <m:r>
                <m:rPr>
                  <m:sty m:val="bi"/>
                </m:rPr>
                <m:t>k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b>
            <m:e>
              <m:r>
                <m:t>q</m:t>
              </m:r>
            </m:e>
            <m:sub>
              <m:r>
                <m:rPr>
                  <m:sty m:val="bi"/>
                </m:rP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BlockText"/>
      </w:pPr>
      <w:r>
        <w:rPr>
          <w:b/>
          <w:bCs/>
        </w:rPr>
        <w:t xml:space="preserve">Definição (Vácuo):</w:t>
      </w:r>
      <w:r>
        <w:t xml:space="preserve"> </w:t>
      </w:r>
      <w:r>
        <w:t xml:space="preserve">A escolha das funções de base que satisfazem a condição de normalização define o vácuo da teoria. Diferentes escolhas correspondem a diferentes definições de vácuo.</w:t>
      </w:r>
    </w:p>
    <w:bookmarkEnd w:id="12"/>
    <w:bookmarkEnd w:id="13"/>
    <w:bookmarkStart w:id="19" w:name="liberdades-na-escolha-da-base"/>
    <w:p>
      <w:pPr>
        <w:pStyle w:val="Heading1"/>
      </w:pPr>
      <w:r>
        <w:t xml:space="preserve">3. Liberdades na Escolha da Base</w:t>
      </w:r>
    </w:p>
    <w:bookmarkStart w:id="14" w:name="graus-de-liberdade"/>
    <w:p>
      <w:pPr>
        <w:pStyle w:val="Heading2"/>
      </w:pPr>
      <w:r>
        <w:t xml:space="preserve">3.1 Graus de Liberdade</w:t>
      </w:r>
    </w:p>
    <w:p>
      <w:pPr>
        <w:pStyle w:val="FirstParagraph"/>
      </w:pPr>
      <w:r>
        <w:t xml:space="preserve">Para cada</w:t>
      </w:r>
      <w:r>
        <w:t xml:space="preserve"> </w:t>
      </w:r>
      <m:oMath>
        <m:r>
          <m:rPr>
            <m:sty m:val="bi"/>
          </m:rPr>
          <m:t>k</m:t>
        </m:r>
      </m:oMath>
      <w:r>
        <w:t xml:space="preserve">, temos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ty m:val="bi"/>
              </m:rPr>
              <m:t>k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rPr>
                <m:sty m:val="bi"/>
              </m:rP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(4 graus de liberdade reais). As restrições são: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Equação de normalização:</w:t>
      </w:r>
      <w:r>
        <w:t xml:space="preserve"> </w:t>
      </w:r>
      <w:r>
        <w:t xml:space="preserve">1 equação real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3 graus de liberdade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Liberdade de gauge (fase):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ty m:val="bi"/>
              </m:rPr>
              <m:t>k</m:t>
            </m:r>
          </m:sub>
        </m:sSub>
        <m:r>
          <m:rPr>
            <m:sty m:val="p"/>
          </m:rPr>
          <m:t>→</m:t>
        </m:r>
        <m:sSup>
          <m:e>
            <m:r>
              <m:t>e</m:t>
            </m:r>
          </m:e>
          <m:sup>
            <m:r>
              <m:t>i</m:t>
            </m:r>
            <m:sSub>
              <m:e>
                <m:r>
                  <m:t>θ</m:t>
                </m:r>
              </m:e>
              <m:sub>
                <m:r>
                  <m:rPr>
                    <m:sty m:val="bi"/>
                  </m:rPr>
                  <m:t>k</m:t>
                </m:r>
              </m:sub>
            </m:sSub>
          </m:sup>
        </m:sSup>
        <m:sSub>
          <m:e>
            <m:r>
              <m:t>f</m:t>
            </m:r>
          </m:e>
          <m:sub>
            <m:r>
              <m:rPr>
                <m:sty m:val="bi"/>
              </m:rPr>
              <m:t>k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bi"/>
              </m:rPr>
              <m:t>k</m:t>
            </m:r>
          </m:sub>
        </m:sSub>
        <m:r>
          <m:rPr>
            <m:sty m:val="p"/>
          </m:rPr>
          <m:t>→</m:t>
        </m:r>
        <m:sSup>
          <m:e>
            <m:r>
              <m:t>e</m:t>
            </m:r>
          </m:e>
          <m:sup>
            <m:r>
              <m:t>i</m:t>
            </m:r>
            <m:sSub>
              <m:e>
                <m:r>
                  <m:t>θ</m:t>
                </m:r>
              </m:e>
              <m:sub>
                <m:r>
                  <m:rPr>
                    <m:sty m:val="bi"/>
                  </m:rPr>
                  <m:t>k</m:t>
                </m:r>
              </m:sub>
            </m:sSub>
          </m:sup>
        </m:sSup>
        <m:sSub>
          <m:e>
            <m:r>
              <m:t>q</m:t>
            </m:r>
          </m:e>
          <m:sub>
            <m:r>
              <m:rPr>
                <m:sty m:val="bi"/>
              </m:rPr>
              <m:t>k</m:t>
            </m:r>
          </m:sub>
        </m:sSub>
      </m:oMath>
    </w:p>
    <w:p>
      <w:pPr>
        <w:pStyle w:val="FirstParagraph"/>
      </w:pPr>
      <w:r>
        <w:t xml:space="preserve">A liberdade de fase reduz mais um grau de liberdade, resultando em</w:t>
      </w:r>
      <w:r>
        <w:t xml:space="preserve"> </w:t>
      </w:r>
      <w:r>
        <w:rPr>
          <w:b/>
          <w:bCs/>
        </w:rPr>
        <w:t xml:space="preserve">2 graus de liberdade</w:t>
      </w:r>
      <w:r>
        <w:t xml:space="preserve"> </w:t>
      </w:r>
      <w:r>
        <w:t xml:space="preserve">efetivos.</w:t>
      </w:r>
    </w:p>
    <w:p>
      <w:pPr>
        <w:pStyle w:val="BlockText"/>
      </w:pPr>
      <w:r>
        <w:rPr>
          <w:b/>
          <w:bCs/>
        </w:rPr>
        <w:t xml:space="preserve">Observação:</w:t>
      </w:r>
      <w:r>
        <w:t xml:space="preserve"> </w:t>
      </w:r>
      <w:r>
        <w:t xml:space="preserve">A liberdade de fase corresponde à ambiguidade na definição das soluções complexas: dadas duas soluções reais independentes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(como na construção da aula anterior), podemos escolher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i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ou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i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ou qualquer combinação linear equivalente.</w:t>
      </w:r>
    </w:p>
    <w:bookmarkEnd w:id="14"/>
    <w:bookmarkStart w:id="15" w:name="solução-geral-do-oscilador-harmônico"/>
    <w:p>
      <w:pPr>
        <w:pStyle w:val="Heading2"/>
      </w:pPr>
      <w:r>
        <w:t xml:space="preserve">3.2 Solução Geral do Oscilador Harmônico</w:t>
      </w:r>
    </w:p>
    <w:p>
      <w:pPr>
        <w:pStyle w:val="FirstParagraph"/>
      </w:pPr>
      <w:r>
        <w:t xml:space="preserve">A equação de movimento no espaço de Fourier é: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̈"/>
                </m:accPr>
                <m:e>
                  <m:r>
                    <m:t>f</m:t>
                  </m:r>
                </m:e>
              </m:acc>
            </m:e>
            <m:sub>
              <m:r>
                <m:rPr>
                  <m:sty m:val="bi"/>
                </m:rP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Sup>
            <m:e>
              <m:r>
                <m:t>ω</m:t>
              </m:r>
            </m:e>
            <m:sub>
              <m:r>
                <m:rPr>
                  <m:sty m:val="bi"/>
                </m:rPr>
                <m:t>k</m:t>
              </m:r>
            </m:sub>
            <m:sup>
              <m:r>
                <m:t>2</m:t>
              </m:r>
            </m:sup>
          </m:sSubSup>
          <m:sSub>
            <m:e>
              <m:r>
                <m:t>f</m:t>
              </m:r>
            </m:e>
            <m:sub>
              <m:r>
                <m:rPr>
                  <m:sty m:val="bi"/>
                </m:rPr>
                <m:t>k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ω</m:t>
              </m:r>
            </m:e>
            <m:sub>
              <m:r>
                <m:rPr>
                  <m:sty m:val="bi"/>
                </m:rP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rPr>
              <m:sty m:val="bi"/>
            </m:rPr>
            <m:t>k</m:t>
          </m:r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t xml:space="preserve">A solução geral é: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sty m:val="bi"/>
                </m:rP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rPr>
                  <m:sty m:val="bi"/>
                </m:rPr>
                <m:t>k</m:t>
              </m:r>
            </m:sub>
          </m:sSub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i</m:t>
              </m:r>
              <m:sSub>
                <m:e>
                  <m:r>
                    <m:t>ω</m:t>
                  </m:r>
                </m:e>
                <m:sub>
                  <m:r>
                    <m:rPr>
                      <m:sty m:val="bi"/>
                    </m:rPr>
                    <m:t>k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sup>
          </m:sSup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rPr>
                  <m:sty m:val="bi"/>
                </m:rPr>
                <m:t>k</m:t>
              </m:r>
            </m:sub>
          </m:sSub>
          <m:sSup>
            <m:e>
              <m:r>
                <m:t>e</m:t>
              </m:r>
            </m:e>
            <m:sup>
              <m:r>
                <m:rPr>
                  <m:sty m:val="p"/>
                </m:rPr>
                <m:t>+</m:t>
              </m:r>
              <m:r>
                <m:t>i</m:t>
              </m:r>
              <m:sSub>
                <m:e>
                  <m:r>
                    <m:t>ω</m:t>
                  </m:r>
                </m:e>
                <m:sub>
                  <m:r>
                    <m:rPr>
                      <m:sty m:val="bi"/>
                    </m:rPr>
                    <m:t>k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sup>
          </m:sSup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bi"/>
              </m:rPr>
              <m:t>k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rPr>
                <m:sty m:val="bi"/>
              </m:rP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Observação:</w:t>
      </w:r>
      <w:r>
        <w:t xml:space="preserve"> </w:t>
      </w:r>
      <w:r>
        <w:t xml:space="preserve">O primeiro termo representa frequências positivas (propagação para frente no tempo), e o segundo, frequências negativas (propagação para trás no tempo).</w:t>
      </w:r>
    </w:p>
    <w:bookmarkEnd w:id="15"/>
    <w:bookmarkStart w:id="16" w:name="Xcc911e0b1653d4ac702db0972da50c128ddf279"/>
    <w:p>
      <w:pPr>
        <w:pStyle w:val="Heading2"/>
      </w:pPr>
      <w:r>
        <w:t xml:space="preserve">3.3 Condição de Normalização em Termos de N e M</w:t>
      </w:r>
    </w:p>
    <w:p>
      <w:pPr>
        <w:pStyle w:val="FirstParagraph"/>
      </w:pPr>
      <w:r>
        <w:t xml:space="preserve">Da condição de normalização: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sSub>
            <m:e>
              <m:r>
                <m:t>ω</m:t>
              </m:r>
            </m:e>
            <m:sub>
              <m:r>
                <m:rPr>
                  <m:sty m:val="bi"/>
                </m:rPr>
                <m:t>k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|</m:t>
              </m:r>
              <m:sSub>
                <m:e>
                  <m:r>
                    <m:t>N</m:t>
                  </m:r>
                </m:e>
                <m:sub>
                  <m:r>
                    <m:rPr>
                      <m:sty m:val="bi"/>
                    </m:rP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bi"/>
                    </m:rP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ou, equivalentemente: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rPr>
                  <m:sty m:val="bi"/>
                </m:rPr>
                <m:t>k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|</m:t>
              </m:r>
              <m:sSub>
                <m:e>
                  <m:r>
                    <m:t>N</m:t>
                  </m:r>
                </m:e>
                <m:sub>
                  <m:r>
                    <m:rPr>
                      <m:sty m:val="bi"/>
                    </m:rP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bi"/>
                    </m:rP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BlockText"/>
      </w:pPr>
      <w:r>
        <w:rPr>
          <w:b/>
          <w:bCs/>
        </w:rPr>
        <w:t xml:space="preserve">Observação:</w:t>
      </w:r>
      <w:r>
        <w:t xml:space="preserve"> </w:t>
      </w:r>
      <w:r>
        <w:t xml:space="preserve">Esta é uma relação hiperbólica que define vetores tipo tempo no espaço de Minkowski.</w:t>
      </w:r>
    </w:p>
    <w:bookmarkEnd w:id="16"/>
    <w:bookmarkStart w:id="17" w:name="escolha-do-vácuo"/>
    <w:p>
      <w:pPr>
        <w:pStyle w:val="Heading2"/>
      </w:pPr>
      <w:r>
        <w:t xml:space="preserve">3.4 Escolha do Vácuo</w:t>
      </w:r>
    </w:p>
    <w:p>
      <w:pPr>
        <w:pStyle w:val="FirstParagraph"/>
      </w:pPr>
      <w:r>
        <w:t xml:space="preserve">A escolha mais simples é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sty m:val="bi"/>
              </m:rP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resultando: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sty m:val="bi"/>
                </m:rP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m:t>k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Isso define as funções de base: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sty m:val="bi"/>
                </m:rP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m:t>k</m:t>
                      </m:r>
                    </m:sub>
                  </m:sSub>
                </m:e>
              </m:rad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i</m:t>
              </m:r>
              <m:sSub>
                <m:e>
                  <m:r>
                    <m:t>ω</m:t>
                  </m:r>
                </m:e>
                <m:sub>
                  <m:r>
                    <m:rPr>
                      <m:sty m:val="bi"/>
                    </m:rPr>
                    <m:t>k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sup>
          </m:sSup>
          <m:sSup>
            <m:e>
              <m:r>
                <m:t>e</m:t>
              </m:r>
            </m:e>
            <m:sup>
              <m:r>
                <m:t>i</m:t>
              </m:r>
              <m:r>
                <m:rPr>
                  <m:sty m:val="bi"/>
                </m:rPr>
                <m:t>k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sty m:val="bi"/>
                </m:rP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i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m:t>k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</m:e>
          </m:ra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i</m:t>
              </m:r>
              <m:sSub>
                <m:e>
                  <m:r>
                    <m:t>ω</m:t>
                  </m:r>
                </m:e>
                <m:sub>
                  <m:r>
                    <m:rPr>
                      <m:sty m:val="bi"/>
                    </m:rPr>
                    <m:t>k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sup>
          </m:sSup>
          <m:sSup>
            <m:e>
              <m:r>
                <m:t>e</m:t>
              </m:r>
            </m:e>
            <m:sup>
              <m:r>
                <m:t>i</m:t>
              </m:r>
              <m:r>
                <m:rPr>
                  <m:sty m:val="bi"/>
                </m:rPr>
                <m:t>k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</m:sup>
          </m:sSup>
        </m:oMath>
      </m:oMathPara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Esta escolha elimina as soluções de frequência negativa, definindo o vácuo de Minkowski. O fator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que garante a ortogonalidade correta aparece na medida</w:t>
      </w:r>
      <w:r>
        <w:t xml:space="preserve"> </w:t>
      </w:r>
      <m:oMath>
        <m:sSup>
          <m:e>
            <m:r>
              <m:t>d</m:t>
            </m:r>
          </m:e>
          <m:sup>
            <m:r>
              <m:t>3</m:t>
            </m:r>
          </m:sup>
        </m:sSup>
        <m:r>
          <m:t>k</m:t>
        </m:r>
      </m:oMath>
      <w:r>
        <w:t xml:space="preserve"> </w:t>
      </w:r>
      <w:r>
        <w:t xml:space="preserve">da decomposição do campo (abaixo), não nas próprias funções de base.</w:t>
      </w:r>
    </w:p>
    <w:bookmarkEnd w:id="17"/>
    <w:bookmarkStart w:id="18" w:name="complexo-conjugado-e-inversão-temporal"/>
    <w:p>
      <w:pPr>
        <w:pStyle w:val="Heading2"/>
      </w:pPr>
      <w:r>
        <w:t xml:space="preserve">3.5 Complexo Conjugado e Inversão Temporal</w:t>
      </w:r>
    </w:p>
    <w:p>
      <w:pPr>
        <w:pStyle w:val="FirstParagraph"/>
      </w:pPr>
      <w:r>
        <w:t xml:space="preserve">O complexo conjugado das funções de base: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f</m:t>
              </m:r>
            </m:e>
            <m:sub>
              <m:r>
                <m:rPr>
                  <m:sty m:val="bi"/>
                </m:rPr>
                <m:t>k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m:t>k</m:t>
                      </m:r>
                    </m:sub>
                  </m:sSub>
                </m:e>
              </m:rad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+</m:t>
              </m:r>
              <m:r>
                <m:t>i</m:t>
              </m:r>
              <m:sSub>
                <m:e>
                  <m:r>
                    <m:t>ω</m:t>
                  </m:r>
                </m:e>
                <m:sub>
                  <m:r>
                    <m:rPr>
                      <m:sty m:val="bi"/>
                    </m:rPr>
                    <m:t>k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bi"/>
                </m:rPr>
                <m:t>k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q</m:t>
              </m:r>
            </m:e>
            <m:sub>
              <m:r>
                <m:rPr>
                  <m:sty m:val="bi"/>
                </m:rPr>
                <m:t>k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i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m:t>k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</m:e>
          </m:rad>
          <m:sSup>
            <m:e>
              <m:r>
                <m:t>e</m:t>
              </m:r>
            </m:e>
            <m:sup>
              <m:r>
                <m:rPr>
                  <m:sty m:val="p"/>
                </m:rPr>
                <m:t>+</m:t>
              </m:r>
              <m:r>
                <m:t>i</m:t>
              </m:r>
              <m:sSub>
                <m:e>
                  <m:r>
                    <m:t>ω</m:t>
                  </m:r>
                </m:e>
                <m:sub>
                  <m:r>
                    <m:rPr>
                      <m:sty m:val="bi"/>
                    </m:rPr>
                    <m:t>k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bi"/>
                </m:rPr>
                <m:t>k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Propriedade Fundamental:</w:t>
      </w:r>
      <w:r>
        <w:t xml:space="preserve"> </w:t>
      </w:r>
      <w:r>
        <w:t xml:space="preserve">Tomar o complexo conjugado é equivalente a uma inversão temporal: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Consequência:</w:t>
      </w:r>
      <w:r>
        <w:t xml:space="preserve"> </w:t>
      </w:r>
      <w:r>
        <w:t xml:space="preserve">A presença da simetria de inversão temporal implica a existência de partículas e antipartículas na teoria quântica de campos. Esta é uma consequência geométrica da métrica de Minkowski.</w:t>
      </w:r>
    </w:p>
    <w:bookmarkEnd w:id="18"/>
    <w:bookmarkEnd w:id="19"/>
    <w:bookmarkStart w:id="22" w:name="decomposição-de-campos"/>
    <w:p>
      <w:pPr>
        <w:pStyle w:val="Heading1"/>
      </w:pPr>
      <w:r>
        <w:t xml:space="preserve">4. Decomposição de Campos</w:t>
      </w:r>
    </w:p>
    <w:bookmarkStart w:id="20" w:name="decomposição-em-modos"/>
    <w:p>
      <w:pPr>
        <w:pStyle w:val="Heading2"/>
      </w:pPr>
      <w:r>
        <w:t xml:space="preserve">4.1 Decomposição em Modos</w:t>
      </w:r>
    </w:p>
    <w:p>
      <w:pPr>
        <w:pStyle w:val="FirstParagraph"/>
      </w:pPr>
      <w:r>
        <w:t xml:space="preserve">Qualquer campo escalar real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pode ser decomposto como: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d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t>k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</m:e>
          </m:nary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rPr>
                      <m:sty m:val="bi"/>
                    </m:rPr>
                    <m:t>k</m:t>
                  </m:r>
                </m:sub>
              </m:sSub>
              <m:sSub>
                <m:e>
                  <m:r>
                    <m:t>f</m:t>
                  </m:r>
                </m:e>
                <m:sub>
                  <m:r>
                    <m:rPr>
                      <m:sty m:val="bi"/>
                    </m:rP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α</m:t>
                  </m:r>
                </m:e>
                <m:sub>
                  <m:r>
                    <m:rPr>
                      <m:sty m:val="bi"/>
                    </m:rPr>
                    <m:t>k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sSubSup>
                <m:e>
                  <m:r>
                    <m:t>f</m:t>
                  </m:r>
                </m:e>
                <m:sub>
                  <m:r>
                    <m:rPr>
                      <m:sty m:val="bi"/>
                    </m:rPr>
                    <m:t>k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ou, de forma equivalente: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d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t>k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</m:e>
          </m:nary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m:t>k</m:t>
                      </m:r>
                    </m:sub>
                  </m:sSub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rPr>
                      <m:sty m:val="bi"/>
                    </m:rPr>
                    <m:t>k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t>k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a</m:t>
                  </m:r>
                </m:e>
                <m:sub>
                  <m:r>
                    <m:rPr>
                      <m:sty m:val="bi"/>
                    </m:rPr>
                    <m:t>k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t>k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r>
          <m:t>k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rPr>
                <m:sty m:val="bi"/>
              </m:rPr>
              <m:t>k</m:t>
            </m:r>
          </m:sub>
        </m:sSub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k</m:t>
        </m:r>
        <m:r>
          <m:rPr>
            <m:sty m:val="p"/>
          </m:rPr>
          <m:t>⋅</m:t>
        </m:r>
        <m:r>
          <m:rPr>
            <m:sty m:val="bi"/>
          </m:rPr>
          <m:t>x</m:t>
        </m:r>
      </m:oMath>
      <w:r>
        <w:t xml:space="preserve">.</w:t>
      </w:r>
    </w:p>
    <w:bookmarkEnd w:id="20"/>
    <w:bookmarkStart w:id="21" w:name="coeficientes-de-decomposição"/>
    <w:p>
      <w:pPr>
        <w:pStyle w:val="Heading2"/>
      </w:pPr>
      <w:r>
        <w:t xml:space="preserve">4.2 Coeficientes de Decomposição</w:t>
      </w:r>
    </w:p>
    <w:p>
      <w:pPr>
        <w:pStyle w:val="FirstParagraph"/>
      </w:pPr>
      <w:r>
        <w:t xml:space="preserve">Os coeficientes são obtidos pelo produto simplético: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rPr>
                  <m:sty m:val="bi"/>
                </m:rP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sSubSup>
            <m:e>
              <m:r>
                <m:t>f</m:t>
              </m:r>
            </m:e>
            <m:sub>
              <m:r>
                <m:rPr>
                  <m:sty m:val="bi"/>
                </m:rPr>
                <m:t>k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,</m:t>
          </m:r>
          <m:r>
            <m:t>ϕ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</m:sub>
            <m:sup>
              <m:r>
                <m:t>​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sSub>
                    <m:e>
                      <m:r>
                        <m:t>q</m:t>
                      </m:r>
                    </m:e>
                    <m:sub>
                      <m:r>
                        <m:t>ϕ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q</m:t>
                      </m:r>
                    </m:e>
                    <m:sub>
                      <m:r>
                        <m:rPr>
                          <m:sty m:val="bi"/>
                        </m:rP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sSub>
                    <m:e>
                      <m:r>
                        <m:t>f</m:t>
                      </m:r>
                    </m:e>
                    <m:sub>
                      <m:r>
                        <m:t>ϕ</m:t>
                      </m:r>
                    </m:sub>
                  </m:sSub>
                </m:e>
              </m:d>
            </m:e>
          </m:nary>
          <m:sSup>
            <m:e>
              <m:r>
                <m:t>d</m:t>
              </m:r>
            </m:e>
            <m:sup>
              <m:r>
                <m:t>3</m:t>
              </m:r>
            </m:sup>
          </m:sSup>
          <m:r>
            <m:t>x</m:t>
          </m:r>
        </m:oMath>
      </m:oMathPara>
    </w:p>
    <w:p>
      <w:pPr>
        <w:pStyle w:val="FirstParagraph"/>
      </w:pPr>
      <w:r>
        <w:t xml:space="preserve">Esta relação é fundamental para a quantização do campo.</w:t>
      </w:r>
    </w:p>
    <w:bookmarkEnd w:id="21"/>
    <w:bookmarkEnd w:id="22"/>
    <w:bookmarkStart w:id="29" w:name="solução-com-fonte-propagador"/>
    <w:p>
      <w:pPr>
        <w:pStyle w:val="Heading1"/>
      </w:pPr>
      <w:r>
        <w:t xml:space="preserve">5. Solução com Fonte (Propagador)</w:t>
      </w:r>
    </w:p>
    <w:bookmarkStart w:id="23" w:name="problema-com-fonte"/>
    <w:p>
      <w:pPr>
        <w:pStyle w:val="Heading2"/>
      </w:pPr>
      <w:r>
        <w:t xml:space="preserve">5.1 Problema com Fonte</w:t>
      </w:r>
    </w:p>
    <w:p>
      <w:pPr>
        <w:pStyle w:val="FirstParagraph"/>
      </w:pPr>
      <w:r>
        <w:t xml:space="preserve">Queremos resolver a equação: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□</m:t>
          </m:r>
          <m:r>
            <m:rPr>
              <m:sty m:val="p"/>
            </m:rPr>
            <m:t>+</m:t>
          </m:r>
          <m:sSup>
            <m:e>
              <m:r>
                <m:t>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é uma fonte externa.</w: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Estamos usando o operador d’Alembertiano:</w:t>
      </w:r>
      <w:r>
        <w:t xml:space="preserve"> </w:t>
      </w:r>
      <m:oMath>
        <m:r>
          <m:rPr>
            <m:sty m:val="p"/>
          </m:rPr>
          <m:t>□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∂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3"/>
    <w:bookmarkStart w:id="24" w:name="construção-do-propagador"/>
    <w:p>
      <w:pPr>
        <w:pStyle w:val="Heading2"/>
      </w:pPr>
      <w:r>
        <w:t xml:space="preserve">5.2 Construção do Propagador</w:t>
      </w:r>
    </w:p>
    <w:p>
      <w:pPr>
        <w:pStyle w:val="FirstParagraph"/>
      </w:pPr>
      <w:r>
        <w:t xml:space="preserve">Construímos a solução como: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sup>
            <m:e>
              <m:r>
                <m:t>d</m:t>
              </m:r>
            </m:e>
          </m:nary>
          <m:sSubSup>
            <m:e>
              <m:r>
                <m:t>x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nary>
            <m:naryPr>
              <m:chr m:val="∫"/>
              <m:limLoc m:val="subSup"/>
              <m:subHide m:val="off"/>
              <m:supHide m:val="on"/>
            </m:naryPr>
            <m:sub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</m:sub>
            <m:sup>
              <m:r>
                <m:t>​</m:t>
              </m:r>
            </m:sup>
            <m:e>
              <m:sSup>
                <m:e>
                  <m:r>
                    <m:t>d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t>k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α</m:t>
                  </m:r>
                </m:e>
                <m:sub>
                  <m:r>
                    <m:rPr>
                      <m:sty m:val="bi"/>
                    </m:rPr>
                    <m:t>k</m:t>
                  </m:r>
                </m:sub>
                <m:sup>
                  <m:r>
                    <m:t>J</m:t>
                  </m:r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  <m:sSubSup>
                <m:e>
                  <m:r>
                    <m:t>f</m:t>
                  </m:r>
                </m:e>
                <m:sub>
                  <m:r>
                    <m:rPr>
                      <m:sty m:val="bi"/>
                    </m:rPr>
                    <m:t>k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α</m:t>
                  </m:r>
                </m:e>
                <m:sub>
                  <m:r>
                    <m:rPr>
                      <m:sty m:val="bi"/>
                    </m:rPr>
                    <m:t>k</m:t>
                  </m:r>
                </m:sub>
                <m:sup>
                  <m:r>
                    <m:t>J</m:t>
                  </m:r>
                </m:sup>
              </m:sSubSup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rPr>
                      <m:sty m:val="bi"/>
                    </m:rP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onde: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α</m:t>
              </m:r>
            </m:e>
            <m:sub>
              <m:r>
                <m:rPr>
                  <m:sty m:val="bi"/>
                </m:rPr>
                <m:t>k</m:t>
              </m:r>
            </m:sub>
            <m:sup>
              <m:r>
                <m:t>J</m:t>
              </m:r>
            </m:sup>
          </m:sSubSup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sSubSup>
            <m:e>
              <m:r>
                <m:t>f</m:t>
              </m:r>
            </m:e>
            <m:sub>
              <m:r>
                <m:rPr>
                  <m:sty m:val="bi"/>
                </m:rPr>
                <m:t>k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|</m:t>
              </m:r>
            </m:e>
            <m:sub>
              <m:sSubSup>
                <m:e>
                  <m:r>
                    <m:t>x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sub>
          </m:sSub>
        </m:oMath>
      </m:oMathPara>
    </w:p>
    <w:p>
      <w:pPr>
        <w:pStyle w:val="BlockText"/>
      </w:pPr>
      <w:r>
        <w:rPr>
          <w:b/>
          <w:bCs/>
        </w:rPr>
        <w:t xml:space="preserve">Observação:</w:t>
      </w:r>
      <w:r>
        <w:t xml:space="preserve"> </w:t>
      </w:r>
      <w:r>
        <w:t xml:space="preserve">O limite superior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na integral temporal garante que o propagador seja causal (propagador retardado).</w:t>
      </w:r>
    </w:p>
    <w:bookmarkEnd w:id="24"/>
    <w:bookmarkStart w:id="25" w:name="propriedade-da-solução"/>
    <w:p>
      <w:pPr>
        <w:pStyle w:val="Heading2"/>
      </w:pPr>
      <w:r>
        <w:t xml:space="preserve">5.3 Propriedade da Solução</w:t>
      </w:r>
    </w:p>
    <w:p>
      <w:pPr>
        <w:pStyle w:val="FirstParagraph"/>
      </w:pPr>
      <w:r>
        <w:t xml:space="preserve">Derivando</w:t>
      </w:r>
      <w:r>
        <w:t xml:space="preserve"> </w:t>
      </w:r>
      <m:oMath>
        <m:sSub>
          <m:e>
            <m:r>
              <m:t>ϕ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em relação a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e usando a regra de Leibniz no limite superior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obtemos: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□</m:t>
          </m:r>
          <m:r>
            <m:rPr>
              <m:sty m:val="p"/>
            </m:rPr>
            <m:t>+</m:t>
          </m:r>
          <m:sSup>
            <m:e>
              <m:r>
                <m:t>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b>
            <m:e>
              <m:r>
                <m:t>ϕ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J</m:t>
          </m:r>
        </m:oMath>
      </m:oMathPara>
    </w:p>
    <w:p>
      <w:pPr>
        <w:pStyle w:val="FirstParagraph"/>
      </w:pPr>
      <w:r>
        <w:t xml:space="preserve">Portanto,</w:t>
      </w:r>
      <w:r>
        <w:t xml:space="preserve"> </w:t>
      </w:r>
      <m:oMath>
        <m:sSub>
          <m:e>
            <m:r>
              <m:t>ϕ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satisfaz a equação com fonte.</w:t>
      </w:r>
    </w:p>
    <w:p>
      <w:pPr>
        <w:pStyle w:val="BlockText"/>
      </w:pPr>
      <w:r>
        <w:rPr>
          <w:b/>
          <w:bCs/>
        </w:rPr>
        <w:t xml:space="preserve">Interpretação:</w:t>
      </w:r>
      <w:r>
        <w:t xml:space="preserve"> </w:t>
      </w:r>
      <w:r>
        <w:t xml:space="preserve">A fonte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atua como um termo de</w:t>
      </w:r>
      <w:r>
        <w:t xml:space="preserve"> </w:t>
      </w:r>
      <w:r>
        <w:t xml:space="preserve">“forçamento”</w:t>
      </w:r>
      <w:r>
        <w:t xml:space="preserve"> </w:t>
      </w:r>
      <w:r>
        <w:t xml:space="preserve">contínuo, gerando novos modos do campo. Esta é a versão contínua do problema do oscilador harmônico forçado.</w:t>
      </w:r>
    </w:p>
    <w:bookmarkEnd w:id="25"/>
    <w:bookmarkStart w:id="26" w:name="estrutura-do-propagador"/>
    <w:p>
      <w:pPr>
        <w:pStyle w:val="Heading2"/>
      </w:pPr>
      <w:r>
        <w:t xml:space="preserve">5.4 Estrutura do Propagador</w:t>
      </w:r>
    </w:p>
    <w:p>
      <w:pPr>
        <w:pStyle w:val="FirstParagraph"/>
      </w:pPr>
      <w:r>
        <w:t xml:space="preserve">O propagador retardado tem a forma: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Sup>
            <m:e>
              <m:r>
                <m:t>x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∫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3</m:t>
                  </m:r>
                </m:sup>
              </m:sSup>
              <m:r>
                <m:t>k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den>
          </m:f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rPr>
                      <m:sty m:val="bi"/>
                    </m:rPr>
                    <m:t>k</m:t>
                  </m:r>
                </m:sub>
              </m:sSub>
            </m:den>
          </m:f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t>k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t>k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</m:d>
        </m:oMath>
      </m:oMathPara>
    </w:p>
    <w:p>
      <w:pPr>
        <w:pStyle w:val="BlockText"/>
      </w:pPr>
      <w:r>
        <w:rPr>
          <w:b/>
          <w:bCs/>
        </w:rPr>
        <w:t xml:space="preserve">Observação:</w:t>
      </w:r>
      <w:r>
        <w:t xml:space="preserve"> </w:t>
      </w:r>
      <w:r>
        <w:t xml:space="preserve">Este é o propagador retardado para o campo escalar, que será fundamental para o cálculo de amplitudes de espalhamento.</w:t>
      </w:r>
    </w:p>
    <w:bookmarkEnd w:id="26"/>
    <w:bookmarkStart w:id="27" w:name="propriedade-de-causalidade"/>
    <w:p>
      <w:pPr>
        <w:pStyle w:val="Heading2"/>
      </w:pPr>
      <w:r>
        <w:t xml:space="preserve">5.5 Propriedade de Causalidade</w:t>
      </w:r>
    </w:p>
    <w:p>
      <w:pPr>
        <w:pStyle w:val="FirstParagraph"/>
      </w:pPr>
      <w:r>
        <w:t xml:space="preserve">O propagador retardado é não nulo apenas quando: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Sup>
            <m:e>
              <m:r>
                <m:t>x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rPr>
              <m:sty m:val="bi"/>
            </m:rPr>
            <m:t>x</m:t>
          </m:r>
          <m:r>
            <m:rPr>
              <m:sty m:val="p"/>
            </m:rPr>
            <m:t>−</m:t>
          </m:r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t xml:space="preserve">ou seja, quando os eventos estão conectados por um sinal que se propaga na velocidade da luz.</w:t>
      </w:r>
    </w:p>
    <w:p>
      <w:pPr>
        <w:pStyle w:val="BlockText"/>
      </w:pPr>
      <w:r>
        <w:rPr>
          <w:b/>
          <w:bCs/>
        </w:rPr>
        <w:t xml:space="preserve">Definição (Cone de Luz):</w:t>
      </w:r>
      <w:r>
        <w:t xml:space="preserve"> </w:t>
      </w:r>
      <w:r>
        <w:t xml:space="preserve">A região do espaço-tempo onde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r>
          <m:rPr>
            <m:sty m:val="p"/>
          </m:rPr>
          <m:t>Δ</m:t>
        </m:r>
        <m:r>
          <m:rPr>
            <m:sty m:val="bi"/>
          </m:rP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é o cone de luz. O propagador é não nulo apenas sobre o cone de luz.</w:t>
      </w:r>
    </w:p>
    <w:bookmarkEnd w:id="27"/>
    <w:bookmarkStart w:id="28" w:name="relação-com-eletromagnetismo"/>
    <w:p>
      <w:pPr>
        <w:pStyle w:val="Heading2"/>
      </w:pPr>
      <w:r>
        <w:t xml:space="preserve">5.6 Relação com Eletromagnetismo</w:t>
      </w:r>
    </w:p>
    <w:p>
      <w:pPr>
        <w:pStyle w:val="FirstParagraph"/>
      </w:pPr>
      <w:r>
        <w:t xml:space="preserve">No caso do campo escalar, a função de Green do operador de d’Alembert é: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</m:num>
            <m:den>
              <m:r>
                <m:t>4</m:t>
              </m:r>
              <m:r>
                <m:t>π</m:t>
              </m:r>
              <m:r>
                <m:rPr>
                  <m:sty m:val="p"/>
                </m:rPr>
                <m:t>|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BlockText"/>
      </w:pPr>
      <w:r>
        <w:rPr>
          <w:b/>
          <w:bCs/>
        </w:rPr>
        <w:t xml:space="preserve">Interpretação:</w:t>
      </w:r>
      <w:r>
        <w:t xml:space="preserve"> </w:t>
      </w:r>
      <w:r>
        <w:t xml:space="preserve">Esta é a função de Green do eletromagnetismo, que descreve a propagação de sinais no vácuo. A aparente propagação superluminal do potencial de Coulomb é um artefato do regime estático.</w:t>
      </w:r>
    </w:p>
    <w:bookmarkEnd w:id="28"/>
    <w:bookmarkEnd w:id="29"/>
    <w:bookmarkStart w:id="30" w:name="resumo-e-principais-resultados"/>
    <w:p>
      <w:pPr>
        <w:pStyle w:val="Heading1"/>
      </w:pPr>
      <w:r>
        <w:t xml:space="preserve">6. Resumo e Principais Resultados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782"/>
        <w:gridCol w:w="41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Conceito</w:t>
            </w:r>
          </w:p>
        </w:tc>
        <w:tc>
          <w:tcPr/>
          <w:p>
            <w:pPr>
              <w:pStyle w:val="Compact"/>
            </w:pPr>
            <w:r>
              <w:t xml:space="preserve">Fórmula</w:t>
            </w:r>
          </w:p>
        </w:tc>
        <w:tc>
          <w:tcPr/>
          <w:p>
            <w:pPr>
              <w:pStyle w:val="Compact"/>
            </w:pPr>
            <w:r>
              <w:t xml:space="preserve">Interpretação Física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no espaço de fase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>
                      <m:sty m:val="bi"/>
                    </m:rP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m:t>k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q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m:t>k</m:t>
                            </m:r>
                          </m:sub>
                        </m:sSub>
                      </m:e>
                    </m:mr>
                  </m:m>
                </m:e>
              </m:d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rPr>
                      <m:sty m:val="bi"/>
                    </m:rPr>
                    <m:t>k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bi"/>
                    </m:rP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Modos de Fourier do campo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Ortogonalidade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Ψ</m:t>
                  </m:r>
                </m:e>
                <m:sub>
                  <m:sSup>
                    <m:e>
                      <m:r>
                        <m:rPr>
                          <m:sty m:val="bi"/>
                        </m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>
                      <m:sty m:val="bi"/>
                    </m:rP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[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q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f</m:t>
              </m:r>
              <m:r>
                <m:rPr>
                  <m:sty m:val="p"/>
                </m:rPr>
                <m:t>]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k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Bases ortogonais no espaço de fase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Normalização</w:t>
            </w:r>
          </w:p>
        </w:tc>
        <w:tc>
          <w:tcPr/>
          <w:p>
            <w:pPr>
              <w:pStyle w:val="Compact"/>
            </w:pPr>
            <m:oMath>
              <m:r>
                <m:t>i</m:t>
              </m:r>
              <m:r>
                <m:rPr>
                  <m:sty m:val="p"/>
                </m:rPr>
                <m:t>[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q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f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Normalização delta de Dirac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Escolha do vácuo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M</m:t>
                  </m:r>
                </m:e>
                <m:sub>
                  <m:r>
                    <m:rPr>
                      <m:sty m:val="bi"/>
                    </m:rP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rPr>
                      <m:sty m:val="bi"/>
                    </m:rP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m:t>k</m:t>
                      </m:r>
                    </m:sub>
                  </m:sSub>
                </m:e>
              </m:rad>
            </m:oMath>
          </w:p>
        </w:tc>
        <w:tc>
          <w:tcPr/>
          <w:p>
            <w:pPr>
              <w:pStyle w:val="Compact"/>
            </w:pPr>
            <w:r>
              <w:t xml:space="preserve">Vácuo de Minkowski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Decomposição do campo</w:t>
            </w:r>
          </w:p>
        </w:tc>
        <w:tc>
          <w:tcPr/>
          <w:p>
            <w:pPr>
              <w:pStyle w:val="Compact"/>
            </w:pPr>
            <m:oMath>
              <m:r>
                <m:t>ϕ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sSup>
                    <m:e>
                      <m:r>
                        <m:t>d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t>k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ω</m:t>
                      </m:r>
                    </m:e>
                  </m:rad>
                </m:den>
              </m:f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rPr>
                      <m:sty m:val="bi"/>
                    </m:rPr>
                    <m:t>k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t>k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a</m:t>
                  </m:r>
                </m:e>
                <m:sub>
                  <m:r>
                    <m:rPr>
                      <m:sty m:val="bi"/>
                    </m:rPr>
                    <m:t>k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k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Partículas e antipartículas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Propagador retardado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sSup>
                    <m:e>
                      <m:r>
                        <m:t>d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t>k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ω</m:t>
                  </m:r>
                </m:den>
              </m:f>
              <m:r>
                <m:rPr>
                  <m:sty m:val="p"/>
                </m:rPr>
                <m:t>[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t>k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Δ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t>k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Δ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Causalidade e cone de luz</w:t>
            </w:r>
          </w:p>
        </w:tc>
      </w:tr>
    </w:tbl>
    <w:bookmarkEnd w:id="30"/>
    <w:bookmarkStart w:id="37" w:name="exercícios"/>
    <w:p>
      <w:pPr>
        <w:pStyle w:val="Heading1"/>
      </w:pPr>
      <w:r>
        <w:t xml:space="preserve">7. Exercícios</w:t>
      </w:r>
    </w:p>
    <w:bookmarkStart w:id="31" w:name="X7a2746a2b41112af3da6c0f2fe2ef4a9f8cc2cb"/>
    <w:p>
      <w:pPr>
        <w:pStyle w:val="Heading2"/>
      </w:pPr>
      <w:r>
        <w:t xml:space="preserve">7.1 Exercício 1: Normalização da Base e Liberdade de Gauge</w:t>
      </w:r>
      <w:r>
        <w:t xml:space="preserve"> </w:t>
      </w:r>
      <w:r>
        <w:rPr>
          <w:b/>
          <w:bCs/>
        </w:rPr>
        <w:t xml:space="preserve">(Essencial)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Mostre que a condição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Ψ</m:t>
            </m:r>
          </m:e>
          <m:sub>
            <m:sSup>
              <m:e>
                <m:r>
                  <m:rPr>
                    <m:sty m:val="bi"/>
                  </m:rPr>
                  <m:t>k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Ψ</m:t>
            </m:r>
          </m:e>
          <m:sub>
            <m:r>
              <m:rPr>
                <m:sty m:val="bi"/>
              </m:rP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k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implica</w:t>
      </w:r>
      <w:r>
        <w:t xml:space="preserve"> </w:t>
      </w:r>
      <m:oMath>
        <m:r>
          <m:t>i</m:t>
        </m:r>
        <m:r>
          <m:rPr>
            <m:sty m:val="p"/>
          </m:rPr>
          <m:t>[</m:t>
        </m:r>
        <m:sSubSup>
          <m:e>
            <m:r>
              <m:t>f</m:t>
            </m:r>
          </m:e>
          <m:sub>
            <m:r>
              <m:rPr>
                <m:sty m:val="bi"/>
              </m:rPr>
              <m:t>k</m:t>
            </m:r>
          </m:sub>
          <m:sup>
            <m:r>
              <m:rPr>
                <m:sty m:val="p"/>
              </m:rPr>
              <m:t>*</m:t>
            </m:r>
          </m:sup>
        </m:sSubSup>
        <m:sSub>
          <m:e>
            <m:r>
              <m:t>q</m:t>
            </m:r>
          </m:e>
          <m:sub>
            <m:r>
              <m:rPr>
                <m:sty m:val="bi"/>
              </m:rPr>
              <m:t>k</m:t>
            </m:r>
          </m:sub>
        </m:sSub>
        <m:r>
          <m:rPr>
            <m:sty m:val="p"/>
          </m:rPr>
          <m:t>−</m:t>
        </m:r>
        <m:sSubSup>
          <m:e>
            <m:r>
              <m:t>q</m:t>
            </m:r>
          </m:e>
          <m:sub>
            <m:r>
              <m:rPr>
                <m:sty m:val="bi"/>
              </m:rPr>
              <m:t>k</m:t>
            </m:r>
          </m:sub>
          <m:sup>
            <m:r>
              <m:rPr>
                <m:sty m:val="p"/>
              </m:rPr>
              <m:t>*</m:t>
            </m:r>
          </m:sup>
        </m:sSubSup>
        <m:sSub>
          <m:e>
            <m:r>
              <m:t>f</m:t>
            </m:r>
          </m:e>
          <m:sub>
            <m:r>
              <m:rPr>
                <m:sty m:val="bi"/>
              </m:rPr>
              <m:t>k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b)</w:t>
      </w:r>
      <w:r>
        <w:t xml:space="preserve"> </w:t>
      </w:r>
      <w:r>
        <w:t xml:space="preserve">Verifique que a escolha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ty m:val="bi"/>
              </m:rPr>
              <m:t>k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sSub>
                  <m:e>
                    <m:r>
                      <m:t>ω</m:t>
                    </m:r>
                  </m:e>
                  <m:sub>
                    <m:r>
                      <m:rPr>
                        <m:sty m:val="bi"/>
                      </m:rPr>
                      <m:t>k</m:t>
                    </m:r>
                  </m:sub>
                </m:sSub>
              </m:e>
            </m:rad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i</m:t>
            </m:r>
            <m:sSub>
              <m:e>
                <m:r>
                  <m:t>ω</m:t>
                </m:r>
              </m:e>
              <m:sub>
                <m:r>
                  <m:rPr>
                    <m:sty m:val="bi"/>
                  </m:rPr>
                  <m:t>k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sup>
        </m:sSup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bi"/>
              </m:rP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i</m:t>
        </m:r>
        <m:rad>
          <m:radPr>
            <m:degHide m:val="on"/>
          </m:radPr>
          <m:deg/>
          <m:e>
            <m:sSub>
              <m:e>
                <m:r>
                  <m:t>ω</m:t>
                </m:r>
              </m:e>
              <m:sub>
                <m:r>
                  <m:rPr>
                    <m:sty m:val="bi"/>
                  </m:rP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rad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i</m:t>
            </m:r>
            <m:sSub>
              <m:e>
                <m:r>
                  <m:t>ω</m:t>
                </m:r>
              </m:e>
              <m:sub>
                <m:r>
                  <m:rPr>
                    <m:sty m:val="bi"/>
                  </m:rPr>
                  <m:t>k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sup>
        </m:sSup>
      </m:oMath>
      <w:r>
        <w:t xml:space="preserve"> </w:t>
      </w:r>
      <w:r>
        <w:t xml:space="preserve">satisfaz esta condição.</w:t>
      </w:r>
    </w:p>
    <w:p>
      <w:pPr>
        <w:pStyle w:val="BodyText"/>
      </w:pPr>
      <w:r>
        <w:rPr>
          <w:b/>
          <w:bCs/>
        </w:rPr>
        <w:t xml:space="preserve">c)</w:t>
      </w:r>
      <w:r>
        <w:t xml:space="preserve"> </w:t>
      </w:r>
      <w:r>
        <w:t xml:space="preserve">Mostre que a transformação de fase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ty m:val="bi"/>
              </m:rPr>
              <m:t>k</m:t>
            </m:r>
          </m:sub>
        </m:sSub>
        <m:r>
          <m:rPr>
            <m:sty m:val="p"/>
          </m:rPr>
          <m:t>→</m:t>
        </m:r>
        <m:sSup>
          <m:e>
            <m:r>
              <m:t>e</m:t>
            </m:r>
          </m:e>
          <m:sup>
            <m:r>
              <m:t>i</m:t>
            </m:r>
            <m:sSub>
              <m:e>
                <m:r>
                  <m:t>θ</m:t>
                </m:r>
              </m:e>
              <m:sub>
                <m:r>
                  <m:rPr>
                    <m:sty m:val="bi"/>
                  </m:rPr>
                  <m:t>k</m:t>
                </m:r>
              </m:sub>
            </m:sSub>
          </m:sup>
        </m:sSup>
        <m:sSub>
          <m:e>
            <m:r>
              <m:t>f</m:t>
            </m:r>
          </m:e>
          <m:sub>
            <m:r>
              <m:rPr>
                <m:sty m:val="bi"/>
              </m:rPr>
              <m:t>k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bi"/>
              </m:rPr>
              <m:t>k</m:t>
            </m:r>
          </m:sub>
        </m:sSub>
        <m:r>
          <m:rPr>
            <m:sty m:val="p"/>
          </m:rPr>
          <m:t>→</m:t>
        </m:r>
        <m:sSup>
          <m:e>
            <m:r>
              <m:t>e</m:t>
            </m:r>
          </m:e>
          <m:sup>
            <m:r>
              <m:t>i</m:t>
            </m:r>
            <m:sSub>
              <m:e>
                <m:r>
                  <m:t>θ</m:t>
                </m:r>
              </m:e>
              <m:sub>
                <m:r>
                  <m:rPr>
                    <m:sty m:val="bi"/>
                  </m:rPr>
                  <m:t>k</m:t>
                </m:r>
              </m:sub>
            </m:sSub>
          </m:sup>
        </m:sSup>
        <m:sSub>
          <m:e>
            <m:r>
              <m:t>q</m:t>
            </m:r>
          </m:e>
          <m:sub>
            <m:r>
              <m:rPr>
                <m:sty m:val="bi"/>
              </m:rPr>
              <m:t>k</m:t>
            </m:r>
          </m:sub>
        </m:sSub>
      </m:oMath>
      <w:r>
        <w:t xml:space="preserve"> </w:t>
      </w:r>
      <w:r>
        <w:t xml:space="preserve">deixa invariante o produto simplético, e conte quantos graus de liberdade reais restam após impor a normalização e esta liberdade de gauge.</w:t>
      </w:r>
    </w:p>
    <w:bookmarkEnd w:id="31"/>
    <w:bookmarkStart w:id="32" w:name="X58ec3af9d8eb979ff5da89db89c724eee3d94e8"/>
    <w:p>
      <w:pPr>
        <w:pStyle w:val="Heading2"/>
      </w:pPr>
      <w:r>
        <w:t xml:space="preserve">7.2 Exercício 2: Solução Geral do Oscilador e Escolha do Vácuo</w:t>
      </w:r>
      <w:r>
        <w:t xml:space="preserve"> </w:t>
      </w:r>
      <w:r>
        <w:rPr>
          <w:b/>
          <w:bCs/>
        </w:rPr>
        <w:t xml:space="preserve">(Essencial)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Escreva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bi"/>
              </m:rPr>
              <m:t>k</m:t>
            </m:r>
          </m:sub>
        </m:sSub>
      </m:oMath>
      <w:r>
        <w:t xml:space="preserve"> </w:t>
      </w:r>
      <w:r>
        <w:t xml:space="preserve">em termos de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bi"/>
              </m:rPr>
              <m:t>k</m:t>
            </m:r>
          </m:sub>
        </m:sSub>
      </m:oMath>
      <w:r>
        <w:t xml:space="preserve"> </w:t>
      </w:r>
      <w:r>
        <w:t xml:space="preserve">e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sty m:val="bi"/>
              </m:rPr>
              <m:t>k</m:t>
            </m:r>
          </m:sub>
        </m:sSub>
      </m:oMath>
      <w:r>
        <w:t xml:space="preserve">, substitua na condição de normalização e mostre que</w:t>
      </w:r>
      <w:r>
        <w:t xml:space="preserve"> </w:t>
      </w:r>
      <m:oMath>
        <m:sSub>
          <m:e>
            <m:r>
              <m:t>ω</m:t>
            </m:r>
          </m:e>
          <m:sub>
            <m:r>
              <m:rPr>
                <m:sty m:val="bi"/>
              </m:rPr>
              <m:t>k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|</m:t>
        </m:r>
        <m:sSub>
          <m:e>
            <m:r>
              <m:t>N</m:t>
            </m:r>
          </m:e>
          <m:sub>
            <m:r>
              <m:rPr>
                <m:sty m:val="bi"/>
              </m:rPr>
              <m:t>k</m:t>
            </m:r>
          </m:sub>
        </m:sSub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|</m:t>
        </m:r>
        <m:sSub>
          <m:e>
            <m:r>
              <m:t>M</m:t>
            </m:r>
          </m:e>
          <m:sub>
            <m:r>
              <m:rPr>
                <m:sty m:val="bi"/>
              </m:rPr>
              <m:t>k</m:t>
            </m:r>
          </m:sub>
        </m:sSub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b)</w:t>
      </w:r>
      <w:r>
        <w:t xml:space="preserve"> </w:t>
      </w:r>
      <w:r>
        <w:t xml:space="preserve">Por que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bi"/>
              </m:rPr>
              <m:t>k</m:t>
            </m:r>
          </m:sub>
        </m:sSub>
      </m:oMath>
      <w:r>
        <w:t xml:space="preserve"> </w:t>
      </w:r>
      <w:r>
        <w:t xml:space="preserve">não pode ser zero?</w:t>
      </w:r>
    </w:p>
    <w:p>
      <w:pPr>
        <w:pStyle w:val="BodyText"/>
      </w:pPr>
      <w:r>
        <w:rPr>
          <w:b/>
          <w:bCs/>
        </w:rPr>
        <w:t xml:space="preserve">c)</w:t>
      </w:r>
      <w:r>
        <w:t xml:space="preserve"> </w:t>
      </w:r>
      <w:r>
        <w:t xml:space="preserve">Na escolha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sty m:val="bi"/>
              </m:rP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mostre que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bi"/>
              </m:rP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sSub>
              <m:e>
                <m:r>
                  <m:t>ω</m:t>
                </m:r>
              </m:e>
              <m:sub>
                <m:r>
                  <m:rPr>
                    <m:sty m:val="bi"/>
                  </m:rPr>
                  <m:t>k</m:t>
                </m:r>
              </m:sub>
            </m:sSub>
          </m:e>
        </m:rad>
      </m:oMath>
      <w:r>
        <w:t xml:space="preserve"> </w:t>
      </w:r>
      <w:r>
        <w:t xml:space="preserve">e escreva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ty m:val="bi"/>
              </m:rPr>
              <m:t>k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bi"/>
              </m:rPr>
              <m:t>k</m:t>
            </m:r>
          </m:sub>
        </m:sSub>
      </m:oMath>
      <w:r>
        <w:t xml:space="preserve"> </w:t>
      </w:r>
      <w:r>
        <w:t xml:space="preserve">explicitamente. Que tipo de vácuo esta escolha define?</w:t>
      </w:r>
    </w:p>
    <w:bookmarkEnd w:id="32"/>
    <w:bookmarkStart w:id="33" w:name="X0eb99fd0e949f7d7db76f6278f5acf6b1c2e3dc"/>
    <w:p>
      <w:pPr>
        <w:pStyle w:val="Heading2"/>
      </w:pPr>
      <w:r>
        <w:t xml:space="preserve">7.3 Exercício 3: Complexo Conjugado e Inversão Temporal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Escreva</w:t>
      </w:r>
      <w:r>
        <w:t xml:space="preserve"> </w:t>
      </w:r>
      <m:oMath>
        <m:sSubSup>
          <m:e>
            <m:r>
              <m:t>f</m:t>
            </m:r>
          </m:e>
          <m:sub>
            <m:r>
              <m:rPr>
                <m:sty m:val="bi"/>
              </m:rPr>
              <m:t>k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e</w:t>
      </w:r>
      <w:r>
        <w:t xml:space="preserve"> </w:t>
      </w:r>
      <m:oMath>
        <m:sSubSup>
          <m:e>
            <m:r>
              <m:t>q</m:t>
            </m:r>
          </m:e>
          <m:sub>
            <m:r>
              <m:rPr>
                <m:sty m:val="bi"/>
              </m:rPr>
              <m:t>k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explicitamente e relacione-os com a inversão temporal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b)</w:t>
      </w:r>
      <w:r>
        <w:t xml:space="preserve"> </w:t>
      </w:r>
      <w:r>
        <w:t xml:space="preserve">Mostre que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f</m:t>
            </m:r>
          </m:e>
          <m:sub>
            <m:r>
              <m:rPr>
                <m:sty m:val="bi"/>
              </m:rPr>
              <m:t>k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sSubSup>
          <m:e>
            <m:r>
              <m:t>q</m:t>
            </m:r>
          </m:e>
          <m:sub>
            <m:r>
              <m:rPr>
                <m:sty m:val="bi"/>
              </m:rPr>
              <m:t>k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rPr>
                <m:sty m:val="bi"/>
              </m:rPr>
              <m:t>k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rPr>
                <m:sty m:val="bi"/>
              </m:rP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em termos do produto simplético.</w:t>
      </w:r>
    </w:p>
    <w:p>
      <w:pPr>
        <w:pStyle w:val="BodyText"/>
      </w:pPr>
      <w:r>
        <w:rPr>
          <w:b/>
          <w:bCs/>
        </w:rPr>
        <w:t xml:space="preserve">c)</w:t>
      </w:r>
      <w:r>
        <w:t xml:space="preserve"> </w:t>
      </w:r>
      <w:r>
        <w:t xml:space="preserve">Por que a presença desta simetria implica a existência de partículas e antipartículas na teoria quântica de campos?</w:t>
      </w:r>
    </w:p>
    <w:bookmarkEnd w:id="33"/>
    <w:bookmarkStart w:id="34" w:name="Xae5d70dc1ed2e4a5832667d343f65f0014ffe59"/>
    <w:p>
      <w:pPr>
        <w:pStyle w:val="Heading2"/>
      </w:pPr>
      <w:r>
        <w:t xml:space="preserve">7.4 Exercício 4: Decomposição de Campos e Coeficientes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Mostre que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é real se</w:t>
      </w:r>
      <w:r>
        <w:t xml:space="preserve"> </w:t>
      </w:r>
      <m:oMath>
        <m:sSubSup>
          <m:e>
            <m:r>
              <m:t>a</m:t>
            </m:r>
          </m:e>
          <m:sub>
            <m:r>
              <m:rPr>
                <m:sty m:val="bi"/>
              </m:rPr>
              <m:t>k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=</m:t>
        </m:r>
        <m:sSubSup>
          <m:e>
            <m:r>
              <m:t>a</m:t>
            </m:r>
          </m:e>
          <m:sub>
            <m:r>
              <m:rPr>
                <m:sty m:val="bi"/>
              </m:rPr>
              <m:t>k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b)</w:t>
      </w:r>
      <w:r>
        <w:t xml:space="preserve"> </w:t>
      </w:r>
      <w:r>
        <w:t xml:space="preserve">Escreva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sty m:val="bi"/>
              </m:rPr>
              <m:t>k</m:t>
            </m:r>
          </m:sub>
        </m:sSub>
      </m:oMath>
      <w:r>
        <w:t xml:space="preserve"> </w:t>
      </w:r>
      <w:r>
        <w:t xml:space="preserve">em termos do produto simplético entre</w:t>
      </w:r>
      <w:r>
        <w:t xml:space="preserve"> </w:t>
      </w:r>
      <m:oMath>
        <m:sSubSup>
          <m:e>
            <m:r>
              <m:t>f</m:t>
            </m:r>
          </m:e>
          <m:sub>
            <m:r>
              <m:rPr>
                <m:sty m:val="bi"/>
              </m:rPr>
              <m:t>k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e</w:t>
      </w:r>
      <w:r>
        <w:t xml:space="preserve"> </w:t>
      </w:r>
      <m:oMath>
        <m:r>
          <m:t>ϕ</m:t>
        </m:r>
      </m:oMath>
      <w:r>
        <w:t xml:space="preserve">, e mostre que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sty m:val="bi"/>
              </m:rPr>
              <m:t>k</m:t>
            </m:r>
          </m:sub>
        </m:sSub>
      </m:oMath>
      <w:r>
        <w:t xml:space="preserve"> </w:t>
      </w:r>
      <w:r>
        <w:t xml:space="preserve">é constante para soluções da equação de movimento livre.</w:t>
      </w:r>
    </w:p>
    <w:p>
      <w:pPr>
        <w:pStyle w:val="BodyText"/>
      </w:pPr>
      <w:r>
        <w:rPr>
          <w:b/>
          <w:bCs/>
        </w:rPr>
        <w:t xml:space="preserve">c)</w:t>
      </w:r>
      <w:r>
        <w:t xml:space="preserve"> </w:t>
      </w:r>
      <w:r>
        <w:t xml:space="preserve">O que acontece com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sty m:val="bi"/>
              </m:rPr>
              <m:t>k</m:t>
            </m:r>
          </m:sub>
        </m:sSub>
      </m:oMath>
      <w:r>
        <w:t xml:space="preserve"> </w:t>
      </w:r>
      <w:r>
        <w:t xml:space="preserve">quando há uma fonte</w:t>
      </w:r>
      <w:r>
        <w:t xml:space="preserve"> </w:t>
      </w:r>
      <m:oMath>
        <m:r>
          <m:t>J</m:t>
        </m:r>
      </m:oMath>
      <w:r>
        <w:t xml:space="preserve">?</w:t>
      </w:r>
    </w:p>
    <w:bookmarkEnd w:id="34"/>
    <w:bookmarkStart w:id="35" w:name="X68e32c16b6586d10622a5a18158fc9b33f8acca"/>
    <w:p>
      <w:pPr>
        <w:pStyle w:val="Heading2"/>
      </w:pPr>
      <w:r>
        <w:t xml:space="preserve">7.5 Exercício 5: Solução com Fonte e Propagador Retardado</w:t>
      </w:r>
      <w:r>
        <w:t xml:space="preserve"> </w:t>
      </w:r>
      <w:r>
        <w:rPr>
          <w:b/>
          <w:bCs/>
        </w:rPr>
        <w:t xml:space="preserve">(Essencial)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Defina</w:t>
      </w:r>
      <w:r>
        <w:t xml:space="preserve"> </w:t>
      </w:r>
      <m:oMath>
        <m:sSubSup>
          <m:e>
            <m:r>
              <m:t>α</m:t>
            </m:r>
          </m:e>
          <m:sub>
            <m:r>
              <m:rPr>
                <m:sty m:val="bi"/>
              </m:rPr>
              <m:t>k</m:t>
            </m:r>
          </m:sub>
          <m:sup>
            <m:r>
              <m:t>J</m:t>
            </m:r>
          </m:sup>
        </m:sSubSup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e, derivando</w:t>
      </w:r>
      <w:r>
        <w:t xml:space="preserve"> </w:t>
      </w:r>
      <m:oMath>
        <m:sSub>
          <m:e>
            <m:r>
              <m:t>ϕ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em relação a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(regra de Leibniz no limite superior), mostre que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□</m:t>
        </m:r>
        <m:r>
          <m:rPr>
            <m:sty m:val="p"/>
          </m:rPr>
          <m:t>+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sSub>
          <m:e>
            <m:r>
              <m:t>ϕ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J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b)</w:t>
      </w:r>
      <w:r>
        <w:t xml:space="preserve"> </w:t>
      </w:r>
      <w:r>
        <w:t xml:space="preserve">Qual é a condição de contorno que torna a solução causal?</w:t>
      </w:r>
    </w:p>
    <w:p>
      <w:pPr>
        <w:pStyle w:val="BodyText"/>
      </w:pPr>
      <w:r>
        <w:rPr>
          <w:b/>
          <w:bCs/>
        </w:rPr>
        <w:t xml:space="preserve">c)</w:t>
      </w:r>
      <w:r>
        <w:t xml:space="preserve"> </w:t>
      </w:r>
      <w:r>
        <w:t xml:space="preserve">Partindo da decomposição em modos, mostre que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Sup>
            <m:e>
              <m:r>
                <m:t>x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∫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3</m:t>
                  </m:r>
                </m:sup>
              </m:sSup>
              <m:r>
                <m:t>k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den>
          </m:f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ω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t>k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Δ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t>k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Δ</m:t>
                  </m:r>
                  <m:r>
                    <m:t>x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bookmarkEnd w:id="35"/>
    <w:bookmarkStart w:id="36" w:name="exercício-6-causalidade-e-o-cone-de-luz"/>
    <w:p>
      <w:pPr>
        <w:pStyle w:val="Heading2"/>
      </w:pPr>
      <w:r>
        <w:t xml:space="preserve">7.6 Exercício 6: Causalidade e o Cone de Luz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Mostre que a integral em</w:t>
      </w:r>
      <w:r>
        <w:t xml:space="preserve"> </w:t>
      </w:r>
      <m:oMath>
        <m:r>
          <m:rPr>
            <m:sty m:val="bi"/>
          </m:rPr>
          <m:t>k</m:t>
        </m:r>
      </m:oMath>
      <w:r>
        <w:t xml:space="preserve"> </w:t>
      </w:r>
      <w:r>
        <w:t xml:space="preserve">do Exercício 5(c) pode ser escrita como</w:t>
      </w:r>
      <w:r>
        <w:t xml:space="preserve"> </w:t>
      </w:r>
      <m:oMath>
        <m:f>
          <m:fPr>
            <m:type m:val="bar"/>
          </m:fPr>
          <m:num>
            <m:r>
              <m:t>δ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0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  <m:r>
              <m:rPr>
                <m:sty m:val="p"/>
              </m:rPr>
              <m:t>−</m:t>
            </m:r>
            <m:r>
              <m:rPr>
                <m:sty m:val="p"/>
              </m:rPr>
              <m:t>|</m:t>
            </m:r>
            <m:r>
              <m:rPr>
                <m:sty m:val="bi"/>
              </m:rPr>
              <m:t>x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|</m:t>
            </m:r>
            <m:r>
              <m:rPr>
                <m:sty m:val="p"/>
              </m:rPr>
              <m:t>)</m:t>
            </m:r>
          </m:num>
          <m:den>
            <m:r>
              <m:t>4</m:t>
            </m:r>
            <m:r>
              <m:t>π</m:t>
            </m:r>
            <m:r>
              <m:rPr>
                <m:sty m:val="p"/>
              </m:rPr>
              <m:t>|</m:t>
            </m:r>
            <m:r>
              <m:rPr>
                <m:sty m:val="bi"/>
              </m:rPr>
              <m:t>x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|</m:t>
            </m:r>
          </m:den>
        </m:f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b)</w:t>
      </w:r>
      <w:r>
        <w:t xml:space="preserve"> </w:t>
      </w:r>
      <w:r>
        <w:t xml:space="preserve">Por que o propagador se anula fora do cone de luz?</w:t>
      </w:r>
    </w:p>
    <w:p>
      <w:pPr>
        <w:pStyle w:val="BodyText"/>
      </w:pPr>
      <w:r>
        <w:rPr>
          <w:b/>
          <w:bCs/>
        </w:rPr>
        <w:t xml:space="preserve">c)</w:t>
      </w:r>
      <w:r>
        <w:t xml:space="preserve"> </w:t>
      </w:r>
      <w:r>
        <w:t xml:space="preserve">Como o potencial de Coulomb, aparentemente instantâneo, se reconcilia com este propagador causal?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Campos Escalares Relativísticos: Bases, Vácuo e Propagadores</dc:title>
  <dc:creator/>
  <cp:keywords/>
  <dcterms:created xsi:type="dcterms:W3CDTF">2026-10-20T15:35:35Z</dcterms:created>
  <dcterms:modified xsi:type="dcterms:W3CDTF">2026-10-20T15:35:35Z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jupyter">
    <vt:lpwstr>python3</vt:lpwstr>
  </property>
  <property fmtid="{D5CDD505-2E9C-101B-9397-08002B2CF9AE}" pid="9" name="labels">
    <vt:lpwstr/>
  </property>
  <property fmtid="{D5CDD505-2E9C-101B-9397-08002B2CF9AE}" pid="10" name="license">
    <vt:lpwstr/>
  </property>
  <property fmtid="{D5CDD505-2E9C-101B-9397-08002B2CF9AE}" pid="11" name="toc-title">
    <vt:lpwstr>Table of contents</vt:lpwstr>
  </property>
</Properties>
</file>