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7.png" ContentType="image/png"/>
  <Override PartName="/word/media/rId68.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métrica do espaço para construir as funções de Green. Isso permite uma generalização natural para espaços curvos e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Generaliza</w:t>
      </w:r>
      <w:r>
        <w:t xml:space="preserve"> </w:t>
      </w:r>
      <w:r>
        <w:t xml:space="preserve">para espaços curvos (relatividade geral)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2"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48"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bookmarkStart w:id="47"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r>
            <m:t>3</m:t>
          </m:r>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7"/>
    <w:bookmarkEnd w:id="48"/>
    <w:bookmarkStart w:id="52" w:name="integral-normalizada"/>
    <w:p>
      <w:pPr>
        <w:pStyle w:val="Heading2"/>
      </w:pPr>
      <w:r>
        <w:t xml:space="preserve">Integral Normalizada</w:t>
      </w:r>
    </w:p>
    <w:bookmarkStart w:id="50"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
            <m:t>π</m:t>
          </m:r>
        </m:oMath>
      </m:oMathPara>
    </w:p>
    <w:bookmarkStart w:id="49"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r>
            <m:t>3</m:t>
          </m:r>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(para simplificar):</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sSubSup>
            <m:e>
              <m:d>
                <m:dPr>
                  <m:begChr m:val="["/>
                  <m:sepChr m:val=""/>
                  <m:endChr m:val="]"/>
                  <m:grow/>
                </m:dPr>
                <m:e>
                  <m:f>
                    <m:fPr>
                      <m:type m:val="bar"/>
                    </m:fPr>
                    <m:num>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d>
            </m:e>
            <m:sub>
              <m:r>
                <m:t>0</m:t>
              </m:r>
            </m:sub>
            <m:sup>
              <m:r>
                <m:rPr>
                  <m:sty m:val="p"/>
                </m:rPr>
                <m:t>∞</m:t>
              </m:r>
            </m:sup>
          </m:sSubSup>
          <m:r>
            <m:rPr>
              <m:sty m:val="p"/>
            </m:rPr>
            <m:t>−</m:t>
          </m:r>
          <m:nary>
            <m:naryPr>
              <m:chr m:val="∫"/>
              <m:limLoc m:val="subSup"/>
              <m:subHide m:val="off"/>
              <m:supHide m:val="off"/>
            </m:naryPr>
            <m:sub>
              <m:r>
                <m:t>0</m:t>
              </m:r>
            </m:sub>
            <m:sup>
              <m:r>
                <m:rPr>
                  <m:sty m:val="p"/>
                </m:rPr>
                <m:t>∞</m:t>
              </m:r>
            </m:sup>
            <m:e>
              <m:f>
                <m:fPr>
                  <m:type m:val="bar"/>
                </m:fPr>
                <m:num>
                  <m:r>
                    <m:t>1</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t> </m:t>
          </m:r>
          <m:r>
            <m:t>d</m:t>
          </m:r>
          <m:r>
            <m:t>r</m:t>
          </m:r>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
                <m:t>1</m:t>
              </m:r>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
                <m:t>1</m:t>
              </m:r>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r>
            <m:rPr>
              <m:sty m:val="p"/>
            </m:rPr>
            <m:t>⋅</m:t>
          </m:r>
          <m:f>
            <m:fPr>
              <m:type m:val="bar"/>
            </m:fPr>
            <m:num>
              <m:r>
                <m:t>1</m:t>
              </m:r>
            </m:num>
            <m:den>
              <m:r>
                <m:t>ε</m:t>
              </m:r>
            </m:den>
          </m:f>
          <m:r>
            <m:rPr>
              <m:sty m:val="p"/>
            </m:rPr>
            <m:t>⋅</m:t>
          </m:r>
          <m:r>
            <m:rPr>
              <m:sty m:val="p"/>
            </m:rPr>
            <m:t>(</m:t>
          </m:r>
          <m:r>
            <m:rPr>
              <m:sty m:val="p"/>
            </m:rPr>
            <m:t>−</m:t>
          </m:r>
          <m:r>
            <m:t>1</m:t>
          </m:r>
          <m:r>
            <m:rPr>
              <m:sty m:val="p"/>
            </m:rPr>
            <m:t>)</m:t>
          </m:r>
          <m:r>
            <m:rPr>
              <m:sty m:val="p"/>
            </m:rPr>
            <m:t>=</m:t>
          </m:r>
          <m:r>
            <m:rPr>
              <m:sty m:val="p"/>
            </m:rPr>
            <m:t>−</m:t>
          </m:r>
          <m:r>
            <m:t>4</m:t>
          </m:r>
          <m:r>
            <m:t>π</m:t>
          </m:r>
        </m:oMath>
      </m:oMathPara>
    </w:p>
    <w:bookmarkEnd w:id="49"/>
    <w:bookmarkEnd w:id="50"/>
    <w:bookmarkStart w:id="51" w:name="normalização"/>
    <w:p>
      <w:pPr>
        <w:pStyle w:val="Heading3"/>
      </w:pPr>
      <w:r>
        <w:t xml:space="preserve">Normalização</w:t>
      </w:r>
    </w:p>
    <w:p>
      <w:pPr>
        <w:pStyle w:val="FirstParagraph"/>
      </w:pPr>
      <w:r>
        <w:t xml:space="preserve">Definimos:</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1"/>
    <w:bookmarkEnd w:id="52"/>
    <w:bookmarkStart w:id="61"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3"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3"/>
    <w:bookmarkStart w:id="56"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bookmarkEnd w:id="56"/>
    <w:bookmarkStart w:id="60" w:name="normalização-final"/>
    <w:p>
      <w:pPr>
        <w:pStyle w:val="Heading3"/>
      </w:pPr>
      <w:r>
        <w:t xml:space="preserve">Normalização Final</w:t>
      </w:r>
    </w:p>
    <w:p>
      <w:pPr>
        <w:pStyle w:val="FirstParagraph"/>
      </w:pPr>
      <w:r>
        <w:t xml:space="preserve">Dividindo por</w:t>
      </w:r>
      <w:r>
        <w:t xml:space="preserve"> </w:t>
      </w:r>
      <m:oMath>
        <m:r>
          <m:rPr>
            <m:sty m:val="p"/>
          </m:rPr>
          <m:t>−</m:t>
        </m:r>
        <m:r>
          <m:t>4</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0"/>
    <w:bookmarkEnd w:id="61"/>
    <w:bookmarkEnd w:id="62"/>
    <w:bookmarkStart w:id="67" w:name="interpretações-físicas"/>
    <w:p>
      <w:pPr>
        <w:pStyle w:val="Heading1"/>
      </w:pPr>
      <w:r>
        <w:t xml:space="preserve">Interpretações Físicas</w:t>
      </w:r>
    </w:p>
    <w:bookmarkStart w:id="66"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5"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5"/>
    <w:bookmarkEnd w:id="66"/>
    <w:bookmarkEnd w:id="67"/>
    <w:bookmarkStart w:id="80"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1" w:name="fig-greens-functions"/>
          <w:p>
            <w:pPr>
              <w:pStyle w:val="Compact"/>
              <w:jc w:val="center"/>
            </w:pPr>
            <w:r>
              <w:drawing>
                <wp:inline>
                  <wp:extent cx="5334000" cy="1746861"/>
                  <wp:effectExtent b="0" l="0" r="0" t="0"/>
                  <wp:docPr descr="" title="" id="69" name="Picture"/>
                  <a:graphic>
                    <a:graphicData uri="http://schemas.openxmlformats.org/drawingml/2006/picture">
                      <pic:pic>
                        <pic:nvPicPr>
                          <pic:cNvPr descr="green-functions-nd_files/figure-docx/fig-greens-functions-output-1.png" id="70" name="Picture"/>
                          <pic:cNvPicPr>
                            <a:picLocks noChangeArrowheads="1" noChangeAspect="1"/>
                          </pic:cNvPicPr>
                        </pic:nvPicPr>
                        <pic:blipFill>
                          <a:blip r:embed="rId68"/>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1"/>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(1/r)"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5" w:name="fig-regularization"/>
          <w:p>
            <w:pPr>
              <w:pStyle w:val="Compact"/>
              <w:jc w:val="center"/>
            </w:pPr>
            <w:r>
              <w:drawing>
                <wp:inline>
                  <wp:extent cx="5334000" cy="4116371"/>
                  <wp:effectExtent b="0" l="0" r="0" t="0"/>
                  <wp:docPr descr="" title="" id="73" name="Picture"/>
                  <a:graphic>
                    <a:graphicData uri="http://schemas.openxmlformats.org/drawingml/2006/picture">
                      <pic:pic>
                        <pic:nvPicPr>
                          <pic:cNvPr descr="green-functions-nd_files/figure-docx/fig-regularization-output-1.png" id="74" name="Picture"/>
                          <pic:cNvPicPr>
                            <a:picLocks noChangeArrowheads="1" noChangeAspect="1"/>
                          </pic:cNvPicPr>
                        </pic:nvPicPr>
                        <pic:blipFill>
                          <a:blip r:embed="rId72"/>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5"/>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9" w:name="fig-laplaciano-regularizado"/>
          <w:p>
            <w:pPr>
              <w:pStyle w:val="Compact"/>
              <w:jc w:val="center"/>
            </w:pPr>
            <w:r>
              <w:drawing>
                <wp:inline>
                  <wp:extent cx="5334000" cy="3992880"/>
                  <wp:effectExtent b="0" l="0" r="0" t="0"/>
                  <wp:docPr descr="" title="" id="77" name="Picture"/>
                  <a:graphic>
                    <a:graphicData uri="http://schemas.openxmlformats.org/drawingml/2006/picture">
                      <pic:pic>
                        <pic:nvPicPr>
                          <pic:cNvPr descr="green-functions-nd_files/figure-docx/fig-laplaciano-regularizado-output-1.png" id="78" name="Picture"/>
                          <pic:cNvPicPr>
                            <a:picLocks noChangeArrowheads="1" noChangeAspect="1"/>
                          </pic:cNvPicPr>
                        </pic:nvPicPr>
                        <pic:blipFill>
                          <a:blip r:embed="rId76"/>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79"/>
        </w:tc>
      </w:tr>
    </w:tbl>
    <w:bookmarkEnd w:id="80"/>
    <w:bookmarkStart w:id="83"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3"/>
    <w:bookmarkStart w:id="96" w:name="exercícios"/>
    <w:p>
      <w:pPr>
        <w:pStyle w:val="Heading1"/>
      </w:pPr>
      <w:r>
        <w:t xml:space="preserve">Exercícios</w:t>
      </w:r>
    </w:p>
    <w:bookmarkStart w:id="84"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sSub>
          <m:e>
            <m:r>
              <m:rPr>
                <m:sty m:val="p"/>
              </m:rPr>
              <m:t>∇</m:t>
            </m:r>
          </m:e>
          <m:sub>
            <m:r>
              <m:t>μ</m:t>
            </m:r>
          </m:sub>
        </m:sSub>
        <m:r>
          <m:t>σ</m:t>
        </m:r>
        <m:sSup>
          <m:e>
            <m:r>
              <m:rPr>
                <m:sty m:val="p"/>
              </m:rPr>
              <m:t>∇</m:t>
            </m:r>
          </m:e>
          <m:sup>
            <m:r>
              <m:t>μ</m:t>
            </m:r>
          </m:sup>
        </m:sSup>
        <m:r>
          <m:t>σ</m:t>
        </m:r>
      </m:oMath>
      <w:r>
        <w:t xml:space="preserve"> </w:t>
      </w:r>
      <w:r>
        <w:t xml:space="preserve">em notação tensorial.</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Qual é a importância da função de Synge em relatividade geral?</w:t>
      </w:r>
    </w:p>
    <w:bookmarkEnd w:id="84"/>
    <w:bookmarkStart w:id="85" w:name="exercício-2-lei-de-potência"/>
    <w:p>
      <w:pPr>
        <w:pStyle w:val="Heading2"/>
      </w:pPr>
      <w:r>
        <w:t xml:space="preserve">Exercício 2: Lei de Potência</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5"/>
    <w:bookmarkStart w:id="86"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6"/>
    <w:bookmarkStart w:id="87" w:name="exercício-4-regularização-3d"/>
    <w:p>
      <w:pPr>
        <w:pStyle w:val="Heading2"/>
      </w:pPr>
      <w:r>
        <w:t xml:space="preserve">Exercício 4: Regularização 3D</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
          <m:t>π</m:t>
        </m:r>
      </m:oMath>
      <w:r>
        <w:t xml:space="preserv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7"/>
    <w:bookmarkStart w:id="88"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88"/>
    <w:bookmarkStart w:id="89"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89"/>
    <w:bookmarkStart w:id="90"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0"/>
    <w:bookmarkStart w:id="91"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1"/>
    <w:bookmarkStart w:id="92"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2"/>
    <w:bookmarkStart w:id="93"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3"/>
    <w:bookmarkStart w:id="94"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4"/>
    <w:bookmarkStart w:id="95"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5"/>
    <w:bookmarkEnd w:id="96"/>
    <w:bookmarkStart w:id="97"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2026-06-30T11:44:30Z</dcterms:created>
  <dcterms:modified xsi:type="dcterms:W3CDTF">2026-06-30T11:44:30Z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