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9.png" ContentType="image/png"/>
  <Override PartName="/word/media/rId70.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4"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50"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Como</w:t>
            </w:r>
            <w:r>
              <w:t xml:space="preserve"> </w:t>
            </w:r>
            <m:oMath>
              <m:r>
                <m:t>σ</m:t>
              </m:r>
              <m:r>
                <m:rPr>
                  <m:sty m:val="p"/>
                </m:rPr>
                <m:t>=</m:t>
              </m:r>
              <m:sSup>
                <m:e>
                  <m:r>
                    <m:t>r</m:t>
                  </m:r>
                </m:e>
                <m:sup>
                  <m:r>
                    <m:t>2</m:t>
                  </m:r>
                </m:sup>
              </m:sSup>
              <m:r>
                <m:rPr>
                  <m:sty m:val="p"/>
                </m:rPr>
                <m:t>/</m:t>
              </m:r>
              <m:r>
                <m:t>2</m:t>
              </m:r>
            </m:oMath>
            <w:r>
              <w:t xml:space="preserve">, este regulador tende a</w:t>
            </w:r>
            <w:r>
              <w:t xml:space="preserve"> </w:t>
            </w:r>
            <m:oMath>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e não a</w:t>
            </w:r>
            <w:r>
              <w:t xml:space="preserve"> </w:t>
            </w:r>
            <m:oMath>
              <m:r>
                <m:t>1</m:t>
              </m:r>
              <m:r>
                <m:rPr>
                  <m:sty m:val="p"/>
                </m:rPr>
                <m:t>/</m:t>
              </m:r>
              <m:r>
                <m:t>r</m:t>
              </m:r>
            </m:oMath>
            <w:r>
              <w:t xml:space="preserve">. O fator</w:t>
            </w:r>
            <w:r>
              <w:t xml:space="preserve"> </w:t>
            </w:r>
            <m:oMath>
              <m:rad>
                <m:radPr>
                  <m:degHide m:val="on"/>
                </m:radPr>
                <m:deg/>
                <m:e>
                  <m:r>
                    <m:t>2</m:t>
                  </m:r>
                </m:e>
              </m:rad>
            </m:oMath>
            <w:r>
              <w:t xml:space="preserve"> </w:t>
            </w:r>
            <w:r>
              <w:t xml:space="preserve">extra vai aparecer explicitamente no resultado da integral abaixo, e será cancelado na normalização final.</w:t>
            </w:r>
          </w:p>
          <w:p/>
        </w:tc>
      </w:tr>
    </w:tbl>
    <w:bookmarkStart w:id="49"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f>
            <m:fPr>
              <m:type m:val="bar"/>
            </m:fPr>
            <m:num>
              <m:r>
                <m:t>3</m:t>
              </m:r>
            </m:num>
            <m:den>
              <m:r>
                <m:t>2</m:t>
              </m:r>
            </m:den>
          </m:f>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9"/>
    <w:bookmarkEnd w:id="50"/>
    <w:bookmarkStart w:id="54" w:name="integral-normalizada"/>
    <w:p>
      <w:pPr>
        <w:pStyle w:val="Heading2"/>
      </w:pPr>
      <w:r>
        <w:t xml:space="preserve">Integral Normalizada</w:t>
      </w:r>
    </w:p>
    <w:bookmarkStart w:id="52"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m:oMathPara>
    </w:p>
    <w:bookmarkStart w:id="51"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f>
            <m:fPr>
              <m:type m:val="bar"/>
            </m:fPr>
            <m:num>
              <m:r>
                <m:t>3</m:t>
              </m:r>
            </m:num>
            <m:den>
              <m:r>
                <m:t>2</m:t>
              </m:r>
            </m:den>
          </m:f>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(o termo de fronteira se anula em</w:t>
      </w:r>
      <w:r>
        <w:t xml:space="preserve"> </w:t>
      </w:r>
      <m:oMath>
        <m:r>
          <m:t>r</m:t>
        </m:r>
        <m:r>
          <m:rPr>
            <m:sty m:val="p"/>
          </m:rPr>
          <m:t>=</m:t>
        </m:r>
        <m:r>
          <m:t>0</m:t>
        </m:r>
      </m:oMath>
      <w:r>
        <w:t xml:space="preserve"> </w:t>
      </w:r>
      <w:r>
        <w:t xml:space="preserve">e</w:t>
      </w:r>
      <w:r>
        <w:t xml:space="preserve"> </w:t>
      </w:r>
      <m:oMath>
        <m:r>
          <m:t>r</m:t>
        </m:r>
        <m:r>
          <m:rPr>
            <m:sty m:val="p"/>
          </m:rPr>
          <m:t>→</m:t>
        </m:r>
        <m:r>
          <m:rPr>
            <m:sty m:val="p"/>
          </m:rPr>
          <m:t>∞</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r>
            <m:rPr>
              <m:sty m:val="p"/>
            </m:rPr>
            <m:t>=</m:t>
          </m:r>
          <m:f>
            <m:fPr>
              <m:type m:val="bar"/>
            </m:fPr>
            <m:num>
              <m:r>
                <m:t>2</m:t>
              </m:r>
            </m:num>
            <m:den>
              <m:r>
                <m:t>3</m:t>
              </m:r>
            </m:den>
          </m:f>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ad>
                <m:radPr>
                  <m:degHide m:val="on"/>
                </m:radPr>
                <m:deg/>
                <m:e>
                  <m:r>
                    <m:t>2</m:t>
                  </m:r>
                </m:e>
              </m:rad>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ad>
                <m:radPr>
                  <m:degHide m:val="on"/>
                </m:radPr>
                <m:deg/>
                <m:e>
                  <m:r>
                    <m:t>2</m:t>
                  </m:r>
                </m:e>
              </m:rad>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r>
            <m:rPr>
              <m:sty m:val="p"/>
            </m:rPr>
            <m:t>⋅</m:t>
          </m:r>
          <m:f>
            <m:fPr>
              <m:type m:val="bar"/>
            </m:fPr>
            <m:num>
              <m:r>
                <m:t>2</m:t>
              </m:r>
            </m:num>
            <m:den>
              <m:r>
                <m:t>3</m:t>
              </m:r>
            </m:den>
          </m:f>
          <m:r>
            <m:rPr>
              <m:sty m:val="p"/>
            </m:rPr>
            <m:t>⋅</m:t>
          </m:r>
          <m:f>
            <m:fPr>
              <m:type m:val="bar"/>
            </m:fPr>
            <m:num>
              <m:rad>
                <m:radPr>
                  <m:degHide m:val="on"/>
                </m:radPr>
                <m:deg/>
                <m:e>
                  <m:r>
                    <m:t>2</m:t>
                  </m:r>
                </m:e>
              </m:rad>
            </m:num>
            <m:den>
              <m:r>
                <m:t>ε</m:t>
              </m:r>
            </m:den>
          </m:f>
          <m:r>
            <m:rPr>
              <m:sty m:val="p"/>
            </m:rPr>
            <m:t>=</m:t>
          </m:r>
          <m:r>
            <m:rPr>
              <m:sty m:val="p"/>
            </m:rPr>
            <m:t>−</m:t>
          </m:r>
          <m:r>
            <m:t>4</m:t>
          </m:r>
          <m:rad>
            <m:radPr>
              <m:degHide m:val="on"/>
            </m:radPr>
            <m:deg/>
            <m:e>
              <m:r>
                <m:t>2</m:t>
              </m:r>
            </m:e>
          </m:rad>
          <m:r>
            <m:t> </m:t>
          </m:r>
          <m:r>
            <m:t>π</m:t>
          </m:r>
        </m:oMath>
      </m:oMathPara>
    </w:p>
    <w:bookmarkEnd w:id="51"/>
    <w:bookmarkEnd w:id="52"/>
    <w:bookmarkStart w:id="53" w:name="normalização"/>
    <w:p>
      <w:pPr>
        <w:pStyle w:val="Heading3"/>
      </w:pPr>
      <w:r>
        <w:t xml:space="preserve">Normalização</w:t>
      </w:r>
    </w:p>
    <w:p>
      <w:pPr>
        <w:pStyle w:val="FirstParagraph"/>
      </w:pPr>
      <w:r>
        <w:t xml:space="preserve">Como</w:t>
      </w:r>
      <w:r>
        <w:t xml:space="preserve"> </w:t>
      </w:r>
      <m:oMath>
        <m:sSub>
          <m:e>
            <m:r>
              <m:t>G</m:t>
            </m:r>
          </m:e>
          <m:sub>
            <m:r>
              <m:t>ε</m:t>
            </m:r>
          </m:sub>
        </m:sSub>
        <m:r>
          <m:rPr>
            <m:sty m:val="p"/>
          </m:rPr>
          <m:t>→</m:t>
        </m:r>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o fator</w:t>
      </w:r>
      <w:r>
        <w:t xml:space="preserve"> </w:t>
      </w:r>
      <m:oMath>
        <m:rad>
          <m:radPr>
            <m:degHide m:val="on"/>
          </m:radPr>
          <m:deg/>
          <m:e>
            <m:r>
              <m:t>2</m:t>
            </m:r>
          </m:e>
        </m:rad>
      </m:oMath>
      <w:r>
        <w:t xml:space="preserve"> </w:t>
      </w:r>
      <w:r>
        <w:t xml:space="preserve">herdado do resultado acima se cancela exatamente ao dividirmos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f>
            <m:fPr>
              <m:type m:val="bar"/>
            </m:fPr>
            <m:num>
              <m:sSup>
                <m:e>
                  <m:r>
                    <m:t>σ</m:t>
                  </m:r>
                </m:e>
                <m:sup>
                  <m:r>
                    <m:rPr>
                      <m:sty m:val="p"/>
                    </m:rPr>
                    <m:t>−</m:t>
                  </m:r>
                  <m:r>
                    <m:t>1</m:t>
                  </m:r>
                  <m:r>
                    <m:rPr>
                      <m:sty m:val="p"/>
                    </m:rPr>
                    <m:t>/</m:t>
                  </m:r>
                  <m:r>
                    <m:t>2</m:t>
                  </m:r>
                </m:sup>
              </m:sSup>
            </m:num>
            <m:den>
              <m:r>
                <m:rPr>
                  <m:sty m:val="p"/>
                </m:rPr>
                <m:t>−</m:t>
              </m:r>
              <m:r>
                <m:t>4</m:t>
              </m:r>
              <m:rad>
                <m:radPr>
                  <m:degHide m:val="on"/>
                </m:radPr>
                <m:deg/>
                <m:e>
                  <m:r>
                    <m:t>2</m:t>
                  </m:r>
                </m:e>
              </m:rad>
              <m:r>
                <m:t> </m:t>
              </m:r>
              <m:r>
                <m:t>π</m:t>
              </m:r>
            </m:den>
          </m:f>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3"/>
    <w:bookmarkEnd w:id="54"/>
    <w:bookmarkStart w:id="63"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5"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5"/>
    <w:bookmarkStart w:id="58"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m:oMathPara>
    </w:p>
    <w:bookmarkEnd w:id="58"/>
    <w:bookmarkStart w:id="62" w:name="normalização-final"/>
    <w:p>
      <w:pPr>
        <w:pStyle w:val="Heading3"/>
      </w:pPr>
      <w:r>
        <w:t xml:space="preserve">Normalização Final</w:t>
      </w:r>
    </w:p>
    <w:p>
      <w:pPr>
        <w:pStyle w:val="FirstParagraph"/>
      </w:pPr>
      <w:r>
        <w:t xml:space="preserve">Dividindo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ad>
                    <m:radPr>
                      <m:degHide m:val="on"/>
                    </m:radPr>
                    <m:deg/>
                    <m:e>
                      <m:r>
                        <m:t>2</m:t>
                      </m:r>
                    </m:e>
                  </m:rad>
                  <m:r>
                    <m:t> </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warning.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2"/>
    <w:bookmarkEnd w:id="63"/>
    <w:bookmarkEnd w:id="64"/>
    <w:bookmarkStart w:id="69" w:name="interpretações-físicas"/>
    <w:p>
      <w:pPr>
        <w:pStyle w:val="Heading1"/>
      </w:pPr>
      <w:r>
        <w:t xml:space="preserve">Interpretações Físicas</w:t>
      </w:r>
    </w:p>
    <w:bookmarkStart w:id="68"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7"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7"/>
    <w:bookmarkEnd w:id="68"/>
    <w:bookmarkEnd w:id="69"/>
    <w:bookmarkStart w:id="82"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3" w:name="fig-greens-functions"/>
          <w:p>
            <w:pPr>
              <w:pStyle w:val="Compact"/>
              <w:jc w:val="center"/>
            </w:pPr>
            <w:r>
              <w:drawing>
                <wp:inline>
                  <wp:extent cx="5334000" cy="1746861"/>
                  <wp:effectExtent b="0" l="0" r="0" t="0"/>
                  <wp:docPr descr="" title="" id="71" name="Picture"/>
                  <a:graphic>
                    <a:graphicData uri="http://schemas.openxmlformats.org/drawingml/2006/picture">
                      <pic:pic>
                        <pic:nvPicPr>
                          <pic:cNvPr descr="green-functions-nd_files/figure-docx/fig-greens-functions-output-1.png" id="72" name="Picture"/>
                          <pic:cNvPicPr>
                            <a:picLocks noChangeArrowheads="1" noChangeAspect="1"/>
                          </pic:cNvPicPr>
                        </pic:nvPicPr>
                        <pic:blipFill>
                          <a:blip r:embed="rId70"/>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3"/>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 (não normalizada, G_ε = (σ+ε)^{-1/2})"""</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 tende a sqrt(2)/r, não 1/r</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(√2/r)"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7" w:name="fig-regularization"/>
          <w:p>
            <w:pPr>
              <w:pStyle w:val="Compact"/>
              <w:jc w:val="center"/>
            </w:pPr>
            <w:r>
              <w:drawing>
                <wp:inline>
                  <wp:extent cx="5334000" cy="4116371"/>
                  <wp:effectExtent b="0" l="0" r="0" t="0"/>
                  <wp:docPr descr="" title="" id="75" name="Picture"/>
                  <a:graphic>
                    <a:graphicData uri="http://schemas.openxmlformats.org/drawingml/2006/picture">
                      <pic:pic>
                        <pic:nvPicPr>
                          <pic:cNvPr descr="green-functions-nd_files/figure-docx/fig-regularization-output-1.png" id="76" name="Picture"/>
                          <pic:cNvPicPr>
                            <a:picLocks noChangeArrowheads="1" noChangeAspect="1"/>
                          </pic:cNvPicPr>
                        </pic:nvPicPr>
                        <pic:blipFill>
                          <a:blip r:embed="rId74"/>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7"/>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1" w:name="fig-laplaciano-regularizado"/>
          <w:p>
            <w:pPr>
              <w:pStyle w:val="Compact"/>
              <w:jc w:val="center"/>
            </w:pPr>
            <w:r>
              <w:drawing>
                <wp:inline>
                  <wp:extent cx="5334000" cy="3992880"/>
                  <wp:effectExtent b="0" l="0" r="0" t="0"/>
                  <wp:docPr descr="" title="" id="79" name="Picture"/>
                  <a:graphic>
                    <a:graphicData uri="http://schemas.openxmlformats.org/drawingml/2006/picture">
                      <pic:pic>
                        <pic:nvPicPr>
                          <pic:cNvPr descr="green-functions-nd_files/figure-docx/fig-laplaciano-regularizado-output-1.png" id="80" name="Picture"/>
                          <pic:cNvPicPr>
                            <a:picLocks noChangeArrowheads="1" noChangeAspect="1"/>
                          </pic:cNvPicPr>
                        </pic:nvPicPr>
                        <pic:blipFill>
                          <a:blip r:embed="rId78"/>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1"/>
        </w:tc>
      </w:tr>
    </w:tbl>
    <w:bookmarkEnd w:id="82"/>
    <w:bookmarkStart w:id="85"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5"/>
    <w:bookmarkStart w:id="98" w:name="exercícios"/>
    <w:p>
      <w:pPr>
        <w:pStyle w:val="Heading1"/>
      </w:pPr>
      <w:r>
        <w:t xml:space="preserve">Exercícios</w:t>
      </w:r>
    </w:p>
    <w:bookmarkStart w:id="86"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r>
          <m:rPr>
            <m:sty m:val="p"/>
          </m:rPr>
          <m:t>∇</m:t>
        </m:r>
        <m:r>
          <m:t>σ</m:t>
        </m:r>
        <m:r>
          <m:rPr>
            <m:sty m:val="p"/>
          </m:rPr>
          <m:t>⋅</m:t>
        </m:r>
        <m:r>
          <m:rPr>
            <m:sty m:val="p"/>
          </m:rPr>
          <m:t>∇</m:t>
        </m:r>
        <m:r>
          <m:t>σ</m:t>
        </m:r>
      </m:oMath>
      <w:r>
        <w:t xml:space="preserve"> </w:t>
      </w:r>
      <w:r>
        <w:t xml:space="preserve">explicitamente.</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6"/>
    <w:bookmarkStart w:id="87" w:name="exercício-2-lei-de-potência-essencial"/>
    <w:p>
      <w:pPr>
        <w:pStyle w:val="Heading2"/>
      </w:pPr>
      <w:r>
        <w:t xml:space="preserve">Exercício 2: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7"/>
    <w:bookmarkStart w:id="88"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88"/>
    <w:bookmarkStart w:id="89" w:name="exercício-4-regularização-3d-essencial"/>
    <w:p>
      <w:pPr>
        <w:pStyle w:val="Heading2"/>
      </w:pPr>
      <w:r>
        <w:t xml:space="preserve">Exercício 4: Regularização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w:r>
        <w:t xml:space="preserve">, e explique por que o fator</w:t>
      </w:r>
      <w:r>
        <w:t xml:space="preserve"> </w:t>
      </w:r>
      <m:oMath>
        <m:rad>
          <m:radPr>
            <m:degHide m:val="on"/>
          </m:radPr>
          <m:deg/>
          <m:e>
            <m:r>
              <m:t>2</m:t>
            </m:r>
          </m:e>
        </m:rad>
      </m:oMath>
      <w:r>
        <w:t xml:space="preserve"> </w:t>
      </w:r>
      <w:r>
        <w:t xml:space="preserve">aparece.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89"/>
    <w:bookmarkStart w:id="90"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90"/>
    <w:bookmarkStart w:id="91"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91"/>
    <w:bookmarkStart w:id="92"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2"/>
    <w:bookmarkStart w:id="93" w:name="exercício-8-implementação-numérica"/>
    <w:p>
      <w:pPr>
        <w:pStyle w:val="Heading2"/>
      </w:pPr>
      <w:r>
        <w:t xml:space="preserve">Exercício 8: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3"/>
    <w:bookmarkStart w:id="94" w:name="exercício-9-conexão-com-eletromagnetismo"/>
    <w:p>
      <w:pPr>
        <w:pStyle w:val="Heading2"/>
      </w:pPr>
      <w:r>
        <w:t xml:space="preserve">Exercício 9: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4"/>
    <w:bookmarkStart w:id="95" w:name="exercício-10-caso-1d-detalhado"/>
    <w:p>
      <w:pPr>
        <w:pStyle w:val="Heading2"/>
      </w:pPr>
      <w:r>
        <w:t xml:space="preserve">Exercício 10: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5"/>
    <w:bookmarkStart w:id="96" w:name="exercício-11-método-de-frobenius"/>
    <w:p>
      <w:pPr>
        <w:pStyle w:val="Heading2"/>
      </w:pPr>
      <w:r>
        <w:t xml:space="preserve">Exercício 11: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96"/>
    <w:bookmarkStart w:id="97" w:name="exercício-12-aplicações-práticas"/>
    <w:p>
      <w:pPr>
        <w:pStyle w:val="Heading2"/>
      </w:pPr>
      <w:r>
        <w:t xml:space="preserve">Exercício 12: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97"/>
    <w:bookmarkEnd w:id="98"/>
    <w:bookmarkStart w:id="99"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2026-06-30T12:51:04Z</dcterms:created>
  <dcterms:modified xsi:type="dcterms:W3CDTF">2026-06-30T12:51:04Z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