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  <Override PartName="/word/media/rId38.png" ContentType="image/png"/>
  <Override PartName="/word/media/rId85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Funções de Green em Teoria de Campos</w:t>
      </w:r>
    </w:p>
    <w:bookmarkStart w:id="14" w:name="introdução"/>
    <w:p>
      <w:pPr>
        <w:pStyle w:val="Heading1"/>
      </w:pPr>
      <w:r>
        <w:t xml:space="preserve">Introdução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daremos continuidade ao estudo das funções de Green, agora estendendo o formalismo para teorias de campos. Os principais objetivos são:</w:t>
      </w:r>
    </w:p>
    <w:p>
      <w:pPr>
        <w:pStyle w:val="Compact"/>
        <w:numPr>
          <w:ilvl w:val="0"/>
          <w:numId w:val="1001"/>
        </w:numPr>
      </w:pPr>
      <w:r>
        <w:t xml:space="preserve">Estender o formalismo de soluções de equações diferenciais para o contexto de campos</w:t>
      </w:r>
    </w:p>
    <w:p>
      <w:pPr>
        <w:pStyle w:val="Compact"/>
        <w:numPr>
          <w:ilvl w:val="0"/>
          <w:numId w:val="1001"/>
        </w:numPr>
      </w:pPr>
      <w:r>
        <w:t xml:space="preserve">Compreender como construir bases completas no espaço de funções</w:t>
      </w:r>
    </w:p>
    <w:p>
      <w:pPr>
        <w:pStyle w:val="Compact"/>
        <w:numPr>
          <w:ilvl w:val="0"/>
          <w:numId w:val="1001"/>
        </w:numPr>
      </w:pPr>
      <w:r>
        <w:t xml:space="preserve">Introduzir o conceito de produto interno para campos</w:t>
      </w:r>
    </w:p>
    <w:p>
      <w:pPr>
        <w:pStyle w:val="Compact"/>
        <w:numPr>
          <w:ilvl w:val="0"/>
          <w:numId w:val="1001"/>
        </w:numPr>
      </w:pPr>
      <w:r>
        <w:t xml:space="preserve">Construir o formalismo simplético para a equação de onda</w:t>
      </w:r>
    </w:p>
    <w:p>
      <w:pPr>
        <w:pStyle w:val="Compact"/>
        <w:numPr>
          <w:ilvl w:val="0"/>
          <w:numId w:val="1001"/>
        </w:numPr>
      </w:pPr>
      <w:r>
        <w:t xml:space="preserve">Generalizar a função de Green para o espaço-tempo</w:t>
      </w:r>
    </w:p>
    <w:bookmarkEnd w:id="9"/>
    <w:bookmarkStart w:id="13" w:name="contextualização"/>
    <w:p>
      <w:pPr>
        <w:pStyle w:val="Heading2"/>
      </w:pPr>
      <w:r>
        <w:t xml:space="preserve">Contextualização</w:t>
      </w:r>
    </w:p>
    <w:p>
      <w:pPr>
        <w:pStyle w:val="FirstParagraph"/>
      </w:pPr>
      <w:r>
        <w:t xml:space="preserve">Na aula anterior, trabalhamos com o formalismo para equações diferenciais ordinárias, onde o espaço de soluções era bidimensional (posição e momento). Agora, ao lidar com campos, temos que considerar um espaço de funções de dimensão infinita, o que torna a construção mais sofisticada.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transição de partículas para campos envolve mudar de um espaço de fase de dimensão finita (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 para um espaço de funções de dimensão infinita. Isso requer novas ferramentas matemáticas e conceitos mais abstratos.</w:t>
            </w:r>
          </w:p>
          <w:p/>
        </w:tc>
      </w:tr>
    </w:tbl>
    <w:bookmarkEnd w:id="13"/>
    <w:bookmarkEnd w:id="14"/>
    <w:bookmarkStart w:id="26" w:name="revisão-do-formalismo-de-partículas"/>
    <w:p>
      <w:pPr>
        <w:pStyle w:val="Heading1"/>
      </w:pPr>
      <w:r>
        <w:t xml:space="preserve">Revisão do Formalismo de Partículas</w:t>
      </w:r>
    </w:p>
    <w:bookmarkStart w:id="17" w:name="estrutura-simplética-para-partículas"/>
    <w:p>
      <w:pPr>
        <w:pStyle w:val="Heading2"/>
      </w:pPr>
      <w:r>
        <w:t xml:space="preserve">Estrutura Simplética para Partículas</w:t>
      </w:r>
    </w:p>
    <w:p>
      <w:pPr>
        <w:pStyle w:val="FirstParagraph"/>
      </w:pPr>
      <w:r>
        <w:t xml:space="preserve">Para uma partícula, definimos o vetor no espaço de fase: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é a posição 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o momento (ou derivada temporal).</w:t>
      </w:r>
    </w:p>
    <w:bookmarkStart w:id="15" w:name="matriz-simplética"/>
    <w:p>
      <w:pPr>
        <w:pStyle w:val="Heading3"/>
      </w:pPr>
      <w:r>
        <w:t xml:space="preserve">Matriz Simplética</w:t>
      </w:r>
    </w:p>
    <w:p>
      <w:pPr>
        <w:pStyle w:val="FirstParagraph"/>
      </w:pPr>
      <w:r>
        <w:t xml:space="preserve">A estrutura simplética é dada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5"/>
    <w:bookmarkStart w:id="16" w:name="produto-interno-simplético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entre dois vetores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Este produto interno é conservado quando ambos os vetores são soluções da equação de movimento.</w:t>
      </w:r>
    </w:p>
    <w:bookmarkEnd w:id="16"/>
    <w:bookmarkEnd w:id="17"/>
    <w:bookmarkStart w:id="21" w:name="decomposição-de-vetores-arbitrários"/>
    <w:p>
      <w:pPr>
        <w:pStyle w:val="Heading2"/>
      </w:pPr>
      <w:r>
        <w:t xml:space="preserve">Decomposição de Vetores Arbitrários</w:t>
      </w:r>
    </w:p>
    <w:p>
      <w:pPr>
        <w:pStyle w:val="FirstParagraph"/>
      </w:pPr>
      <w:r>
        <w:t xml:space="preserve">Mesmo que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não seja uma solução da equação homogênea, podemos decompô-lo na base de soluções: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são soluções da equação homogênea.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que esta decomposição seja válida no mesmo instante de tempo, precisamos que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sejam avaliados no mesmo tempo. A conservação do Wronskiano garante que a independência linear se mantém ao longo do tempo.</w:t>
            </w:r>
          </w:p>
          <w:p/>
        </w:tc>
      </w:tr>
    </w:tbl>
    <w:bookmarkEnd w:id="21"/>
    <w:bookmarkStart w:id="25" w:name="função-de-green-para-partículas"/>
    <w:p>
      <w:pPr>
        <w:pStyle w:val="Heading2"/>
      </w:pPr>
      <w:r>
        <w:t xml:space="preserve">Função de Green para Partículas</w:t>
      </w:r>
    </w:p>
    <w:p>
      <w:pPr>
        <w:pStyle w:val="FirstParagraph"/>
      </w:pPr>
      <w:r>
        <w:t xml:space="preserve">A função de Green avançada é construída como: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rPr>
                  <m:sty m:val="p"/>
                </m:rPr>
                <m:t>[</m:t>
              </m:r>
            </m:e>
          </m:nary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Esta construção garante que: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 </w:t>
      </w:r>
      <w:r>
        <w:t xml:space="preserve">satisfaz a equação não-homogênea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(condição de contorno no passado)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limite inferior como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corresponde à condição de que a solução é zero no passado distante. Poderíamos escolher qualquer instante inicial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mas a escolha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é conveniente para problemas de espalhamento.</w:t>
            </w:r>
          </w:p>
          <w:p/>
        </w:tc>
      </w:tr>
    </w:tbl>
    <w:bookmarkEnd w:id="25"/>
    <w:bookmarkEnd w:id="26"/>
    <w:bookmarkStart w:id="50" w:name="extensão-para-teoria-de-campos"/>
    <w:p>
      <w:pPr>
        <w:pStyle w:val="Heading1"/>
      </w:pPr>
      <w:r>
        <w:t xml:space="preserve">Extensão para Teoria de Campos</w:t>
      </w:r>
    </w:p>
    <w:bookmarkStart w:id="30" w:name="o-espaço-de-funções"/>
    <w:p>
      <w:pPr>
        <w:pStyle w:val="Heading2"/>
      </w:pPr>
      <w:r>
        <w:t xml:space="preserve">O Espaço de Funções</w:t>
      </w:r>
    </w:p>
    <w:p>
      <w:pPr>
        <w:pStyle w:val="FirstParagraph"/>
      </w:pPr>
      <w:r>
        <w:t xml:space="preserve">Na teoria de campos, a função de campo é: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que associa a cada ponto do espaço-tempo um valor (escalar).</w:t>
      </w:r>
    </w:p>
    <w:bookmarkStart w:id="29" w:name="condições-iniciais"/>
    <w:p>
      <w:pPr>
        <w:pStyle w:val="Heading3"/>
      </w:pPr>
      <w:r>
        <w:t xml:space="preserve">Condições Iniciais</w:t>
      </w:r>
    </w:p>
    <w:p>
      <w:pPr>
        <w:pStyle w:val="FirstParagraph"/>
      </w:pPr>
      <w:r>
        <w:t xml:space="preserve">Diferente do caso de partículas, agora precisamos especificar:</w:t>
      </w:r>
    </w:p>
    <w:p>
      <w:pPr>
        <w:pStyle w:val="Compact"/>
        <w:numPr>
          <w:ilvl w:val="0"/>
          <w:numId w:val="1003"/>
        </w:numPr>
      </w:pPr>
      <w:r>
        <w:t xml:space="preserve">O valor do campo em cada ponto do espaço: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A derivada temporal do campo:</w:t>
      </w:r>
      <w:r>
        <w:t xml:space="preserve"> </w:t>
      </w:r>
      <m:oMath>
        <m:acc>
          <m:accPr>
            <m:chr m:val="̇"/>
          </m:accPr>
          <m:e>
            <m:r>
              <m:t>ϕ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̇"/>
                </m:accPr>
                <m:e>
                  <m:r>
                    <m:t>ϕ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especificação de duas funções como condições iniciais é análoga a especificar posição e momento, mas agora em cada ponto do espaço.</w:t>
            </w:r>
          </w:p>
          <w:p/>
        </w:tc>
      </w:tr>
    </w:tbl>
    <w:bookmarkEnd w:id="29"/>
    <w:bookmarkEnd w:id="30"/>
    <w:bookmarkStart w:id="36" w:name="produto-interno-para-campos"/>
    <w:p>
      <w:pPr>
        <w:pStyle w:val="Heading2"/>
      </w:pPr>
      <w:r>
        <w:t xml:space="preserve">Produto Interno para Campos</w:t>
      </w:r>
    </w:p>
    <w:bookmarkStart w:id="31" w:name="definição-geral"/>
    <w:p>
      <w:pPr>
        <w:pStyle w:val="Heading3"/>
      </w:pPr>
      <w:r>
        <w:t xml:space="preserve">Definição Geral</w:t>
      </w:r>
    </w:p>
    <w:p>
      <w:pPr>
        <w:pStyle w:val="FirstParagraph"/>
      </w:pPr>
      <w:r>
        <w:t xml:space="preserve">Definimos o produto interno para funções de campo 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W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função de peso.</w:t>
      </w:r>
    </w:p>
    <w:bookmarkEnd w:id="31"/>
    <w:bookmarkStart w:id="34" w:name="escolha-do-peso"/>
    <w:p>
      <w:pPr>
        <w:pStyle w:val="Heading3"/>
      </w:pPr>
      <w:r>
        <w:t xml:space="preserve">Escolha do Peso</w:t>
      </w:r>
    </w:p>
    <w:p>
      <w:pPr>
        <w:pStyle w:val="FirstParagraph"/>
      </w:pPr>
      <w:r>
        <w:t xml:space="preserve">Para a geometria euclidiana e o operador laplaciano, a escolha natural é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peso está relacionada ao operador que queremos que seja auto-adjunto. Para o laplaciano na geometria euclidiana, o peso é constante.</w:t>
            </w:r>
          </w:p>
          <w:p/>
        </w:tc>
      </w:tr>
    </w:tbl>
    <w:bookmarkEnd w:id="34"/>
    <w:bookmarkStart w:id="35" w:name="auto-adjuntividade-do-laplaciano"/>
    <w:p>
      <w:pPr>
        <w:pStyle w:val="Heading3"/>
      </w:pPr>
      <w:r>
        <w:t xml:space="preserve">Auto-adjuntividade do Laplaciano</w:t>
      </w:r>
    </w:p>
    <w:p>
      <w:pPr>
        <w:pStyle w:val="FirstParagraph"/>
      </w:pPr>
      <w:r>
        <w:t xml:space="preserve">O operador laplaciano é auto-adjunto no produto interno definido acima: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desde que as funções decaiam suficientemente rápido no infinito (condições de contorno adequadas).</w:t>
      </w:r>
    </w:p>
    <w:bookmarkEnd w:id="35"/>
    <w:bookmarkEnd w:id="36"/>
    <w:bookmarkStart w:id="42" w:name="formalismo-simplético-para-campos"/>
    <w:p>
      <w:pPr>
        <w:pStyle w:val="Heading2"/>
      </w:pPr>
      <w:r>
        <w:t xml:space="preserve">Formalismo Simplético para Campos</w:t>
      </w:r>
    </w:p>
    <w:bookmarkStart w:id="37" w:name="vetor-de-estado-no-espaço-de-fase"/>
    <w:p>
      <w:pPr>
        <w:pStyle w:val="Heading3"/>
      </w:pPr>
      <w:r>
        <w:t xml:space="preserve">Vetor de Estado no Espaço de Fase</w:t>
      </w:r>
    </w:p>
    <w:p>
      <w:pPr>
        <w:pStyle w:val="FirstParagraph"/>
      </w:pPr>
      <w:r>
        <w:t xml:space="preserve">Para campos, definimos o vetor no espaço de fase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̇"/>
          </m:accPr>
          <m:e>
            <m:r>
              <m:t>ϕ</m:t>
            </m:r>
          </m:e>
        </m:acc>
      </m:oMath>
      <w:r>
        <w:t xml:space="preserve"> </w:t>
      </w:r>
      <w:r>
        <w:t xml:space="preserve">é o momento conjugado (ou derivada temporal).</w:t>
      </w:r>
    </w:p>
    <w:bookmarkEnd w:id="37"/>
    <w:bookmarkStart w:id="41" w:name="produto-interno-simplético-1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para campos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Expandindo: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fator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 </w:t>
            </w:r>
            <w:r>
              <w:t xml:space="preserve">na definição do produto interno é crucial para garantir que o produto seja positivo definido quando trabalhamos com funções complexas.</w:t>
            </w:r>
          </w:p>
          <w:p/>
        </w:tc>
      </w:tr>
    </w:tbl>
    <w:bookmarkEnd w:id="41"/>
    <w:bookmarkEnd w:id="42"/>
    <w:bookmarkStart w:id="46" w:name="equação-de-onda-no-formalismo-simplético"/>
    <w:p>
      <w:pPr>
        <w:pStyle w:val="Heading2"/>
      </w:pPr>
      <w:r>
        <w:t xml:space="preserve">Equação de Onda no Formalismo Simplético</w:t>
      </w:r>
    </w:p>
    <w:bookmarkStart w:id="43" w:name="equação-de-onda"/>
    <w:p>
      <w:pPr>
        <w:pStyle w:val="Heading3"/>
      </w:pPr>
      <w:r>
        <w:t xml:space="preserve">Equação de Onda</w:t>
      </w:r>
    </w:p>
    <w:p>
      <w:pPr>
        <w:pStyle w:val="FirstParagraph"/>
      </w:pPr>
      <w:r>
        <w:t xml:space="preserve">A equação de onda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 em unidades de comprimento.</w:t>
      </w:r>
    </w:p>
    <w:bookmarkEnd w:id="43"/>
    <w:bookmarkStart w:id="44" w:name="decomposição-em-primeira-ordem"/>
    <w:p>
      <w:pPr>
        <w:pStyle w:val="Heading3"/>
      </w:pPr>
      <w:r>
        <w:t xml:space="preserve">Decomposição em Primeira Ordem</w:t>
      </w:r>
    </w:p>
    <w:p>
      <w:pPr>
        <w:pStyle w:val="FirstParagraph"/>
      </w:pPr>
      <w:r>
        <w:t xml:space="preserve">Definindo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ϕ</m:t>
        </m:r>
      </m:oMath>
      <w:r>
        <w:t xml:space="preserve">, podemos escrever o sistema como: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ϕ</m:t>
              </m:r>
            </m:e>
          </m:acc>
          <m:r>
            <m:rPr>
              <m:sty m:val="p"/>
            </m:rPr>
            <m:t>=</m:t>
          </m:r>
          <m:r>
            <m:t>π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No formalismo matricial: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̇"/>
                      </m:accPr>
                      <m:e>
                        <m:r>
                          <m:t>ϕ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</m:accPr>
                      <m:e>
                        <m:r>
                          <m:t>π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bookmarkEnd w:id="44"/>
    <w:bookmarkStart w:id="45" w:name="matriz-hamiltoniana"/>
    <w:p>
      <w:pPr>
        <w:pStyle w:val="Heading3"/>
      </w:pPr>
      <w:r>
        <w:t xml:space="preserve">Matriz Hamiltoniana</w:t>
      </w:r>
    </w:p>
    <w:p>
      <w:pPr>
        <w:pStyle w:val="FirstParagraph"/>
      </w:pPr>
      <w:r>
        <w:t xml:space="preserve">A matriz que gera a evolução temporal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bookmarkEnd w:id="45"/>
    <w:bookmarkEnd w:id="46"/>
    <w:bookmarkStart w:id="49" w:name="conservação-do-wronskiano-de-campos"/>
    <w:p>
      <w:pPr>
        <w:pStyle w:val="Heading2"/>
      </w:pPr>
      <w:r>
        <w:t xml:space="preserve">Conservação do Wronskiano de Campos</w:t>
      </w:r>
    </w:p>
    <w:p>
      <w:pPr>
        <w:pStyle w:val="FirstParagraph"/>
      </w:pPr>
      <w:r>
        <w:t xml:space="preserve">O Wronskiano de campos 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Sua derivada temporal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π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Usando a auto-adjuntividade do laplaciano: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1</m:t>
                  </m:r>
                </m:sub>
              </m:sSub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Ou seja, o Wronskiano é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conservação do Wronskiano garante que uma base linearmente independente no instante inicial permanecerá linearmente independente para todo tempo. Isso é essencial para a construção de soluções gerais.</w:t>
            </w:r>
          </w:p>
          <w:p/>
        </w:tc>
      </w:tr>
    </w:tbl>
    <w:bookmarkEnd w:id="49"/>
    <w:bookmarkEnd w:id="50"/>
    <w:bookmarkStart w:id="68" w:name="construção-de-bases-para-campos"/>
    <w:p>
      <w:pPr>
        <w:pStyle w:val="Heading1"/>
      </w:pPr>
      <w:r>
        <w:t xml:space="preserve">Construção de Bases para Campos</w:t>
      </w:r>
    </w:p>
    <w:bookmarkStart w:id="54" w:name="base-de-ondas-planas"/>
    <w:p>
      <w:pPr>
        <w:pStyle w:val="Heading2"/>
      </w:pPr>
      <w:r>
        <w:t xml:space="preserve">Base de Ondas Planas</w:t>
      </w:r>
    </w:p>
    <w:bookmarkStart w:id="51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t xml:space="preserve">As ondas planas formam uma base completa para o espaço de funções em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</m:oMath>
      </m:oMathPara>
    </w:p>
    <w:bookmarkEnd w:id="51"/>
    <w:bookmarkStart w:id="52" w:name="relação-de-ortogonalidade"/>
    <w:p>
      <w:pPr>
        <w:pStyle w:val="Heading3"/>
      </w:pPr>
      <w:r>
        <w:t xml:space="preserve">Relação de Ortogonalidade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2"/>
    <w:bookmarkStart w:id="53" w:name="completeza"/>
    <w:p>
      <w:pPr>
        <w:pStyle w:val="Heading3"/>
      </w:pPr>
      <w:r>
        <w:t xml:space="preserve">Completeza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Sup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3"/>
    <w:bookmarkEnd w:id="54"/>
    <w:bookmarkStart w:id="57" w:name="decomposição-de-fourier"/>
    <w:p>
      <w:pPr>
        <w:pStyle w:val="Heading2"/>
      </w:pPr>
      <w:r>
        <w:t xml:space="preserve">Decomposição de Fourier</w:t>
      </w:r>
    </w:p>
    <w:bookmarkStart w:id="55" w:name="transformada-de-fourier"/>
    <w:p>
      <w:pPr>
        <w:pStyle w:val="Heading3"/>
      </w:pPr>
      <w:r>
        <w:t xml:space="preserve">Transformada de Fourier</w:t>
      </w:r>
    </w:p>
    <w:p>
      <w:pPr>
        <w:pStyle w:val="FirstParagraph"/>
      </w:pPr>
      <w:r>
        <w:t xml:space="preserve">Qualquer função (suave) pode ser decomposta como: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acc>
                <m:accPr>
                  <m:chr m:val="̃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bookmarkEnd w:id="55"/>
    <w:bookmarkStart w:id="56" w:name="propriedades-da-base-de-ondas-planas"/>
    <w:p>
      <w:pPr>
        <w:pStyle w:val="Heading3"/>
      </w:pPr>
      <w:r>
        <w:t xml:space="preserve">Propriedades da Base de Ondas Planas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Diagonaliza o laplaciano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translações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rPr>
              <m:sty m:val="b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a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rotações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"/>
            </m:rPr>
            <m:t>k</m:t>
          </m:r>
          <m:r>
            <m:rPr>
              <m:sty m:val="p"/>
            </m:rPr>
            <m:t>)</m:t>
          </m:r>
        </m:oMath>
      </m:oMathPara>
    </w:p>
    <w:bookmarkEnd w:id="56"/>
    <w:bookmarkEnd w:id="57"/>
    <w:bookmarkStart w:id="61" w:name="soluções-modais"/>
    <w:p>
      <w:pPr>
        <w:pStyle w:val="Heading2"/>
      </w:pPr>
      <w:r>
        <w:t xml:space="preserve">Soluções Modais</w:t>
      </w:r>
    </w:p>
    <w:bookmarkStart w:id="58" w:name="separação-de-variáveis"/>
    <w:p>
      <w:pPr>
        <w:pStyle w:val="Heading3"/>
      </w:pPr>
      <w:r>
        <w:t xml:space="preserve">Separação de Variáveis</w:t>
      </w:r>
    </w:p>
    <w:p>
      <w:pPr>
        <w:pStyle w:val="FirstParagraph"/>
      </w:pPr>
      <w:r>
        <w:t xml:space="preserve">Procuramos soluções da forma: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na equação de onda: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̈"/>
                </m:accPr>
                <m:e>
                  <m:r>
                    <m:t>T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</m:oMath>
      </m:oMathPara>
    </w:p>
    <w:bookmarkEnd w:id="58"/>
    <w:bookmarkStart w:id="59" w:name="soluções-temporais"/>
    <w:p>
      <w:pPr>
        <w:pStyle w:val="Heading3"/>
      </w:pPr>
      <w:r>
        <w:t xml:space="preserve">Soluções Temporais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obtemos a equação do oscilador harmônico: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As soluções são: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(no sistema de unidades onde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59"/>
    <w:bookmarkStart w:id="60" w:name="soluções-de-onda-plana"/>
    <w:p>
      <w:pPr>
        <w:pStyle w:val="Heading3"/>
      </w:pPr>
      <w:r>
        <w:t xml:space="preserve">Soluções de Onda Plana</w:t>
      </w:r>
    </w:p>
    <w:p>
      <w:pPr>
        <w:pStyle w:val="FirstParagraph"/>
      </w:pPr>
      <w:r>
        <w:t xml:space="preserve">Portanto, as soluções modais são: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bookmarkEnd w:id="60"/>
    <w:bookmarkEnd w:id="61"/>
    <w:bookmarkStart w:id="67" w:name="formalismo-simplético-para-ondas-planas"/>
    <w:p>
      <w:pPr>
        <w:pStyle w:val="Heading2"/>
      </w:pPr>
      <w:r>
        <w:t xml:space="preserve">Formalismo Simplético para Ondas Planas</w:t>
      </w:r>
    </w:p>
    <w:bookmarkStart w:id="62" w:name="base-simplética"/>
    <w:p>
      <w:pPr>
        <w:pStyle w:val="Heading3"/>
      </w:pPr>
      <w:r>
        <w:t xml:space="preserve">Base Simplética</w:t>
      </w:r>
    </w:p>
    <w:p>
      <w:pPr>
        <w:pStyle w:val="FirstParagraph"/>
      </w:pPr>
      <w:r>
        <w:t xml:space="preserve">Definimos a base de ondas planas no espaço de fase: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2"/>
    <w:bookmarkStart w:id="65" w:name="produto-interno-dos-modos"/>
    <w:p>
      <w:pPr>
        <w:pStyle w:val="Heading3"/>
      </w:pPr>
      <w:r>
        <w:t xml:space="preserve">Produto Interno dos Modos</w:t>
      </w:r>
    </w:p>
    <w:p>
      <w:pPr>
        <w:pStyle w:val="FirstParagraph"/>
      </w:pPr>
      <w:r>
        <w:t xml:space="preserve">Calculamos o produto interno simplético entre dois modos: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normalização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t xml:space="preserve"> </w:t>
            </w:r>
            <w:r>
              <w:t xml:space="preserve">foi escolhida para que o produto interno dos modos seja exatamente uma delta de Dirac.</w:t>
            </w:r>
          </w:p>
          <w:p/>
        </w:tc>
      </w:tr>
    </w:tbl>
    <w:bookmarkEnd w:id="65"/>
    <w:bookmarkStart w:id="66" w:name="decomposição-do-campo"/>
    <w:p>
      <w:pPr>
        <w:pStyle w:val="Heading3"/>
      </w:pPr>
      <w:r>
        <w:t xml:space="preserve">Decomposição do Campo</w:t>
      </w:r>
    </w:p>
    <w:p>
      <w:pPr>
        <w:pStyle w:val="FirstParagraph"/>
      </w:pPr>
      <w:r>
        <w:t xml:space="preserve">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Os coeficientes são obtidos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Q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</m:oMath>
      </m:oMathPara>
    </w:p>
    <w:bookmarkEnd w:id="66"/>
    <w:bookmarkEnd w:id="67"/>
    <w:bookmarkEnd w:id="68"/>
    <w:bookmarkStart w:id="77" w:name="função-de-green-para-campos"/>
    <w:p>
      <w:pPr>
        <w:pStyle w:val="Heading1"/>
      </w:pPr>
      <w:r>
        <w:t xml:space="preserve">Função de Green para Campos</w:t>
      </w:r>
    </w:p>
    <w:bookmarkStart w:id="71" w:name="construção-do-propagador"/>
    <w:p>
      <w:pPr>
        <w:pStyle w:val="Heading2"/>
      </w:pPr>
      <w:r>
        <w:t xml:space="preserve">Construção do Propagador</w:t>
      </w:r>
    </w:p>
    <w:bookmarkStart w:id="69" w:name="generalização-do-caso-de-partículas"/>
    <w:p>
      <w:pPr>
        <w:pStyle w:val="Heading3"/>
      </w:pPr>
      <w:r>
        <w:t xml:space="preserve">Generalização do Caso de Partículas</w:t>
      </w:r>
    </w:p>
    <w:p>
      <w:pPr>
        <w:pStyle w:val="FirstParagraph"/>
      </w:pPr>
      <w:r>
        <w:t xml:space="preserve">Para campos, a função de Green (propagador) é construída de forma análoga: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;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[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]</m:t>
          </m:r>
        </m:oMath>
      </m:oMathPara>
    </w:p>
    <w:bookmarkEnd w:id="69"/>
    <w:bookmarkStart w:id="70" w:name="simplificação"/>
    <w:p>
      <w:pPr>
        <w:pStyle w:val="Heading3"/>
      </w:pPr>
      <w:r>
        <w:t xml:space="preserve">Simplificação</w:t>
      </w:r>
    </w:p>
    <w:p>
      <w:pPr>
        <w:pStyle w:val="FirstParagraph"/>
      </w:pPr>
      <w:r>
        <w:t xml:space="preserve">Esta expressão pode ser simplificada para: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[</m:t>
          </m:r>
          <m:sSub>
            <m:e>
              <m:r>
                <m:t>ω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bookmarkEnd w:id="70"/>
    <w:bookmarkEnd w:id="71"/>
    <w:bookmarkStart w:id="76" w:name="propriedades-do-propagador"/>
    <w:p>
      <w:pPr>
        <w:pStyle w:val="Heading2"/>
      </w:pPr>
      <w:r>
        <w:t xml:space="preserve">Propriedades do Propagador</w:t>
      </w:r>
    </w:p>
    <w:bookmarkStart w:id="72" w:name="equação-diferencial"/>
    <w:p>
      <w:pPr>
        <w:pStyle w:val="Heading3"/>
      </w:pPr>
      <w:r>
        <w:t xml:space="preserve">Equação Diferencial</w:t>
      </w:r>
    </w:p>
    <w:p>
      <w:pPr>
        <w:pStyle w:val="FirstParagraph"/>
      </w:pPr>
      <w:r>
        <w:t xml:space="preserve">O propagador satisfaz: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72"/>
    <w:bookmarkStart w:id="75" w:name="condições-de-contorno"/>
    <w:p>
      <w:pPr>
        <w:pStyle w:val="Heading3"/>
      </w:pPr>
      <w:r>
        <w:t xml:space="preserve">Condições de Contorno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avançado</w:t>
      </w:r>
      <w:r>
        <w:t xml:space="preserve">: vanish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retardado</w:t>
      </w:r>
      <w:r>
        <w:t xml:space="preserve">: vanish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 temporal)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propagador avançado e retardado corresponde a diferentes condições de contorno. O propagador avançado é adequado para problemas de espalhamento com condições iniciais no passado.</w:t>
            </w:r>
          </w:p>
          <w:p/>
        </w:tc>
      </w:tr>
    </w:tbl>
    <w:bookmarkEnd w:id="75"/>
    <w:bookmarkEnd w:id="76"/>
    <w:bookmarkEnd w:id="77"/>
    <w:bookmarkStart w:id="90" w:name="simulações-numéricas"/>
    <w:p>
      <w:pPr>
        <w:pStyle w:val="Heading1"/>
      </w:pPr>
      <w:r>
        <w:t xml:space="preserve">Simulações Numéricas</w:t>
      </w:r>
    </w:p>
    <w:bookmarkStart w:id="79" w:name="visualização-de-ondas-planas"/>
    <w:p>
      <w:pPr>
        <w:pStyle w:val="Heading2"/>
      </w:pPr>
      <w:r>
        <w:t xml:space="preserve">Visualização de Ondas Planas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 </w:t>
      </w:r>
      <w:r>
        <w:rPr>
          <w:rStyle w:val="CommentTok"/>
        </w:rPr>
        <w:t xml:space="preserve"># frequência (c=1)</w:t>
      </w:r>
      <w:r>
        <w:br/>
      </w:r>
      <w:r>
        <w:br/>
      </w:r>
      <w:r>
        <w:rPr>
          <w:rStyle w:val="CommentTok"/>
        </w:rPr>
        <w:t xml:space="preserve"># Domínio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onda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onda_plana(x, t, k, omega):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np.cos(k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br/>
      </w:r>
      <w:r>
        <w:rPr>
          <w:rStyle w:val="CommentTok"/>
        </w:rPr>
        <w:t xml:space="preserve"># Criar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f"Onda Plana: k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ω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omega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da onda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animate(i):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onda_plana(x, t[i], k, omega)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Criar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frames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plt.close()</w:t>
      </w:r>
      <w:r>
        <w:br/>
      </w:r>
      <w:r>
        <w:rPr>
          <w:rStyle w:val="NormalTok"/>
        </w:rPr>
        <w:t xml:space="preserve">HTML(anim.to_html5_video())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ondas-planas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&lt;IPython.core.display.HTML object&gt;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Visualização de ondas planas em 1D</w:t>
            </w:r>
          </w:p>
          <w:bookmarkEnd w:id="78"/>
        </w:tc>
      </w:tr>
    </w:tbl>
    <w:bookmarkEnd w:id="79"/>
    <w:bookmarkStart w:id="84" w:name="superposição-de-ondas"/>
    <w:p>
      <w:pPr>
        <w:pStyle w:val="Heading2"/>
      </w:pPr>
      <w:r>
        <w:t xml:space="preserve">Superposição de Ondas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 central</w:t>
      </w:r>
      <w:r>
        <w:br/>
      </w:r>
      <w:r>
        <w:rPr>
          <w:rStyle w:val="NormalTok"/>
        </w:rPr>
        <w:t xml:space="preserve">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largura do pacote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Pacote de ondas (transformada de Fourier de uma gaussiana)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pacote_ondas(x, t, k0, sigma):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Envelope gaussiano no espaço k</w:t>
      </w:r>
      <w:r>
        <w:br/>
      </w:r>
      <w:r>
        <w:rPr>
          <w:rStyle w:val="NormalTok"/>
        </w:rPr>
        <w:t xml:space="preserve">    envelope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k0)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Fase temporal</w:t>
      </w:r>
      <w:r>
        <w:br/>
      </w:r>
      <w:r>
        <w:rPr>
          <w:rStyle w:val="NormalTok"/>
        </w:rPr>
        <w:t xml:space="preserve">    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(k)  </w:t>
      </w:r>
      <w:r>
        <w:rPr>
          <w:rStyle w:val="CommentTok"/>
        </w:rPr>
        <w:t xml:space="preserve"># c=1</w:t>
      </w:r>
      <w:r>
        <w:br/>
      </w:r>
      <w:r>
        <w:rPr>
          <w:rStyle w:val="NormalTok"/>
        </w:rPr>
        <w:t xml:space="preserve">    fase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therTok"/>
        </w:rPr>
        <w:t xml:space="preserve">1j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Integral (superposição)</w:t>
      </w:r>
      <w:r>
        <w:br/>
      </w:r>
      <w:r>
        <w:rPr>
          <w:rStyle w:val="NormalTok"/>
        </w:rPr>
        <w:t xml:space="preserve">    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(envelope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np.real(psi)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</w:t>
      </w:r>
      <w:r>
        <w:br/>
      </w:r>
      <w:r>
        <w:br/>
      </w:r>
      <w:r>
        <w:br/>
      </w:r>
      <w:r>
        <w:rPr>
          <w:rStyle w:val="CommentTok"/>
        </w:rPr>
        <w:t xml:space="preserve"># Tempos para visualização</w:t>
      </w:r>
      <w:r>
        <w:br/>
      </w:r>
      <w:r>
        <w:rPr>
          <w:rStyle w:val="NormalTok"/>
        </w:rPr>
        <w:t xml:space="preserve">tempos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axes.flatten()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(tempos):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[pacote_ondas(xi, t, k0, sigma)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</w:t>
      </w:r>
      <w:r>
        <w:br/>
      </w:r>
      <w:r>
        <w:rPr>
          <w:rStyle w:val="NormalTok"/>
        </w:rPr>
        <w:t xml:space="preserve">    axes[i].plot(x, y,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axes[i].set_title(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superposicao"/>
          <w:p>
            <w:pPr>
              <w:pStyle w:val="Compact"/>
              <w:jc w:val="center"/>
            </w:pPr>
            <w:r>
              <w:drawing>
                <wp:inline>
                  <wp:extent cx="5334000" cy="443721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superposicao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372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Superposição de ondas planas (pacote de ondas)</w:t>
            </w:r>
          </w:p>
          <w:bookmarkEnd w:id="83"/>
        </w:tc>
      </w:tr>
    </w:tbl>
    <w:bookmarkEnd w:id="84"/>
    <w:bookmarkStart w:id="89" w:name="visualização-do-propagador"/>
    <w:p>
      <w:pPr>
        <w:pStyle w:val="Heading2"/>
      </w:pPr>
      <w:r>
        <w:t xml:space="preserve">Visualização do Propagador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fixo</w:t>
      </w:r>
      <w:r>
        <w:br/>
      </w:r>
      <w:r>
        <w:rPr>
          <w:rStyle w:val="NormalTok"/>
        </w:rPr>
        <w:t xml:space="preserve">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regularização</w:t>
      </w:r>
      <w:r>
        <w:br/>
      </w:r>
      <w:r>
        <w:br/>
      </w:r>
      <w:r>
        <w:br/>
      </w:r>
      <w:r>
        <w:rPr>
          <w:rStyle w:val="CommentTok"/>
        </w:rPr>
        <w:t xml:space="preserve"># Propagador em 1D (regularizado)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propagador_1d(x, t, epsilon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Versão regularizada do propagador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np.sin(t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propagador_1d(x, t, epsilon)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ax.plot(x, y, </w:t>
      </w:r>
      <w:r>
        <w:rPr>
          <w:rStyle w:val="StringTok"/>
        </w:rPr>
        <w:t xml:space="preserve">"r-"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 - x'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G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 t; 0, 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f"Propagador em 1D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propagador"/>
          <w:p>
            <w:pPr>
              <w:pStyle w:val="Compact"/>
              <w:jc w:val="center"/>
            </w:pPr>
            <w:r>
              <w:drawing>
                <wp:inline>
                  <wp:extent cx="5334000" cy="3402612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propagador-output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026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Função de Green (propagador) em 1D</w:t>
            </w:r>
          </w:p>
          <w:bookmarkEnd w:id="88"/>
        </w:tc>
      </w:tr>
    </w:tbl>
    <w:bookmarkEnd w:id="89"/>
    <w:bookmarkEnd w:id="90"/>
    <w:bookmarkStart w:id="91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16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Partículas</w:t>
            </w:r>
          </w:p>
        </w:tc>
        <w:tc>
          <w:tcPr/>
          <w:p>
            <w:pPr>
              <w:pStyle w:val="Compac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(posição, momento)</w:t>
            </w:r>
          </w:p>
        </w:tc>
        <w:tc>
          <w:tcPr/>
          <w:p>
            <w:pPr>
              <w:pStyle w:val="Compact"/>
            </w:pPr>
            <w:r>
              <w:t xml:space="preserve">Espaço de funções (dimensão infinita)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Vetor de estado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,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Produto interno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∫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Hamiltoniana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∇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2 vetores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Infinitos modos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Condições iniciais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;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bookmarkEnd w:id="91"/>
    <w:bookmarkStart w:id="102" w:name="exercícios"/>
    <w:p>
      <w:pPr>
        <w:pStyle w:val="Heading1"/>
      </w:pPr>
      <w:r>
        <w:t xml:space="preserve">Exercícios</w:t>
      </w:r>
    </w:p>
    <w:bookmarkStart w:id="92" w:name="X7bc08f5583f0919a809ee45db6b9d95428240d0"/>
    <w:p>
      <w:pPr>
        <w:pStyle w:val="Heading2"/>
      </w:pPr>
      <w:r>
        <w:t xml:space="preserve">Exercício 1: Formalismo Simplético para Campos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produto interno simplético para campos é conservado.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 operador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da equação de onda pode ser escrito como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Determine a forma explícita 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para o campo escalar.</w:t>
      </w:r>
    </w:p>
    <w:bookmarkEnd w:id="92"/>
    <w:bookmarkStart w:id="93" w:name="exercício-2-ondas-planas"/>
    <w:p>
      <w:pPr>
        <w:pStyle w:val="Heading2"/>
      </w:pPr>
      <w:r>
        <w:t xml:space="preserve">Exercício 2: Ondas Planas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 as ondas planas formam uma base ortonormal no produto interno</w:t>
      </w:r>
      <w:r>
        <w:t xml:space="preserve"> </w:t>
      </w:r>
      <m:oMath>
        <m:r>
          <m:rPr>
            <m:sty m:val="p"/>
          </m:rPr>
          <m:t>⟨</m:t>
        </m:r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g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 transformada de Fourier é uma transformação unitária.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transformada de Fourier da função gaussiana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a transformada de Fourier diagonaliza o operador laplaciano.</w:t>
      </w:r>
    </w:p>
    <w:bookmarkEnd w:id="93"/>
    <w:bookmarkStart w:id="94" w:name="exercício-3-soluções-da-equação-de-onda"/>
    <w:p>
      <w:pPr>
        <w:pStyle w:val="Heading2"/>
      </w:pPr>
      <w:r>
        <w:t xml:space="preserve">Exercício 3: Soluções da Equação de Onda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Resolva a equação de onda</w:t>
      </w:r>
      <w:r>
        <w:t xml:space="preserve"> </w:t>
      </w:r>
      <m:oMath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t>ϕ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ϕ</m:t>
        </m:r>
      </m:oMath>
      <w:r>
        <w:t xml:space="preserve"> </w:t>
      </w:r>
      <w:r>
        <w:t xml:space="preserve">usando o método de separação de variáveis.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Encontre todas as soluções modais da forma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obtemos um oscilador harmônico.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Escreva a solução geral da equação de onda como uma integral sobre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</w:t>
      </w:r>
    </w:p>
    <w:bookmarkEnd w:id="94"/>
    <w:bookmarkStart w:id="95" w:name="exercício-4-produto-interno-simplético"/>
    <w:p>
      <w:pPr>
        <w:pStyle w:val="Heading2"/>
      </w:pPr>
      <w:r>
        <w:t xml:space="preserve">Exercício 4: Produto Interno Simplético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Calcule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</m:oMath>
      <w:r>
        <w:t xml:space="preserve"> </w:t>
      </w:r>
      <w:r>
        <w:t xml:space="preserve">para os modos de onda plana.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Verifique que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Sup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 o significado físico destes resultados.</w:t>
      </w:r>
    </w:p>
    <w:bookmarkEnd w:id="95"/>
    <w:bookmarkStart w:id="96" w:name="exercício-5-decomposição-do-campo"/>
    <w:p>
      <w:pPr>
        <w:pStyle w:val="Heading2"/>
      </w:pPr>
      <w:r>
        <w:t xml:space="preserve">Exercício 5: Decomposição do Campo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rPr>
          <w:b/>
          <w:bCs/>
        </w:rPr>
        <w:t xml:space="preserve">b)</w:t>
      </w:r>
      <w:r>
        <w:t xml:space="preserve"> </w:t>
      </w:r>
      <w:r>
        <w:t xml:space="preserve">Encontre a expressão para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campo e de sua derivada temporal.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Determine as relações de comutação para os operadores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Interpretar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 </w:t>
      </w:r>
      <w:r>
        <w:t xml:space="preserve">como operadores de criação e aniquilação.</w:t>
      </w:r>
    </w:p>
    <w:bookmarkEnd w:id="96"/>
    <w:bookmarkStart w:id="97" w:name="exercício-6-propagador-avançado"/>
    <w:p>
      <w:pPr>
        <w:pStyle w:val="Heading2"/>
      </w:pPr>
      <w:r>
        <w:t xml:space="preserve">Exercício 6: Propagador Avançado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Construa o propagador avançado para a equação de onda usando o formalismo simplético.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o propagador satisfaz a equação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(condição de causalidade).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Calcule o propagador em 1+1 dimensões explicitamente.</w:t>
      </w:r>
    </w:p>
    <w:bookmarkEnd w:id="97"/>
    <w:bookmarkStart w:id="98" w:name="exercício-7-condições-de-contorno"/>
    <w:p>
      <w:pPr>
        <w:pStyle w:val="Heading2"/>
      </w:pPr>
      <w:r>
        <w:t xml:space="preserve">Exercício 7: Condições de Contorno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Discuta a diferença entre propagador avançado e propagador retardado.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o propagador avançado é adequado para problemas de espalhamento?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as condições de contorno no infinito afetam a escolha do propagador?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o propagador avançado e retardado estão relacionados por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ret</m:t>
            </m:r>
          </m:sub>
        </m:sSub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adv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98"/>
    <w:bookmarkStart w:id="99" w:name="exercício-8-massa-e-modos-de-fourier"/>
    <w:p>
      <w:pPr>
        <w:pStyle w:val="Heading2"/>
      </w:pPr>
      <w:r>
        <w:t xml:space="preserve">Exercício 8: Massa e Modos de Fourier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Estenda o formalismo para a equação de Klein-Gordon: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as soluções modais têm frequência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 massa modifica a relação de dispersão?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o limite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e compare com o caso sem massa.</w:t>
      </w:r>
    </w:p>
    <w:bookmarkEnd w:id="99"/>
    <w:bookmarkStart w:id="100" w:name="exercício-9-simulações-numéricas"/>
    <w:p>
      <w:pPr>
        <w:pStyle w:val="Heading2"/>
      </w:pPr>
      <w:r>
        <w:t xml:space="preserve">Exercício 9: Simulações Numéricas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Implemente uma simulação numérica para a equação de onda em 1D usando diferenças finitas.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Visualize a evolução temporal de um pacote de ondas.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a evolução de uma solução com e sem massa.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Implemente o propagador numericamente e verifique suas propriedades.</w:t>
      </w:r>
    </w:p>
    <w:bookmarkEnd w:id="100"/>
    <w:bookmarkStart w:id="101" w:name="exercício-10-generalizações"/>
    <w:p>
      <w:pPr>
        <w:pStyle w:val="Heading2"/>
      </w:pPr>
      <w:r>
        <w:t xml:space="preserve">Exercício 10: Generalizações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Como o formalismo se estende para campos vetoriais (como o eletromagnetismo)?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Discuta as dificuldades de estender o formalismo para espaços curvos.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O que muda se o campo for complexo em vez de real?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a relação entre este formalismo e a quantização canônica.</w:t>
      </w:r>
    </w:p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38" Target="media/rId38.png" /><Relationship Type="http://schemas.openxmlformats.org/officeDocument/2006/relationships/image" Id="rId85" Target="media/rId85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Funções de Green em Teoria de Campos</dc:title>
  <dc:creator/>
  <cp:keywords/>
  <dcterms:created xsi:type="dcterms:W3CDTF">2026-06-30T01:29:04Z</dcterms:created>
  <dcterms:modified xsi:type="dcterms:W3CDTF">2026-06-30T01:29:04Z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