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68.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distância euclidiana entre pontos para construir as funções de Green. Isso permite uma generalização natural para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Vale em qualquer dimensão</w:t>
      </w:r>
      <w:r>
        <w:t xml:space="preserve"> </w:t>
      </w:r>
      <m:oMath>
        <m:r>
          <m:t>N</m:t>
        </m:r>
      </m:oMath>
      <w:r>
        <w:t xml:space="preserve">, sem exigir uma decomposição em funções de base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(para simplificar):</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67"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End w:id="67"/>
    <w:bookmarkStart w:id="80"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1" w:name="fig-greens-functions"/>
          <w:p>
            <w:pPr>
              <w:pStyle w:val="Compact"/>
              <w:jc w:val="center"/>
            </w:pPr>
            <w:r>
              <w:drawing>
                <wp:inline>
                  <wp:extent cx="5334000" cy="1746861"/>
                  <wp:effectExtent b="0" l="0" r="0" t="0"/>
                  <wp:docPr descr="" title="" id="69" name="Picture"/>
                  <a:graphic>
                    <a:graphicData uri="http://schemas.openxmlformats.org/drawingml/2006/picture">
                      <pic:pic>
                        <pic:nvPicPr>
                          <pic:cNvPr descr="green-functions-nd_files/figure-docx/fig-greens-functions-output-1.png" id="70" name="Picture"/>
                          <pic:cNvPicPr>
                            <a:picLocks noChangeArrowheads="1" noChangeAspect="1"/>
                          </pic:cNvPicPr>
                        </pic:nvPicPr>
                        <pic:blipFill>
                          <a:blip r:embed="rId68"/>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1"/>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regularization"/>
          <w:p>
            <w:pPr>
              <w:pStyle w:val="Compact"/>
              <w:jc w:val="center"/>
            </w:pPr>
            <w:r>
              <w:drawing>
                <wp:inline>
                  <wp:extent cx="5334000" cy="4116371"/>
                  <wp:effectExtent b="0" l="0" r="0" t="0"/>
                  <wp:docPr descr="" title="" id="73" name="Picture"/>
                  <a:graphic>
                    <a:graphicData uri="http://schemas.openxmlformats.org/drawingml/2006/picture">
                      <pic:pic>
                        <pic:nvPicPr>
                          <pic:cNvPr descr="green-functions-nd_files/figure-docx/fig-regularization-output-1.png" id="74" name="Picture"/>
                          <pic:cNvPicPr>
                            <a:picLocks noChangeArrowheads="1" noChangeAspect="1"/>
                          </pic:cNvPicPr>
                        </pic:nvPicPr>
                        <pic:blipFill>
                          <a:blip r:embed="rId72"/>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5"/>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laplaciano-regularizado"/>
          <w:p>
            <w:pPr>
              <w:pStyle w:val="Compact"/>
              <w:jc w:val="center"/>
            </w:pPr>
            <w:r>
              <w:drawing>
                <wp:inline>
                  <wp:extent cx="5334000" cy="3992880"/>
                  <wp:effectExtent b="0" l="0" r="0" t="0"/>
                  <wp:docPr descr="" title="" id="77" name="Picture"/>
                  <a:graphic>
                    <a:graphicData uri="http://schemas.openxmlformats.org/drawingml/2006/picture">
                      <pic:pic>
                        <pic:nvPicPr>
                          <pic:cNvPr descr="green-functions-nd_files/figure-docx/fig-laplaciano-regularizado-output-1.png" id="78" name="Picture"/>
                          <pic:cNvPicPr>
                            <a:picLocks noChangeArrowheads="1" noChangeAspect="1"/>
                          </pic:cNvPicPr>
                        </pic:nvPicPr>
                        <pic:blipFill>
                          <a:blip r:embed="rId76"/>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79"/>
        </w:tc>
      </w:tr>
    </w:tbl>
    <w:bookmarkEnd w:id="80"/>
    <w:bookmarkStart w:id="83"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3"/>
    <w:bookmarkStart w:id="96" w:name="exercícios"/>
    <w:p>
      <w:pPr>
        <w:pStyle w:val="Heading1"/>
      </w:pPr>
      <w:r>
        <w:t xml:space="preserve">Exercícios</w:t>
      </w:r>
    </w:p>
    <w:bookmarkStart w:id="84"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r>
          <m:rPr>
            <m:sty m:val="p"/>
          </m:rPr>
          <m:t>∇</m:t>
        </m:r>
        <m:r>
          <m:t>σ</m:t>
        </m:r>
        <m:r>
          <m:rPr>
            <m:sty m:val="p"/>
          </m:rPr>
          <m:t>⋅</m:t>
        </m:r>
        <m:r>
          <m:rPr>
            <m:sty m:val="p"/>
          </m:rPr>
          <m:t>∇</m:t>
        </m:r>
        <m:r>
          <m:t>σ</m:t>
        </m:r>
      </m:oMath>
      <w:r>
        <w:t xml:space="preserve"> </w:t>
      </w:r>
      <w:r>
        <w:t xml:space="preserve">explicitamente.</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Por que escrever a função de Green em termos de</w:t>
      </w:r>
      <w:r>
        <w:t xml:space="preserve"> </w:t>
      </w:r>
      <m:oMath>
        <m:r>
          <m:t>σ</m:t>
        </m:r>
      </m:oMath>
      <w:r>
        <w:t xml:space="preserve"> </w:t>
      </w:r>
      <w:r>
        <w:t xml:space="preserve">evita a necessidade de decompor</w:t>
      </w:r>
      <w:r>
        <w:t xml:space="preserve"> </w:t>
      </w:r>
      <m:oMath>
        <m:r>
          <m:t>G</m:t>
        </m:r>
      </m:oMath>
      <w:r>
        <w:t xml:space="preserve"> </w:t>
      </w:r>
      <w:r>
        <w:t xml:space="preserve">em funções de base, ao contrário do método usado nas aulas anteriores?</w:t>
      </w:r>
    </w:p>
    <w:bookmarkEnd w:id="84"/>
    <w:bookmarkStart w:id="85"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5"/>
    <w:bookmarkStart w:id="86"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6"/>
    <w:bookmarkStart w:id="87"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7"/>
    <w:bookmarkStart w:id="88"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88"/>
    <w:bookmarkStart w:id="89"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89"/>
    <w:bookmarkStart w:id="90"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0"/>
    <w:bookmarkStart w:id="91"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1"/>
    <w:bookmarkStart w:id="92"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2"/>
    <w:bookmarkStart w:id="93"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3"/>
    <w:bookmarkStart w:id="94"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4"/>
    <w:bookmarkStart w:id="95"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5"/>
    <w:bookmarkEnd w:id="96"/>
    <w:bookmarkStart w:id="97"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2026-06-30T12:35:53Z</dcterms:created>
  <dcterms:modified xsi:type="dcterms:W3CDTF">2026-06-30T12:35:53Z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