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Bayer Cardiorenal Portfolio — Product &amp; Selling Guide</w:t>
      </w:r>
    </w:p>
    <w:p>
      <w:pPr>
        <w:pStyle w:val="Heading3"/>
      </w:pPr>
      <w:r>
        <w:t>Firialta (finerenone) · Xarelto (rivaroxaban) — presented separately, one document</w:t>
      </w:r>
    </w:p>
    <w:p>
      <w:pPr>
        <w:ind w:left="360"/>
      </w:pPr>
      <w:r>
        <w:rPr>
          <w:b/>
          <w:i/>
        </w:rPr>
        <w:t>About this document / เกี่ยวกับเอกสารนี้</w:t>
      </w:r>
    </w:p>
    <w:p>
      <w:pPr>
        <w:ind w:left="360"/>
      </w:pPr>
      <w:r>
        <w:rPr>
          <w:i/>
        </w:rPr>
        <w:t xml:space="preserve">- </w:t>
      </w:r>
      <w:r>
        <w:rPr>
          <w:b/>
          <w:i/>
        </w:rPr>
        <w:t>Scope:</w:t>
      </w:r>
      <w:r>
        <w:rPr>
          <w:i/>
        </w:rPr>
        <w:t xml:space="preserve"> Product knowledge, competitor landscape, positioning, and how-to-sell for </w:t>
      </w:r>
      <w:r>
        <w:rPr>
          <w:b/>
          <w:i/>
        </w:rPr>
        <w:t>each drug separately</w:t>
      </w:r>
      <w:r>
        <w:rPr>
          <w:i/>
        </w:rPr>
        <w:t xml:space="preserve">. This role carries </w:t>
      </w:r>
      <w:r>
        <w:rPr>
          <w:b/>
          <w:i/>
        </w:rPr>
        <w:t>both</w:t>
      </w:r>
      <w:r>
        <w:rPr>
          <w:i/>
        </w:rPr>
        <w:t xml:space="preserve"> products, so each is treated as a standalone sell within the same guide.</w:t>
      </w:r>
    </w:p>
    <w:p>
      <w:pPr>
        <w:ind w:left="360"/>
      </w:pPr>
      <w:r>
        <w:rPr>
          <w:i/>
        </w:rPr>
        <w:t xml:space="preserve">- </w:t>
      </w:r>
      <w:r>
        <w:rPr>
          <w:b/>
          <w:i/>
        </w:rPr>
        <w:t>Language / ภาษา:</w:t>
      </w:r>
      <w:r>
        <w:rPr>
          <w:i/>
        </w:rPr>
        <w:t xml:space="preserve"> Bilingual — เนื้อหาภาษาไทย, ชื่อยาและคำเทคนิคภาษาอังกฤษ</w:t>
      </w:r>
    </w:p>
    <w:p>
      <w:pPr>
        <w:ind w:left="360"/>
      </w:pPr>
      <w:r>
        <w:rPr>
          <w:i/>
        </w:rPr>
        <w:t xml:space="preserve">- </w:t>
      </w:r>
      <w:r>
        <w:rPr>
          <w:b/>
          <w:i/>
        </w:rPr>
        <w:t>Selling framework:</w:t>
      </w:r>
      <w:r>
        <w:rPr>
          <w:i/>
        </w:rPr>
        <w:t xml:space="preserve"> </w:t>
      </w:r>
      <w:r>
        <w:rPr>
          <w:b/>
          <w:i/>
        </w:rPr>
        <w:t>Partnership Selling</w:t>
      </w:r>
      <w:r>
        <w:rPr>
          <w:i/>
        </w:rPr>
        <w:t xml:space="preserve"> — Pre-call → Opening → Probing → Presentation → Closing → Post-call</w:t>
      </w:r>
    </w:p>
    <w:p>
      <w:pPr>
        <w:ind w:left="360"/>
      </w:pPr>
      <w:r>
        <w:rPr>
          <w:i/>
        </w:rPr>
        <w:t xml:space="preserve">- </w:t>
      </w:r>
      <w:r>
        <w:rPr>
          <w:b/>
          <w:i/>
        </w:rPr>
        <w:t>Employer:</w:t>
      </w:r>
      <w:r>
        <w:rPr>
          <w:i/>
        </w:rPr>
        <w:t xml:space="preserve"> Distributor model (DKSH / Zuellig Pharma) — *[FLAG: ระบุตัวจริงเมื่อทราบ]*</w:t>
      </w:r>
    </w:p>
    <w:p>
      <w:pPr>
        <w:ind w:left="360"/>
      </w:pPr>
      <w:r>
        <w:rPr>
          <w:i/>
        </w:rPr>
        <w:t xml:space="preserve">- </w:t>
      </w:r>
      <w:r>
        <w:rPr>
          <w:b/>
          <w:i/>
        </w:rPr>
        <w:t>Data caution:</w:t>
      </w:r>
      <w:r>
        <w:rPr>
          <w:i/>
        </w:rPr>
        <w:t xml:space="preserve"> ตัวเลข dosing/indication อ้างอิงฉลากสากล — </w:t>
      </w:r>
      <w:r>
        <w:rPr>
          <w:b/>
          <w:i/>
        </w:rPr>
        <w:t>ตรวจสอบกับฉลาก Thai FDA ล่าสุดก่อนใช้จริง</w:t>
      </w:r>
    </w:p>
    <w:p/>
    <w:p>
      <w:pPr>
        <w:pStyle w:val="Heading2"/>
      </w:pPr>
      <w:r>
        <w:t>Selling Framework — Partnership Selling (ใช้กับทั้งสองยา)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เป้าหมายของขั้นตอน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หัวใจสำคัญ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1. Pre-call</w:t>
            </w:r>
          </w:p>
        </w:tc>
        <w:tc>
          <w:tcPr>
            <w:tcW w:type="dxa" w:w="2880"/>
          </w:tcPr>
          <w:p>
            <w:r>
              <w:t>วางแผนก่อนเข้าพบ</w:t>
            </w:r>
          </w:p>
        </w:tc>
        <w:tc>
          <w:tcPr>
            <w:tcW w:type="dxa" w:w="2880"/>
          </w:tcPr>
          <w:p>
            <w:r>
              <w:t>ตั้ง SMART objective ต่อ call, review ประวัติ account/HCP, เตรียมสื่อ + ตัวอย่าง, คาดการณ์ objection ล่วงหน้า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2. Opening</w:t>
            </w:r>
          </w:p>
        </w:tc>
        <w:tc>
          <w:tcPr>
            <w:tcW w:type="dxa" w:w="2880"/>
          </w:tcPr>
          <w:p>
            <w:r>
              <w:t>เปิดการสนทนา สร้าง rapport</w:t>
            </w:r>
          </w:p>
        </w:tc>
        <w:tc>
          <w:tcPr>
            <w:tcW w:type="dxa" w:w="2880"/>
          </w:tcPr>
          <w:p>
            <w:r>
              <w:t xml:space="preserve">ทักทาย, เชื่อมโยง call ที่แล้ว, </w:t>
            </w:r>
            <w:r>
              <w:rPr>
                <w:b/>
              </w:rPr>
              <w:t>ขอ agreement</w:t>
            </w:r>
            <w:r>
              <w:t xml:space="preserve"> ว่าจะคุยเรื่องอะไรและใช้เวลาเท่าไร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3. Probing</w:t>
            </w:r>
          </w:p>
        </w:tc>
        <w:tc>
          <w:tcPr>
            <w:tcW w:type="dxa" w:w="2880"/>
          </w:tcPr>
          <w:p>
            <w:r>
              <w:t>ค้นหา need จริงของหมอ</w:t>
            </w:r>
          </w:p>
        </w:tc>
        <w:tc>
          <w:tcPr>
            <w:tcW w:type="dxa" w:w="2880"/>
          </w:tcPr>
          <w:p>
            <w:r>
              <w:t>ใช้ open question นำ + closed question ยืนยัน, ฟังให้จบ, จับ need statement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4. Presentation</w:t>
            </w:r>
          </w:p>
        </w:tc>
        <w:tc>
          <w:tcPr>
            <w:tcW w:type="dxa" w:w="2880"/>
          </w:tcPr>
          <w:p>
            <w:r>
              <w:t xml:space="preserve">นำเสนอแบบ </w:t>
            </w:r>
            <w:r>
              <w:rPr>
                <w:b/>
              </w:rPr>
              <w:t>FAB</w:t>
            </w:r>
            <w:r>
              <w:t xml:space="preserve"> ผูกกับ need</w:t>
            </w:r>
          </w:p>
        </w:tc>
        <w:tc>
          <w:tcPr>
            <w:tcW w:type="dxa" w:w="2880"/>
          </w:tcPr>
          <w:p>
            <w:r>
              <w:t xml:space="preserve">Feature → Advantage → </w:t>
            </w:r>
            <w:r>
              <w:rPr>
                <w:b/>
              </w:rPr>
              <w:t>Benefit</w:t>
            </w:r>
            <w:r>
              <w:t xml:space="preserve"> ที่ตรง need + proof (trial/mechanism), ใช้ visual aid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5. Closing</w:t>
            </w:r>
          </w:p>
        </w:tc>
        <w:tc>
          <w:tcPr>
            <w:tcW w:type="dxa" w:w="2880"/>
          </w:tcPr>
          <w:p>
            <w:r>
              <w:t>ขอ commitment ที่วัดได้</w:t>
            </w:r>
          </w:p>
        </w:tc>
        <w:tc>
          <w:tcPr>
            <w:tcW w:type="dxa" w:w="2880"/>
          </w:tcPr>
          <w:p>
            <w:r>
              <w:t>ขอสิ่งที่เป็นรูปธรรม (ลองคนไข้ X เคส), จัดการ objection แล้วปิดอีกครั้ง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6. Post-call</w:t>
            </w:r>
          </w:p>
        </w:tc>
        <w:tc>
          <w:tcPr>
            <w:tcW w:type="dxa" w:w="2880"/>
          </w:tcPr>
          <w:p>
            <w:r>
              <w:t>บันทึก + วางแผนต่อ</w:t>
            </w:r>
          </w:p>
        </w:tc>
        <w:tc>
          <w:tcPr>
            <w:tcW w:type="dxa" w:w="2880"/>
          </w:tcPr>
          <w:p>
            <w:r>
              <w:t>บันทึกผล/ข้อตกลง, ทำ follow-up ที่สัญญาไว้, ตั้ง objective ของ call ถัดไป</w:t>
            </w:r>
          </w:p>
        </w:tc>
      </w:tr>
    </w:tbl>
    <w:p/>
    <w:p/>
    <w:p/>
    <w:p>
      <w:pPr>
        <w:pStyle w:val="Heading1"/>
      </w:pPr>
      <w:r>
        <w:t>PART A — FIRIALTA (finerenone)</w:t>
      </w:r>
    </w:p>
    <w:p>
      <w:pPr>
        <w:pStyle w:val="Heading2"/>
      </w:pPr>
      <w:r>
        <w:t>A1. Product Knowledge / ความรู้ผลิตภัณฑ์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หัวข้อ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t>Generic / Brand</w:t>
            </w:r>
          </w:p>
        </w:tc>
        <w:tc>
          <w:tcPr>
            <w:tcW w:type="dxa" w:w="4320"/>
          </w:tcPr>
          <w:p>
            <w:r>
              <w:t xml:space="preserve">finerenone / </w:t>
            </w:r>
            <w:r>
              <w:rPr>
                <w:b/>
              </w:rPr>
              <w:t>Firialta</w:t>
            </w:r>
            <w:r>
              <w:t xml:space="preserve"> (Bayer)</w:t>
            </w:r>
          </w:p>
        </w:tc>
      </w:tr>
      <w:tr>
        <w:tc>
          <w:tcPr>
            <w:tcW w:type="dxa" w:w="4320"/>
          </w:tcPr>
          <w:p>
            <w:r>
              <w:t>Drug class</w:t>
            </w:r>
          </w:p>
        </w:tc>
        <w:tc>
          <w:tcPr>
            <w:tcW w:type="dxa" w:w="4320"/>
          </w:tcPr>
          <w:p>
            <w:r>
              <w:t xml:space="preserve">Nonsteroidal, selective </w:t>
            </w:r>
            <w:r>
              <w:rPr>
                <w:b/>
              </w:rPr>
              <w:t>MRA</w:t>
            </w:r>
            <w:r>
              <w:t xml:space="preserve"> (mineralocorticoid receptor antagonist)</w:t>
            </w:r>
          </w:p>
        </w:tc>
      </w:tr>
      <w:tr>
        <w:tc>
          <w:tcPr>
            <w:tcW w:type="dxa" w:w="4320"/>
          </w:tcPr>
          <w:p>
            <w:r>
              <w:t>Formulation</w:t>
            </w:r>
          </w:p>
        </w:tc>
        <w:tc>
          <w:tcPr>
            <w:tcW w:type="dxa" w:w="4320"/>
          </w:tcPr>
          <w:p>
            <w:r>
              <w:t xml:space="preserve">Oral tablet </w:t>
            </w:r>
            <w:r>
              <w:rPr>
                <w:b/>
              </w:rPr>
              <w:t>10 mg, 20 mg</w:t>
            </w:r>
          </w:p>
        </w:tc>
      </w:tr>
      <w:tr>
        <w:tc>
          <w:tcPr>
            <w:tcW w:type="dxa" w:w="4320"/>
          </w:tcPr>
          <w:p>
            <w:r>
              <w:t>Indication</w:t>
            </w:r>
          </w:p>
        </w:tc>
        <w:tc>
          <w:tcPr>
            <w:tcW w:type="dxa" w:w="4320"/>
          </w:tcPr>
          <w:p>
            <w:r>
              <w:t xml:space="preserve">ลดความเสี่ยง </w:t>
            </w:r>
            <w:r>
              <w:rPr>
                <w:b/>
              </w:rPr>
              <w:t>sustained eGFR decline, ESKD, CV death, non-fatal MI, และ hospitalization for heart failure</w:t>
            </w:r>
            <w:r>
              <w:t xml:space="preserve"> ในผู้ใหญ่ที่เป็น </w:t>
            </w:r>
            <w:r>
              <w:rPr>
                <w:b/>
              </w:rPr>
              <w:t>CKD associated with type-2 diabetes</w:t>
            </w:r>
          </w:p>
        </w:tc>
      </w:tr>
      <w:tr>
        <w:tc>
          <w:tcPr>
            <w:tcW w:type="dxa" w:w="4320"/>
          </w:tcPr>
          <w:p>
            <w:r>
              <w:t>Dosing</w:t>
            </w:r>
          </w:p>
        </w:tc>
        <w:tc>
          <w:tcPr>
            <w:tcW w:type="dxa" w:w="4320"/>
          </w:tcPr>
          <w:p>
            <w:r>
              <w:t xml:space="preserve">eGFR ≥60 → เริ่ม </w:t>
            </w:r>
            <w:r>
              <w:rPr>
                <w:b/>
              </w:rPr>
              <w:t>20 mg</w:t>
            </w:r>
            <w:r>
              <w:t xml:space="preserve"> OD; eGFR 25–&lt;60 → เริ่ม </w:t>
            </w:r>
            <w:r>
              <w:rPr>
                <w:b/>
              </w:rPr>
              <w:t>10 mg</w:t>
            </w:r>
            <w:r>
              <w:t xml:space="preserve"> OD; target </w:t>
            </w:r>
            <w:r>
              <w:rPr>
                <w:b/>
              </w:rPr>
              <w:t>20 mg</w:t>
            </w:r>
            <w:r>
              <w:t xml:space="preserve"> OD</w:t>
            </w:r>
          </w:p>
        </w:tc>
      </w:tr>
      <w:tr>
        <w:tc>
          <w:tcPr>
            <w:tcW w:type="dxa" w:w="4320"/>
          </w:tcPr>
          <w:p>
            <w:r>
              <w:t>Key rule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ห้ามเริ่มถ้า serum K⁺ &gt; 5.0 mmol/L</w:t>
            </w:r>
            <w:r>
              <w:t>; monitor K⁺ และ eGFR เป็นระยะ</w:t>
            </w:r>
          </w:p>
        </w:tc>
      </w:tr>
      <w:tr>
        <w:tc>
          <w:tcPr>
            <w:tcW w:type="dxa" w:w="4320"/>
          </w:tcPr>
          <w:p>
            <w:r>
              <w:t>Evidence base</w:t>
            </w:r>
          </w:p>
        </w:tc>
        <w:tc>
          <w:tcPr>
            <w:tcW w:type="dxa" w:w="4320"/>
          </w:tcPr>
          <w:p>
            <w:r>
              <w:t>FIDELIO-DKD, FIGARO-DKD, FIDELITY (pooled analysis)</w:t>
            </w:r>
          </w:p>
        </w:tc>
      </w:tr>
    </w:tbl>
    <w:p/>
    <w:p>
      <w:r>
        <w:rPr>
          <w:b/>
        </w:rPr>
        <w:t>Mechanism of Action (พูดแบบเข้าใจง่าย):</w:t>
      </w:r>
    </w:p>
    <w:p>
      <w:r>
        <w:t xml:space="preserve">finerenone บล็อกการทำงานเกินของ </w:t>
      </w:r>
      <w:r>
        <w:rPr>
          <w:b/>
        </w:rPr>
        <w:t>mineralocorticoid receptor (MR)</w:t>
      </w:r>
      <w:r>
        <w:t xml:space="preserve"> ที่ถูกกระตุ้นโดย aldosterone/cortisol ซึ่งเป็นตัวขับ </w:t>
      </w:r>
      <w:r>
        <w:rPr>
          <w:b/>
        </w:rPr>
        <w:t>inflammation และ fibrosis</w:t>
      </w:r>
      <w:r>
        <w:t xml:space="preserve"> ในไตและหัวใจ — ต้นเหตุที่ทำให้ไตเสื่อมและหัวใจแย่ลงในคนไข้ CKD+T2D. เป็น </w:t>
      </w:r>
      <w:r>
        <w:rPr>
          <w:b/>
        </w:rPr>
        <w:t>nonsteroidal</w:t>
      </w:r>
      <w:r>
        <w:t xml:space="preserve"> จึงมี balanced heart-kidney distribution และ </w:t>
      </w:r>
      <w:r>
        <w:rPr>
          <w:b/>
        </w:rPr>
        <w:t>ไม่มีฤทธิ์ฮอร์โมนเพศ</w:t>
      </w:r>
      <w:r>
        <w:t xml:space="preserve"> แบบ steroidal MRA.</w:t>
      </w:r>
    </w:p>
    <w:p>
      <w:pPr>
        <w:ind w:left="360"/>
      </w:pPr>
      <w:r>
        <w:rPr>
          <w:i/>
        </w:rPr>
        <w:t xml:space="preserve">*พูดกับหมอ:* "finerenone จัดการ inflammation และ fibrosis ที่ ACEi/ARB และ SGLT2i เข้าไม่ถึง — เป็น </w:t>
      </w:r>
      <w:r>
        <w:rPr>
          <w:b/>
          <w:i/>
        </w:rPr>
        <w:t>third pillar</w:t>
      </w:r>
      <w:r>
        <w:rPr>
          <w:i/>
        </w:rPr>
        <w:t xml:space="preserve"> ของ cardiorenal protection ครับ/ค่ะ"</w:t>
      </w:r>
    </w:p>
    <w:p>
      <w:r>
        <w:rPr>
          <w:b/>
        </w:rPr>
        <w:t>Contraindications &amp; precautions:</w:t>
      </w:r>
      <w:r>
        <w:t xml:space="preserve"> ห้ามร่วมกับ </w:t>
      </w:r>
      <w:r>
        <w:rPr>
          <w:b/>
        </w:rPr>
        <w:t>strong CYP3A4 inhibitors</w:t>
      </w:r>
      <w:r>
        <w:t xml:space="preserve">; ห้ามใน Addison's disease; ระวัง </w:t>
      </w:r>
      <w:r>
        <w:rPr>
          <w:b/>
        </w:rPr>
        <w:t>hyperkalemia</w:t>
      </w:r>
      <w:r>
        <w:t>, severe hepatic impairment.</w:t>
      </w:r>
    </w:p>
    <w:p>
      <w:pPr>
        <w:pStyle w:val="Heading2"/>
      </w:pPr>
      <w:r>
        <w:t>A2. Competitor Landscape / คู่แข่ง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เทียบกับ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จุดที่ Firialta ต่าง/เหนือกว่า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ข้อควรระวัง/ข้อจำกัด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Steroidal MRA</w:t>
            </w:r>
            <w:r>
              <w:t xml:space="preserve"> (spironolactone, eplerenone)</w:t>
            </w:r>
          </w:p>
        </w:tc>
        <w:tc>
          <w:tcPr>
            <w:tcW w:type="dxa" w:w="2880"/>
          </w:tcPr>
          <w:p>
            <w:r>
              <w:t xml:space="preserve">nonsteroidal → </w:t>
            </w:r>
            <w:r>
              <w:rPr>
                <w:b/>
              </w:rPr>
              <w:t>ไม่มี gynecomastia/anti-androgen</w:t>
            </w:r>
            <w:r>
              <w:t>, hyperkalemia น้อยกว่า spironolactone, มี RCT outcome ตรงใน CKD+T2D</w:t>
            </w:r>
          </w:p>
        </w:tc>
        <w:tc>
          <w:tcPr>
            <w:tcW w:type="dxa" w:w="2880"/>
          </w:tcPr>
          <w:p>
            <w:r>
              <w:t>ยังต้อง monitor K⁺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SGLT2i</w:t>
            </w:r>
            <w:r>
              <w:t xml:space="preserve"> (dapagliflozin, empagliflozin)</w:t>
            </w:r>
          </w:p>
        </w:tc>
        <w:tc>
          <w:tcPr>
            <w:tcW w:type="dxa" w:w="2880"/>
          </w:tcPr>
          <w:p>
            <w:r>
              <w:t xml:space="preserve">*complementary ไม่ใช่คู่แข่ง* — คนละกลไก (MR-driven inflammation/fibrosis), </w:t>
            </w:r>
            <w:r>
              <w:rPr>
                <w:b/>
              </w:rPr>
              <w:t>ใช้ทับกันได้</w:t>
            </w:r>
          </w:p>
        </w:tc>
        <w:tc>
          <w:tcPr>
            <w:tcW w:type="dxa" w:w="2880"/>
          </w:tcPr>
          <w:p>
            <w:r>
              <w:t>ประโยชน์ทับซ้อนบางส่วน; sequencing แล้วแต่หมอ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GLP-1 RA</w:t>
            </w:r>
          </w:p>
        </w:tc>
        <w:tc>
          <w:tcPr>
            <w:tcW w:type="dxa" w:w="2880"/>
          </w:tcPr>
          <w:p>
            <w:r>
              <w:t>คนละกลไก, finerenone เน้น cardiorenal protection โดยตรง</w:t>
            </w:r>
          </w:p>
        </w:tc>
        <w:tc>
          <w:tcPr>
            <w:tcW w:type="dxa" w:w="2880"/>
          </w:tcPr>
          <w:p>
            <w:r>
              <w:t>ไม่ใช่ยาลดน้ำตาล/น้ำหนัก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ACEi/ARB alone</w:t>
            </w:r>
          </w:p>
        </w:tc>
        <w:tc>
          <w:tcPr>
            <w:tcW w:type="dxa" w:w="2880"/>
          </w:tcPr>
          <w:p>
            <w:r>
              <w:t xml:space="preserve">เพิ่มการป้องกันเมื่อ </w:t>
            </w:r>
            <w:r>
              <w:rPr>
                <w:b/>
              </w:rPr>
              <w:t>albuminuria ยังสูงแม้ได้ ACEi/ARB เต็มที่</w:t>
            </w:r>
          </w:p>
        </w:tc>
        <w:tc>
          <w:tcPr>
            <w:tcW w:type="dxa" w:w="2880"/>
          </w:tcPr>
          <w:p>
            <w:r>
              <w:t>ใช้เสริม ไม่ใช่ทดแทน</w:t>
            </w:r>
          </w:p>
        </w:tc>
      </w:tr>
    </w:tbl>
    <w:p/>
    <w:p>
      <w:pPr>
        <w:ind w:left="360"/>
      </w:pPr>
      <w:r>
        <w:rPr>
          <w:b/>
          <w:i/>
        </w:rPr>
        <w:t>ประโยคจัดตำแหน่งคู่แข่ง:</w:t>
      </w:r>
      <w:r>
        <w:rPr>
          <w:i/>
        </w:rPr>
        <w:t xml:space="preserve"> "Firialta ไม่ได้มาแทน ACEi/ARB หรือ SGLT2i — มันคือชั้นที่ </w:t>
      </w:r>
      <w:r>
        <w:rPr>
          <w:b/>
          <w:i/>
        </w:rPr>
        <w:t>สาม</w:t>
      </w:r>
      <w:r>
        <w:rPr>
          <w:i/>
        </w:rPr>
        <w:t xml:space="preserve"> ที่จัดการกลไกที่สองตัวแรกทำไม่ได้"</w:t>
      </w:r>
    </w:p>
    <w:p>
      <w:pPr>
        <w:pStyle w:val="Heading2"/>
      </w:pPr>
      <w:r>
        <w:t>A3. Positioning / การจัดตำแหน่ง</w:t>
      </w:r>
    </w:p>
    <w:p>
      <w:pPr>
        <w:pStyle w:val="ListBullet"/>
      </w:pPr>
      <w:r>
        <w:rPr>
          <w:b/>
        </w:rPr>
        <w:t>Positioning statement:</w:t>
      </w:r>
      <w:r>
        <w:t xml:space="preserve"> *"Firialta คือ third pillar ของ cardiorenal protection ในคนไข้ CKD+T2D — จัดการ inflammation/fibrosis ที่เหลืออยู่ เพื่อชะลอไตเสื่อมและลดเหตุการณ์หัวใจ"*</w:t>
      </w:r>
    </w:p>
    <w:p>
      <w:pPr>
        <w:pStyle w:val="ListBullet"/>
      </w:pPr>
      <w:r>
        <w:rPr>
          <w:b/>
        </w:rPr>
        <w:t>Target patient:</w:t>
      </w:r>
      <w:r>
        <w:t xml:space="preserve"> ผู้ใหญ่ CKD + type-2 diabetes ที่ </w:t>
      </w:r>
      <w:r>
        <w:rPr>
          <w:b/>
        </w:rPr>
        <w:t>UACR/albuminuria ยังสูงแม้ได้ ACEi/ARB (±SGLT2i) เต็มที่</w:t>
      </w:r>
    </w:p>
    <w:p>
      <w:pPr>
        <w:pStyle w:val="ListBullet"/>
      </w:pPr>
      <w:r>
        <w:rPr>
          <w:b/>
        </w:rPr>
        <w:t>Wins when:</w:t>
      </w:r>
      <w:r>
        <w:t xml:space="preserve"> หมอกังวล eGFR decline + residual CV/renal risk ทั้งที่คุมความดัน/น้ำตาลได้ดีแล้ว</w:t>
      </w:r>
    </w:p>
    <w:p>
      <w:pPr>
        <w:pStyle w:val="ListBullet"/>
      </w:pPr>
      <w:r>
        <w:rPr>
          <w:b/>
        </w:rPr>
        <w:t>Message pillars:</w:t>
      </w:r>
      <w:r>
        <w:t xml:space="preserve"> (1) Third pillar—ใช้ทับยาเดิม (2) Nonsteroidal—tolerability ดีกว่า spironolactone (3) Dual outcome—ลดทั้งเหตุการณ์ไตและหัวใจ (4) เริ่มง่าย—เช็ก K⁺, dose ตาม eGFR, monitor</w:t>
      </w:r>
    </w:p>
    <w:p>
      <w:pPr>
        <w:pStyle w:val="ListBullet"/>
      </w:pPr>
      <w:r>
        <w:rPr>
          <w:b/>
        </w:rPr>
        <w:t>Tagline:</w:t>
      </w:r>
      <w:r>
        <w:t xml:space="preserve"> *"Protect the kidney. Protect the heart. The third pillar."*</w:t>
      </w:r>
    </w:p>
    <w:p>
      <w:pPr>
        <w:pStyle w:val="Heading2"/>
      </w:pPr>
      <w:r>
        <w:t>A4. How to Sell Firialta — Partnership Selling</w:t>
      </w:r>
    </w:p>
    <w:p>
      <w:r>
        <w:rPr>
          <w:b/>
        </w:rPr>
        <w:t>1) Pre-call</w:t>
      </w:r>
    </w:p>
    <w:p>
      <w:pPr>
        <w:pStyle w:val="ListBullet"/>
      </w:pPr>
      <w:r>
        <w:t>Objective ตัวอย่าง: *"ให้ nephrologist Dr.___ ตกลงลอง Firialta ใน 2 เคส CKD+T2D ที่ UACR ยังสูง ภายในเดือนนี้"*</w:t>
      </w:r>
    </w:p>
    <w:p>
      <w:pPr>
        <w:pStyle w:val="ListBullet"/>
      </w:pPr>
      <w:r>
        <w:t>Review: จำนวนคนไข้ CKD+T2D ใน account, ยา baseline (ACEi/ARB, SGLT2i), pattern การ monitor K⁺</w:t>
      </w:r>
    </w:p>
    <w:p>
      <w:pPr>
        <w:pStyle w:val="ListBullet"/>
      </w:pPr>
      <w:r>
        <w:t>เตรียม: monitoring flow card, FIDELITY summary, ตัวอย่าง dosing chart; คาด objection (hyperkalemia, "เหมือน spironolactone")</w:t>
      </w:r>
    </w:p>
    <w:p>
      <w:r>
        <w:rPr>
          <w:b/>
        </w:rPr>
        <w:t>2) Opening</w:t>
      </w:r>
    </w:p>
    <w:p>
      <w:pPr>
        <w:ind w:left="360"/>
      </w:pPr>
      <w:r>
        <w:rPr>
          <w:i/>
        </w:rPr>
        <w:t>*"สวัสดีค่ะอาจารย์ ครั้งก่อนอาจารย์บอกว่ากังวลคนไข้เบาหวานที่ไตยังเสื่อมต่อแม้ให้ ARB เต็มที่ วันนี้ดิฉันขอเวลา 5 นาทีคุยเรื่องทางเลือกที่ใช้ทับ ARB ได้เลย สะดวกไหมคะ?"* (ขอ agreement)</w:t>
      </w:r>
    </w:p>
    <w:p>
      <w:r>
        <w:rPr>
          <w:b/>
        </w:rPr>
        <w:t>3) Probing</w:t>
      </w:r>
    </w:p>
    <w:p>
      <w:pPr>
        <w:pStyle w:val="ListBullet"/>
      </w:pPr>
      <w:r>
        <w:t>*Open:* "ในคนไข้ CKD+T2D ที่ UACR ยังสูงแม้คุมความดัน/น้ำตาลดีแล้ว ปกติอาจารย์เพิ่ม step อะไรต่อคะ?"</w:t>
      </w:r>
    </w:p>
    <w:p>
      <w:pPr>
        <w:pStyle w:val="ListBullet"/>
      </w:pPr>
      <w:r>
        <w:t>*Open:* "อาจารย์กังวลเรื่องอะไรมากที่สุด—eGFR ที่ไหลลง หรือเหตุการณ์หัวใจ?"</w:t>
      </w:r>
    </w:p>
    <w:p>
      <w:pPr>
        <w:pStyle w:val="ListBullet"/>
      </w:pPr>
      <w:r>
        <w:t>*Closed (ยืนยัน need):* "ถ้ามีตัวที่ใช้ทับ ARB/SGLT2i แล้วลดทั้งสองความเสี่ยงได้ น่าสนใจไหมคะ?"</w:t>
      </w:r>
    </w:p>
    <w:p>
      <w:r>
        <w:rPr>
          <w:b/>
        </w:rPr>
        <w:t>4) Presentation (FAB)</w:t>
      </w:r>
    </w:p>
    <w:p>
      <w:pPr>
        <w:pStyle w:val="ListBullet"/>
      </w:pPr>
      <w:r>
        <w:t>*Feature:* "Firialta เป็น nonsteroidal MRA"</w:t>
      </w:r>
    </w:p>
    <w:p>
      <w:pPr>
        <w:pStyle w:val="ListBullet"/>
      </w:pPr>
      <w:r>
        <w:t>*Advantage:* "จัดการ MR-driven inflammation/fibrosis ที่ ACEi/ARB และ SGLT2i เข้าไม่ถึง และไม่มีผลฮอร์โมนแบบ spironolactone"</w:t>
      </w:r>
    </w:p>
    <w:p>
      <w:pPr>
        <w:pStyle w:val="ListBullet"/>
      </w:pPr>
      <w:r>
        <w:t xml:space="preserve">*Benefit (ผูก need):* "อาจารย์จะชะลอ eGFR decline </w:t>
      </w:r>
      <w:r>
        <w:rPr>
          <w:b/>
        </w:rPr>
        <w:t>และ</w:t>
      </w:r>
      <w:r>
        <w:t xml:space="preserve"> ลดเหตุการณ์หัวใจในคนไข้กลุ่มเดิม โดยเริ่มบนยาเดิมได้เลย—ข้อมูลจาก FIDELIO/FIGARO ค่ะ"</w:t>
      </w:r>
    </w:p>
    <w:p>
      <w:pPr>
        <w:pStyle w:val="ListBullet"/>
      </w:pPr>
      <w:r>
        <w:t>ใช้ visual: dosing-by-eGFR + K⁺ monitoring card</w:t>
      </w:r>
    </w:p>
    <w:p>
      <w:r>
        <w:rPr>
          <w:b/>
        </w:rPr>
        <w:t>5) Closing</w:t>
      </w:r>
    </w:p>
    <w:p>
      <w:pPr>
        <w:ind w:left="360"/>
      </w:pPr>
      <w:r>
        <w:rPr>
          <w:i/>
        </w:rPr>
        <w:t xml:space="preserve">*"อาจารย์คะ ขอเริ่มในคนไข้ CKD+T2D ที่ UACR ยังสูงสัก </w:t>
      </w:r>
      <w:r>
        <w:rPr>
          <w:b/>
          <w:i/>
        </w:rPr>
        <w:t>2 เคส</w:t>
      </w:r>
      <w:r>
        <w:rPr>
          <w:i/>
        </w:rPr>
        <w:t xml:space="preserve"> เดือนนี้ โดยเช็ก K⁺ ก่อนเริ่ม อาจารย์สะดวกไหมคะ?"*</w:t>
      </w:r>
    </w:p>
    <w:p>
      <w:pPr>
        <w:ind w:left="360"/>
      </w:pPr>
      <w:r>
        <w:rPr>
          <w:i/>
        </w:rPr>
        <w:t>*จัดการ objection แล้วปิดซ้ำ:* (hyperkalemia) → "เราเช็ก K⁺ ก่อน ไม่เริ่มถ้า &gt;5.0 และ monitor ตาม protocol—ดิฉันเตรียม flow ให้ทีมได้ค่ะ ลอง 2 เคสได้ไหมคะ?"</w:t>
      </w:r>
    </w:p>
    <w:p>
      <w:r>
        <w:rPr>
          <w:b/>
        </w:rPr>
        <w:t>6) Post-call</w:t>
      </w:r>
    </w:p>
    <w:p>
      <w:pPr>
        <w:pStyle w:val="ListBullet"/>
      </w:pPr>
      <w:r>
        <w:t>บันทึก: เคสที่หมอตกลงลอง, objection ที่เหลือ, สื่อที่สัญญาจะส่ง</w:t>
      </w:r>
    </w:p>
    <w:p>
      <w:pPr>
        <w:pStyle w:val="ListBullet"/>
      </w:pPr>
      <w:r>
        <w:t>Follow-up: ส่ง K⁺ monitoring card, ประสานเภสัชกรเรื่อง availability</w:t>
      </w:r>
    </w:p>
    <w:p>
      <w:pPr>
        <w:pStyle w:val="ListBullet"/>
      </w:pPr>
      <w:r>
        <w:t>Next-call objective: ตามผล 2 เคส + ขยายไป segment ถัดไป</w:t>
      </w:r>
    </w:p>
    <w:p/>
    <w:p/>
    <w:p>
      <w:pPr>
        <w:pStyle w:val="Heading1"/>
      </w:pPr>
      <w:r>
        <w:t>PART B — XARELTO (rivaroxaban)</w:t>
      </w:r>
    </w:p>
    <w:p>
      <w:pPr>
        <w:pStyle w:val="Heading2"/>
      </w:pPr>
      <w:r>
        <w:t>B1. Product Knowledge / ความรู้ผลิตภัณฑ์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หัวข้อ</w:t>
            </w:r>
          </w:p>
        </w:tc>
        <w:tc>
          <w:tcPr>
            <w:tcW w:type="dxa" w:w="4320"/>
          </w:tcPr>
          <w:p>
            <w:r>
              <w:rPr>
                <w:b/>
              </w:rP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t>Generic / Brand</w:t>
            </w:r>
          </w:p>
        </w:tc>
        <w:tc>
          <w:tcPr>
            <w:tcW w:type="dxa" w:w="4320"/>
          </w:tcPr>
          <w:p>
            <w:r>
              <w:t xml:space="preserve">rivaroxaban / </w:t>
            </w:r>
            <w:r>
              <w:rPr>
                <w:b/>
              </w:rPr>
              <w:t>Xarelto</w:t>
            </w:r>
            <w:r>
              <w:t xml:space="preserve"> (Bayer)</w:t>
            </w:r>
          </w:p>
        </w:tc>
      </w:tr>
      <w:tr>
        <w:tc>
          <w:tcPr>
            <w:tcW w:type="dxa" w:w="4320"/>
          </w:tcPr>
          <w:p>
            <w:r>
              <w:t>Drug class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DOAC</w:t>
            </w:r>
            <w:r>
              <w:t xml:space="preserve"> — direct </w:t>
            </w:r>
            <w:r>
              <w:rPr>
                <w:b/>
              </w:rPr>
              <w:t>Factor Xa inhibitor</w:t>
            </w:r>
          </w:p>
        </w:tc>
      </w:tr>
      <w:tr>
        <w:tc>
          <w:tcPr>
            <w:tcW w:type="dxa" w:w="4320"/>
          </w:tcPr>
          <w:p>
            <w:r>
              <w:t>Formulation</w:t>
            </w:r>
          </w:p>
        </w:tc>
        <w:tc>
          <w:tcPr>
            <w:tcW w:type="dxa" w:w="4320"/>
          </w:tcPr>
          <w:p>
            <w:r>
              <w:t xml:space="preserve">Oral tablet </w:t>
            </w:r>
            <w:r>
              <w:rPr>
                <w:b/>
              </w:rPr>
              <w:t>2.5 / 10 / 15 / 20 mg</w:t>
            </w:r>
          </w:p>
        </w:tc>
      </w:tr>
      <w:tr>
        <w:tc>
          <w:tcPr>
            <w:tcW w:type="dxa" w:w="4320"/>
          </w:tcPr>
          <w:p>
            <w:r>
              <w:t>Evidence base</w:t>
            </w:r>
          </w:p>
        </w:tc>
        <w:tc>
          <w:tcPr>
            <w:tcW w:type="dxa" w:w="4320"/>
          </w:tcPr>
          <w:p>
            <w:r>
              <w:t>ROCKET-AF (AF), EINSTEIN-DVT/PE, COMPASS (CAD/PAD)</w:t>
            </w:r>
          </w:p>
        </w:tc>
      </w:tr>
      <w:tr>
        <w:tc>
          <w:tcPr>
            <w:tcW w:type="dxa" w:w="4320"/>
          </w:tcPr>
          <w:p>
            <w:r>
              <w:t>Reversal agent</w:t>
            </w:r>
          </w:p>
        </w:tc>
        <w:tc>
          <w:tcPr>
            <w:tcW w:type="dxa" w:w="4320"/>
          </w:tcPr>
          <w:p>
            <w:r>
              <w:t>andexanet alfa</w:t>
            </w:r>
          </w:p>
        </w:tc>
      </w:tr>
      <w:tr>
        <w:tc>
          <w:tcPr>
            <w:tcW w:type="dxa" w:w="4320"/>
          </w:tcPr>
          <w:p>
            <w:r>
              <w:t>Key counselling</w:t>
            </w:r>
          </w:p>
        </w:tc>
        <w:tc>
          <w:tcPr>
            <w:tcW w:type="dxa" w:w="4320"/>
          </w:tcPr>
          <w:p>
            <w:r>
              <w:rPr>
                <w:b/>
              </w:rPr>
              <w:t>15 mg และ 20 mg ต้องกินพร้อมอาหาร</w:t>
            </w:r>
            <w:r>
              <w:t xml:space="preserve"> (เพิ่มการดูดซึม)</w:t>
            </w:r>
          </w:p>
        </w:tc>
      </w:tr>
    </w:tbl>
    <w:p/>
    <w:p>
      <w:r>
        <w:rPr>
          <w:b/>
        </w:rPr>
        <w:t>Indications &amp; dosing (ต่างกันตาม indication — ต้องแม่น):</w:t>
      </w:r>
    </w:p>
    <w:p>
      <w:pPr>
        <w:pStyle w:val="ListNumber"/>
      </w:pPr>
      <w:r>
        <w:rPr>
          <w:b/>
        </w:rPr>
        <w:t>Stroke prevention ใน non-valvular AF</w:t>
      </w:r>
      <w:r>
        <w:t xml:space="preserve"> → </w:t>
      </w:r>
      <w:r>
        <w:rPr>
          <w:b/>
        </w:rPr>
        <w:t>20 mg</w:t>
      </w:r>
      <w:r>
        <w:t xml:space="preserve"> OD พร้อมอาหาร (15 mg ถ้า CrCl 15–50)</w:t>
      </w:r>
    </w:p>
    <w:p>
      <w:pPr>
        <w:pStyle w:val="ListNumber"/>
      </w:pPr>
      <w:r>
        <w:rPr>
          <w:b/>
        </w:rPr>
        <w:t>DVT/PE treatment</w:t>
      </w:r>
      <w:r>
        <w:t xml:space="preserve"> → </w:t>
      </w:r>
      <w:r>
        <w:rPr>
          <w:b/>
        </w:rPr>
        <w:t>15 mg BID × 21 วัน</w:t>
      </w:r>
      <w:r>
        <w:t xml:space="preserve"> แล้ว </w:t>
      </w:r>
      <w:r>
        <w:rPr>
          <w:b/>
        </w:rPr>
        <w:t>20 mg</w:t>
      </w:r>
      <w:r>
        <w:t xml:space="preserve"> OD</w:t>
      </w:r>
    </w:p>
    <w:p>
      <w:pPr>
        <w:pStyle w:val="ListNumber"/>
      </w:pPr>
      <w:r>
        <w:rPr>
          <w:b/>
        </w:rPr>
        <w:t>VTE prophylaxis</w:t>
      </w:r>
      <w:r>
        <w:t xml:space="preserve"> หลังผ่าตัดสะโพก/เข่า → </w:t>
      </w:r>
      <w:r>
        <w:rPr>
          <w:b/>
        </w:rPr>
        <w:t>10 mg</w:t>
      </w:r>
      <w:r>
        <w:t xml:space="preserve"> OD</w:t>
      </w:r>
    </w:p>
    <w:p>
      <w:pPr>
        <w:pStyle w:val="ListNumber"/>
      </w:pPr>
      <w:r>
        <w:rPr>
          <w:b/>
        </w:rPr>
        <w:t>Chronic CAD/PAD (vascular dose, COMPASS)</w:t>
      </w:r>
      <w:r>
        <w:t xml:space="preserve"> → </w:t>
      </w:r>
      <w:r>
        <w:rPr>
          <w:b/>
        </w:rPr>
        <w:t>2.5 mg BID + ASA</w:t>
      </w:r>
      <w:r>
        <w:t xml:space="preserve"> ลด major CV events</w:t>
      </w:r>
    </w:p>
    <w:p>
      <w:r>
        <w:rPr>
          <w:b/>
        </w:rPr>
        <w:t>Mechanism of Action:</w:t>
      </w:r>
      <w:r>
        <w:t xml:space="preserve"> ยับยั้ง </w:t>
      </w:r>
      <w:r>
        <w:rPr>
          <w:b/>
        </w:rPr>
        <w:t>Factor Xa</w:t>
      </w:r>
      <w:r>
        <w:t xml:space="preserve"> โดยตรงและจำเพาะ → ตัด thrombin generation ทั้ง intrinsic/extrinsic pathway → ลดการเกิดลิ่มเลือด โดย </w:t>
      </w:r>
      <w:r>
        <w:rPr>
          <w:b/>
        </w:rPr>
        <w:t>ไม่ต้อง monitor INR</w:t>
      </w:r>
      <w:r>
        <w:t>.</w:t>
      </w:r>
    </w:p>
    <w:p>
      <w:r>
        <w:rPr>
          <w:b/>
        </w:rPr>
        <w:t>Contraindications &amp; precautions:</w:t>
      </w:r>
      <w:r>
        <w:t xml:space="preserve"> active major bleeding, รอยโรคเสี่ยงเลือดออก, hepatic disease + coagulopathy; ระวัง renal impairment, spinal/epidural anesthesia (เสี่ยง hematoma).</w:t>
      </w:r>
    </w:p>
    <w:p>
      <w:pPr>
        <w:pStyle w:val="Heading2"/>
      </w:pPr>
      <w:r>
        <w:t>B2. Competitor Landscape / คู่แข่ง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เทียบกับ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จุดที่ Xarelto ต่าง/เหนือกว่า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ข้อควรระวัง/ข้อจำกัด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Warfarin</w:t>
            </w:r>
          </w:p>
        </w:tc>
        <w:tc>
          <w:tcPr>
            <w:tcW w:type="dxa" w:w="2880"/>
          </w:tcPr>
          <w:p>
            <w:r>
              <w:t>ไม่ต้อง monitor INR, dose คงที่, food/drug interaction น้อยกว่า, onset/offset เร็ว</w:t>
            </w:r>
          </w:p>
        </w:tc>
        <w:tc>
          <w:tcPr>
            <w:tcW w:type="dxa" w:w="2880"/>
          </w:tcPr>
          <w:p>
            <w:r>
              <w:t>ราคาต่อเม็ดสูงกว่า; ไม่มี INR ให้ดู adherence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Apixaban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OD สำหรับ AF</w:t>
            </w:r>
            <w:r>
              <w:t xml:space="preserve"> (สะดวก), มี </w:t>
            </w:r>
            <w:r>
              <w:rPr>
                <w:b/>
              </w:rPr>
              <w:t>vascular dose (COMPASS)</w:t>
            </w:r>
            <w:r>
              <w:t xml:space="preserve"> ที่ apixaban ไม่มี</w:t>
            </w:r>
          </w:p>
        </w:tc>
        <w:tc>
          <w:tcPr>
            <w:tcW w:type="dxa" w:w="2880"/>
          </w:tcPr>
          <w:p>
            <w:r>
              <w:t>apixaban มีข้อมูล bleeding profile ที่หมอบางกลุ่มชอบ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Dabigatran</w:t>
            </w:r>
          </w:p>
        </w:tc>
        <w:tc>
          <w:tcPr>
            <w:tcW w:type="dxa" w:w="2880"/>
          </w:tcPr>
          <w:p>
            <w:r>
              <w:t>ไม่ต้องกังวล dyspepsia/GI แบบ dabigatran, dosing ยืดหยุ่นตาม indication</w:t>
            </w:r>
          </w:p>
        </w:tc>
        <w:tc>
          <w:tcPr>
            <w:tcW w:type="dxa" w:w="2880"/>
          </w:tcPr>
          <w:p>
            <w:r>
              <w:t>dabigatran มี reversal (idarucizumab) เฉพาะ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Edoxaban</w:t>
            </w:r>
          </w:p>
        </w:tc>
        <w:tc>
          <w:tcPr>
            <w:tcW w:type="dxa" w:w="2880"/>
          </w:tcPr>
          <w:p>
            <w:r>
              <w:t>portfolio indication กว้างกว่า (รวม CAD/PAD vascular dose)</w:t>
            </w:r>
          </w:p>
        </w:tc>
        <w:tc>
          <w:tcPr>
            <w:tcW w:type="dxa" w:w="2880"/>
          </w:tcPr>
          <w:p>
            <w:r>
              <w:t>edoxaban ก็ OD เช่นกัน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Antiplatelet เดี่ยว (ASA) ใน CAD/PAD</w:t>
            </w:r>
          </w:p>
        </w:tc>
        <w:tc>
          <w:tcPr>
            <w:tcW w:type="dxa" w:w="2880"/>
          </w:tcPr>
          <w:p>
            <w:r>
              <w:t>เพิ่ม vascular protection (COMPASS 2.5 mg + ASA) ลด MACE</w:t>
            </w:r>
          </w:p>
        </w:tc>
        <w:tc>
          <w:tcPr>
            <w:tcW w:type="dxa" w:w="2880"/>
          </w:tcPr>
          <w:p>
            <w:r>
              <w:t>เพิ่มความเสี่ยงเลือดออก—เลือกคนไข้</w:t>
            </w:r>
          </w:p>
        </w:tc>
      </w:tr>
    </w:tbl>
    <w:p/>
    <w:p>
      <w:pPr>
        <w:ind w:left="360"/>
      </w:pPr>
      <w:r>
        <w:rPr>
          <w:b/>
          <w:i/>
        </w:rPr>
        <w:t>ประโยคจัดตำแหน่ง (vs DOAC อื่น):</w:t>
      </w:r>
      <w:r>
        <w:rPr>
          <w:i/>
        </w:rPr>
        <w:t xml:space="preserve"> "จุดที่ Xarelto ต่างชัดคือ </w:t>
      </w:r>
      <w:r>
        <w:rPr>
          <w:b/>
          <w:i/>
        </w:rPr>
        <w:t>OD ใน AF</w:t>
      </w:r>
      <w:r>
        <w:rPr>
          <w:i/>
        </w:rPr>
        <w:t xml:space="preserve"> และ </w:t>
      </w:r>
      <w:r>
        <w:rPr>
          <w:b/>
          <w:i/>
        </w:rPr>
        <w:t>vascular dose สำหรับ CAD/PAD</w:t>
      </w:r>
      <w:r>
        <w:rPr>
          <w:i/>
        </w:rPr>
        <w:t xml:space="preserve"> ที่ DOAC ตัวอื่นไม่มี indication"</w:t>
      </w:r>
    </w:p>
    <w:p>
      <w:pPr>
        <w:pStyle w:val="Heading2"/>
      </w:pPr>
      <w:r>
        <w:t>B3. Positioning / การจัดตำแหน่ง (แยกตาม indication)</w:t>
      </w:r>
    </w:p>
    <w:p>
      <w:pPr>
        <w:pStyle w:val="ListBullet"/>
      </w:pPr>
      <w:r>
        <w:rPr>
          <w:b/>
        </w:rPr>
        <w:t>AF:</w:t>
      </w:r>
      <w:r>
        <w:t xml:space="preserve"> *"predictable stroke protection แบบ OD—สะดวก, adherence ดี, ไม่ต้องเจาะ INR"* · </w:t>
      </w:r>
      <w:r>
        <w:rPr>
          <w:b/>
        </w:rPr>
        <w:t>Wins when:</w:t>
      </w:r>
      <w:r>
        <w:t xml:space="preserve"> คนไข้ warfarin ที่ INR คุมยาก หรือ new-start AF</w:t>
      </w:r>
    </w:p>
    <w:p>
      <w:pPr>
        <w:pStyle w:val="ListBullet"/>
      </w:pPr>
      <w:r>
        <w:rPr>
          <w:b/>
        </w:rPr>
        <w:t>VTE (DVT/PE):</w:t>
      </w:r>
      <w:r>
        <w:t xml:space="preserve"> *"single-drug approach—เริ่มและรักษาต่อด้วยยาเม็ดตัวเดียว"* · </w:t>
      </w:r>
      <w:r>
        <w:rPr>
          <w:b/>
        </w:rPr>
        <w:t>Wins when:</w:t>
      </w:r>
      <w:r>
        <w:t xml:space="preserve"> ต้องการความสะดวก ไม่ต้อง bridge ด้วย injectable นาน</w:t>
      </w:r>
    </w:p>
    <w:p>
      <w:pPr>
        <w:pStyle w:val="ListBullet"/>
      </w:pPr>
      <w:r>
        <w:rPr>
          <w:b/>
        </w:rPr>
        <w:t>CAD/PAD:</w:t>
      </w:r>
      <w:r>
        <w:t xml:space="preserve"> *"vascular dose ที่ DOAC อื่นไม่มี—ลด MACE เพิ่มจาก ASA เดี่ยว"* · </w:t>
      </w:r>
      <w:r>
        <w:rPr>
          <w:b/>
        </w:rPr>
        <w:t>Wins when:</w:t>
      </w:r>
      <w:r>
        <w:t xml:space="preserve"> คนไข้ CAD/PAD ที่ต้องการ vascular protection มากขึ้น</w:t>
      </w:r>
    </w:p>
    <w:p>
      <w:pPr>
        <w:pStyle w:val="ListBullet"/>
      </w:pPr>
      <w:r>
        <w:rPr>
          <w:b/>
        </w:rPr>
        <w:t>Message pillars:</w:t>
      </w:r>
      <w:r>
        <w:t xml:space="preserve"> (1) No INR monitoring (2) OD convenience (AF) (3) Broadest indication (มี vascular dose) (4) Reversal agent มี</w:t>
      </w:r>
    </w:p>
    <w:p>
      <w:pPr>
        <w:pStyle w:val="ListBullet"/>
      </w:pPr>
      <w:r>
        <w:rPr>
          <w:b/>
        </w:rPr>
        <w:t>Tagline:</w:t>
      </w:r>
      <w:r>
        <w:t xml:space="preserve"> *"One molecule, protection across the vascular continuum."*</w:t>
      </w:r>
    </w:p>
    <w:p>
      <w:pPr>
        <w:pStyle w:val="Heading2"/>
      </w:pPr>
      <w:r>
        <w:t>B4. How to Sell Xarelto — Partnership Selling</w:t>
      </w:r>
    </w:p>
    <w:p>
      <w:r>
        <w:rPr>
          <w:b/>
        </w:rPr>
        <w:t>1) Pre-call</w:t>
      </w:r>
    </w:p>
    <w:p>
      <w:pPr>
        <w:pStyle w:val="ListBullet"/>
      </w:pPr>
      <w:r>
        <w:t>Objective ตัวอย่าง: *"ให้ cardiologist Dr.___ เริ่ม Xarelto ใน new-start NVAF 3 เคส หรือพิจารณา vascular dose ใน CAD/PAD 1 เคส ภายในเดือนนี้"*</w:t>
      </w:r>
    </w:p>
    <w:p>
      <w:pPr>
        <w:pStyle w:val="ListBullet"/>
      </w:pPr>
      <w:r>
        <w:t>Review: mix คนไข้ (AF / VTE / CAD-PAD), การใช้ warfarin/DOAC เดิม, ปัญหา INR clinic</w:t>
      </w:r>
    </w:p>
    <w:p>
      <w:pPr>
        <w:pStyle w:val="ListBullet"/>
      </w:pPr>
      <w:r>
        <w:t>เตรียม: dosing-by-indication card, "take with food" counselling leaflet, COMPASS summary; คาด objection (ราคา, competitor loyalty, bleeding)</w:t>
      </w:r>
    </w:p>
    <w:p>
      <w:r>
        <w:rPr>
          <w:b/>
        </w:rPr>
        <w:t>2) Opening</w:t>
      </w:r>
    </w:p>
    <w:p>
      <w:pPr>
        <w:ind w:left="360"/>
      </w:pPr>
      <w:r>
        <w:rPr>
          <w:i/>
        </w:rPr>
        <w:t>*"สวัสดีครับ/ค่ะอาจารย์ ครั้งก่อนอาจารย์เล่าว่าคนไข้ AF บางรายมาเจาะ INR ไม่สม่ำเสมอ วันนี้ขอเวลาสั้น ๆ คุยเรื่องทางเลือกที่ไม่ต้อง monitor INR นะคะ?"*</w:t>
      </w:r>
    </w:p>
    <w:p>
      <w:r>
        <w:rPr>
          <w:b/>
        </w:rPr>
        <w:t>3) Probing</w:t>
      </w:r>
    </w:p>
    <w:p>
      <w:pPr>
        <w:pStyle w:val="ListBullet"/>
      </w:pPr>
      <w:r>
        <w:t>*Open:* "ในคนไข้ AF ที่ใช้ warfarin ตอนนี้ อาจารย์เจอปัญหา TTR/INR เหวี่ยงบ่อยแค่ไหนคะ?"</w:t>
      </w:r>
    </w:p>
    <w:p>
      <w:pPr>
        <w:pStyle w:val="ListBullet"/>
      </w:pPr>
      <w:r>
        <w:t>*Open:* "สำหรับคนไข้ CAD/PAD ที่อยากเพิ่ม protection นอกจาก ASA อาจารย์มีตัวเลือกอะไรอยู่คะ?"</w:t>
      </w:r>
    </w:p>
    <w:p>
      <w:pPr>
        <w:pStyle w:val="ListBullet"/>
      </w:pPr>
      <w:r>
        <w:t>*Closed:* "ถ้ามี DOAC ที่ OD และมี vascular dose ด้วย อาจารย์อยากดูข้อมูลไหมคะ?"</w:t>
      </w:r>
    </w:p>
    <w:p>
      <w:r>
        <w:rPr>
          <w:b/>
        </w:rPr>
        <w:t>4) Presentation (FAB)</w:t>
      </w:r>
    </w:p>
    <w:p>
      <w:pPr>
        <w:pStyle w:val="ListBullet"/>
      </w:pPr>
      <w:r>
        <w:t>*Feature:* "Xarelto เป็น Factor Xa inhibitor แบบ OD สำหรับ AF และมี vascular dose 2.5 mg สำหรับ CAD/PAD"</w:t>
      </w:r>
    </w:p>
    <w:p>
      <w:pPr>
        <w:pStyle w:val="ListBullet"/>
      </w:pPr>
      <w:r>
        <w:t>*Advantage:* "ไม่ต้อง monitor INR, dose คงที่, และครอบคลุม indication กว้างกว่า DOAC ทั่วไป"</w:t>
      </w:r>
    </w:p>
    <w:p>
      <w:pPr>
        <w:pStyle w:val="ListBullet"/>
      </w:pPr>
      <w:r>
        <w:t>*Benefit (ผูก need):* "คนไข้ AF ของอาจารย์จะได้ stroke protection ที่ predictable + สะดวก ทำให้ adherence ดีขึ้น และในคนไข้ CAD/PAD อาจารย์เพิ่ม vascular protection ได้—ข้อมูล ROCKET-AF และ COMPASS ค่ะ"</w:t>
      </w:r>
    </w:p>
    <w:p>
      <w:r>
        <w:rPr>
          <w:b/>
        </w:rPr>
        <w:t>5) Closing</w:t>
      </w:r>
    </w:p>
    <w:p>
      <w:pPr>
        <w:ind w:left="360"/>
      </w:pPr>
      <w:r>
        <w:rPr>
          <w:i/>
        </w:rPr>
        <w:t xml:space="preserve">*"อาจารย์คะ ขอเริ่ม Xarelto ใน new-start AF </w:t>
      </w:r>
      <w:r>
        <w:rPr>
          <w:b/>
          <w:i/>
        </w:rPr>
        <w:t>3 เคส</w:t>
      </w:r>
      <w:r>
        <w:rPr>
          <w:i/>
        </w:rPr>
        <w:t xml:space="preserve"> ที่ยังไม่ได้เริ่ม anticoagulant เดือนนี้ได้ไหมคะ? ย้ำคนไข้เรื่องกินพร้อมอาหารด้วยค่ะ"*</w:t>
      </w:r>
    </w:p>
    <w:p>
      <w:pPr>
        <w:ind w:left="360"/>
      </w:pPr>
      <w:r>
        <w:rPr>
          <w:i/>
        </w:rPr>
        <w:t>*จัดการ objection แล้วปิดซ้ำ:* (ราคา) → "ถ้ารวมต้นทุนการเจาะ INR ซ้ำ ๆ และความเสี่ยง stroke จาก TTR ที่ไม่คงที่ total cost มักคุ้มกว่า—ขอเริ่มกลุ่ม INR คุมยากก่อนได้ไหมคะ?"</w:t>
      </w:r>
    </w:p>
    <w:p>
      <w:r>
        <w:rPr>
          <w:b/>
        </w:rPr>
        <w:t>6) Post-call</w:t>
      </w:r>
    </w:p>
    <w:p>
      <w:pPr>
        <w:pStyle w:val="ListBullet"/>
      </w:pPr>
      <w:r>
        <w:t>บันทึก: เคส/ indication ที่หมอตกลง, objection ที่เหลือ, สื่อที่สัญญา</w:t>
      </w:r>
    </w:p>
    <w:p>
      <w:pPr>
        <w:pStyle w:val="ListBullet"/>
      </w:pPr>
      <w:r>
        <w:t>Follow-up: ส่ง dosing-by-indication card, ประสาน stock/เบิกจ่าย</w:t>
      </w:r>
    </w:p>
    <w:p>
      <w:pPr>
        <w:pStyle w:val="ListBullet"/>
      </w:pPr>
      <w:r>
        <w:t>Next-call objective: ตามผล + ขยายจาก AF ไป CAD/PAD vascular dose</w:t>
      </w:r>
    </w:p>
    <w:p/>
    <w:p/>
    <w:p>
      <w:pPr>
        <w:pStyle w:val="Heading2"/>
      </w:pPr>
      <w:r>
        <w:t>Quick Reference Card / การ์ดสรุป (ทั้งสองยา)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Firialta (finerenone)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Xarelto (rivaroxaban)</w:t>
            </w:r>
          </w:p>
        </w:tc>
      </w:tr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Nonsteroidal selective MRA</w:t>
            </w:r>
          </w:p>
        </w:tc>
        <w:tc>
          <w:tcPr>
            <w:tcW w:type="dxa" w:w="2880"/>
          </w:tcPr>
          <w:p>
            <w:r>
              <w:t>DOAC — Factor Xa inhibitor</w:t>
            </w:r>
          </w:p>
        </w:tc>
      </w:tr>
      <w:tr>
        <w:tc>
          <w:tcPr>
            <w:tcW w:type="dxa" w:w="2880"/>
          </w:tcPr>
          <w:p>
            <w:r>
              <w:t>Core indication</w:t>
            </w:r>
          </w:p>
        </w:tc>
        <w:tc>
          <w:tcPr>
            <w:tcW w:type="dxa" w:w="2880"/>
          </w:tcPr>
          <w:p>
            <w:r>
              <w:t>CKD in type-2 diabetes</w:t>
            </w:r>
          </w:p>
        </w:tc>
        <w:tc>
          <w:tcPr>
            <w:tcW w:type="dxa" w:w="2880"/>
          </w:tcPr>
          <w:p>
            <w:r>
              <w:t>AF · VTE · CAD/PAD</w:t>
            </w:r>
          </w:p>
        </w:tc>
      </w:tr>
      <w:tr>
        <w:tc>
          <w:tcPr>
            <w:tcW w:type="dxa" w:w="2880"/>
          </w:tcPr>
          <w:p>
            <w:r>
              <w:t>Signature dose</w:t>
            </w:r>
          </w:p>
        </w:tc>
        <w:tc>
          <w:tcPr>
            <w:tcW w:type="dxa" w:w="2880"/>
          </w:tcPr>
          <w:p>
            <w:r>
              <w:t>20 mg OD (10 mg ถ้า eGFR 25–&lt;60)</w:t>
            </w:r>
          </w:p>
        </w:tc>
        <w:tc>
          <w:tcPr>
            <w:tcW w:type="dxa" w:w="2880"/>
          </w:tcPr>
          <w:p>
            <w:r>
              <w:t>AF 20 mg OD · CAD/PAD 2.5 mg BID + ASA</w:t>
            </w:r>
          </w:p>
        </w:tc>
      </w:tr>
      <w:tr>
        <w:tc>
          <w:tcPr>
            <w:tcW w:type="dxa" w:w="2880"/>
          </w:tcPr>
          <w:p>
            <w:r>
              <w:t>Must-remember rule</w:t>
            </w:r>
          </w:p>
        </w:tc>
        <w:tc>
          <w:tcPr>
            <w:tcW w:type="dxa" w:w="2880"/>
          </w:tcPr>
          <w:p>
            <w:r>
              <w:t>เช็ก K⁺ ก่อนเริ่ม (ไม่เริ่มถ้า &gt;5.0)</w:t>
            </w:r>
          </w:p>
        </w:tc>
        <w:tc>
          <w:tcPr>
            <w:tcW w:type="dxa" w:w="2880"/>
          </w:tcPr>
          <w:p>
            <w:r>
              <w:t>15/20 mg กินพร้อมอาหาร</w:t>
            </w:r>
          </w:p>
        </w:tc>
      </w:tr>
      <w:tr>
        <w:tc>
          <w:tcPr>
            <w:tcW w:type="dxa" w:w="2880"/>
          </w:tcPr>
          <w:p>
            <w:r>
              <w:t>#1 differentiator</w:t>
            </w:r>
          </w:p>
        </w:tc>
        <w:tc>
          <w:tcPr>
            <w:tcW w:type="dxa" w:w="2880"/>
          </w:tcPr>
          <w:p>
            <w:r>
              <w:t>Third pillar, nonsteroidal</w:t>
            </w:r>
          </w:p>
        </w:tc>
        <w:tc>
          <w:tcPr>
            <w:tcW w:type="dxa" w:w="2880"/>
          </w:tcPr>
          <w:p>
            <w:r>
              <w:t>OD + vascular dose, no INR monitoring</w:t>
            </w:r>
          </w:p>
        </w:tc>
      </w:tr>
      <w:tr>
        <w:tc>
          <w:tcPr>
            <w:tcW w:type="dxa" w:w="2880"/>
          </w:tcPr>
          <w:p>
            <w:r>
              <w:t>Wins when</w:t>
            </w:r>
          </w:p>
        </w:tc>
        <w:tc>
          <w:tcPr>
            <w:tcW w:type="dxa" w:w="2880"/>
          </w:tcPr>
          <w:p>
            <w:r>
              <w:t>UACR ยังสูงแม้ได้ ACEi/ARB (±SGLT2i)</w:t>
            </w:r>
          </w:p>
        </w:tc>
        <w:tc>
          <w:tcPr>
            <w:tcW w:type="dxa" w:w="2880"/>
          </w:tcPr>
          <w:p>
            <w:r>
              <w:t>INR คุมยาก / ต้องการ vascular protection</w:t>
            </w:r>
          </w:p>
        </w:tc>
      </w:tr>
      <w:tr>
        <w:tc>
          <w:tcPr>
            <w:tcW w:type="dxa" w:w="2880"/>
          </w:tcPr>
          <w:p>
            <w:r>
              <w:t>One-line</w:t>
            </w:r>
          </w:p>
        </w:tc>
        <w:tc>
          <w:tcPr>
            <w:tcW w:type="dxa" w:w="2880"/>
          </w:tcPr>
          <w:p>
            <w:r>
              <w:t>"Protect kidney &amp; heart—the third pillar"</w:t>
            </w:r>
          </w:p>
        </w:tc>
        <w:tc>
          <w:tcPr>
            <w:tcW w:type="dxa" w:w="2880"/>
          </w:tcPr>
          <w:p>
            <w:r>
              <w:t>"Protection across the vascular continuum"</w:t>
            </w:r>
          </w:p>
        </w:tc>
      </w:tr>
      <w:tr>
        <w:tc>
          <w:tcPr>
            <w:tcW w:type="dxa" w:w="2880"/>
          </w:tcPr>
          <w:p>
            <w:r>
              <w:t>Key evidence</w:t>
            </w:r>
          </w:p>
        </w:tc>
        <w:tc>
          <w:tcPr>
            <w:tcW w:type="dxa" w:w="2880"/>
          </w:tcPr>
          <w:p>
            <w:r>
              <w:t>FIDELIO-DKD, FIGARO-DKD, FIDELITY</w:t>
            </w:r>
          </w:p>
        </w:tc>
        <w:tc>
          <w:tcPr>
            <w:tcW w:type="dxa" w:w="2880"/>
          </w:tcPr>
          <w:p>
            <w:r>
              <w:t>ROCKET-AF, EINSTEIN, COMPASS</w:t>
            </w:r>
          </w:p>
        </w:tc>
      </w:tr>
    </w:tbl>
    <w:p/>
    <w:p>
      <w:pPr>
        <w:ind w:left="360"/>
      </w:pPr>
      <w:r>
        <w:rPr>
          <w:b/>
          <w:i/>
        </w:rPr>
        <w:t>Reminder:</w:t>
      </w:r>
      <w:r>
        <w:rPr>
          <w:i/>
        </w:rPr>
        <w:t xml:space="preserve"> ยืนยัน dosing/indication ทั้งหมดกับฉลาก </w:t>
      </w:r>
      <w:r>
        <w:rPr>
          <w:b/>
          <w:i/>
        </w:rPr>
        <w:t>Thai FDA</w:t>
      </w:r>
      <w:r>
        <w:rPr>
          <w:i/>
        </w:rPr>
        <w:t xml:space="preserve"> ล่าสุดก่อนนำไปใช้ detailing จริง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