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Performance Review</w:t>
      </w:r>
    </w:p>
    <w:p>
      <w:r>
        <w:t>This document outlines the performance metrics for Q3 operations across all global business units.</w:t>
      </w:r>
    </w:p>
    <w:p>
      <w:pPr>
        <w:pStyle w:val="Heading1"/>
      </w:pPr>
      <w:r>
        <w:t>Operational Highlights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Spend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  <w:tc>
          <w:tcPr>
            <w:tcW w:type="dxa" w:w="2160"/>
          </w:tcPr>
          <w:p>
            <w:r>
              <w:t>$480,000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$300,000</w:t>
            </w:r>
          </w:p>
        </w:tc>
        <w:tc>
          <w:tcPr>
            <w:tcW w:type="dxa" w:w="2160"/>
          </w:tcPr>
          <w:p>
            <w:r>
              <w:t>$295,000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$450,000</w:t>
            </w:r>
          </w:p>
        </w:tc>
        <w:tc>
          <w:tcPr>
            <w:tcW w:type="dxa" w:w="2160"/>
          </w:tcPr>
          <w:p>
            <w:r>
              <w:t>$440,000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$140,000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