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A72" w:rsidRDefault="00B51687">
      <w:r>
        <w:t>I)</w:t>
      </w:r>
    </w:p>
    <w:p w:rsidR="00B51687" w:rsidRDefault="00B51687">
      <w:r>
        <w:t>1)</w:t>
      </w:r>
    </w:p>
    <w:p w:rsidR="00A0024F" w:rsidRDefault="00A0024F">
      <w:r>
        <w:t>a)</w:t>
      </w:r>
    </w:p>
    <w:p w:rsidR="00B51687" w:rsidRDefault="000F347F">
      <w:r>
        <w:rPr>
          <w:noProof/>
        </w:rPr>
        <w:drawing>
          <wp:inline distT="0" distB="0" distL="0" distR="0">
            <wp:extent cx="2376527" cy="2811912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388" cy="281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687" w:rsidRDefault="00B51687"/>
    <w:p w:rsidR="00B51687" w:rsidRDefault="00B51687">
      <w:r>
        <w:t>The fitted equation is:</w:t>
      </w:r>
    </w:p>
    <w:p w:rsidR="00F511C1" w:rsidRDefault="00F511C1">
      <m:oMathPara>
        <m:oMath>
          <m:r>
            <m:rPr>
              <m:sty m:val="p"/>
            </m:rPr>
            <w:rPr>
              <w:rFonts w:ascii="Cambria Math" w:hAnsi="Cambria Math"/>
            </w:rPr>
            <m:t>Wage = -5.07 + 0.97*Educ + 0.1*Exp - 2.11*Female + 0.5*Married + 1.48*Union</m:t>
          </m:r>
        </m:oMath>
      </m:oMathPara>
    </w:p>
    <w:p w:rsidR="00B51687" w:rsidRDefault="00F511C1">
      <w:pPr>
        <w:rPr>
          <w:u w:val="single"/>
        </w:rPr>
      </w:pPr>
      <w:r w:rsidRPr="00F511C1">
        <w:rPr>
          <w:u w:val="single"/>
        </w:rPr>
        <w:t>ANS</w:t>
      </w:r>
    </w:p>
    <w:p w:rsidR="00A0024F" w:rsidRDefault="00A0024F">
      <w:pPr>
        <w:rPr>
          <w:u w:val="single"/>
        </w:rPr>
      </w:pPr>
    </w:p>
    <w:p w:rsidR="00A0024F" w:rsidRDefault="00A0024F">
      <w:r>
        <w:t>b)</w:t>
      </w:r>
    </w:p>
    <w:p w:rsidR="00A0024F" w:rsidRDefault="00E17D4D">
      <w:r>
        <w:t>Based on the model, women seem to significantly have less wage th</w:t>
      </w:r>
      <w:r w:rsidR="00042BD7">
        <w:t>an</w:t>
      </w:r>
      <w:r>
        <w:t xml:space="preserve"> men because the estimated </w:t>
      </w:r>
      <w:r w:rsidR="00042BD7">
        <w:t>coefficient of Female variable is significant</w:t>
      </w:r>
      <w:r w:rsidR="000E7F78">
        <w:t xml:space="preserve"> and it is negative, implies a lower intercept</w:t>
      </w:r>
      <w:r w:rsidR="000C1313">
        <w:t xml:space="preserve"> term</w:t>
      </w:r>
      <w:r w:rsidR="00CA0D26">
        <w:t>, and thus lower wage for female, holding other variables constant.</w:t>
      </w:r>
    </w:p>
    <w:p w:rsidR="000E7F78" w:rsidRDefault="000E7F78">
      <w:r w:rsidRPr="000E7F78">
        <w:rPr>
          <w:u w:val="single"/>
        </w:rPr>
        <w:t>ANS</w:t>
      </w:r>
    </w:p>
    <w:p w:rsidR="000E7F78" w:rsidRDefault="000E7F78"/>
    <w:p w:rsidR="009E472E" w:rsidRDefault="009E472E">
      <w:r>
        <w:t>c)</w:t>
      </w:r>
    </w:p>
    <w:p w:rsidR="009E472E" w:rsidRDefault="009E472E">
      <w:r>
        <w:rPr>
          <w:noProof/>
        </w:rPr>
        <w:lastRenderedPageBreak/>
        <w:drawing>
          <wp:inline distT="0" distB="0" distL="0" distR="0">
            <wp:extent cx="3261883" cy="155566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26" cy="15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A8" w:rsidRDefault="005E60EA">
      <w:r>
        <w:t xml:space="preserve">The graph suggests there is an interaction effect between Education and </w:t>
      </w:r>
      <w:r w:rsidR="00F003D9">
        <w:t>Region</w:t>
      </w:r>
      <w:r w:rsidR="00BB2CEF">
        <w:t xml:space="preserve"> </w:t>
      </w:r>
      <w:r w:rsidR="00F003D9">
        <w:t>(whether from the South or not).</w:t>
      </w:r>
      <w:r w:rsidR="00917939">
        <w:t xml:space="preserve"> As Education increases, Wage of people in the South seems to increase at a slower rate. Educ in both group is significant so it is worth adding an interaction term Education * South to the model. </w:t>
      </w:r>
      <w:r w:rsidR="00917939" w:rsidRPr="00917939">
        <w:rPr>
          <w:u w:val="single"/>
        </w:rPr>
        <w:t>ANS</w:t>
      </w:r>
    </w:p>
    <w:p w:rsidR="008948A8" w:rsidRDefault="008948A8"/>
    <w:p w:rsidR="000F347F" w:rsidRDefault="000F347F">
      <w:r>
        <w:t>d)</w:t>
      </w:r>
    </w:p>
    <w:p w:rsidR="000F347F" w:rsidRDefault="000F347F">
      <w:r>
        <w:rPr>
          <w:noProof/>
        </w:rPr>
        <w:drawing>
          <wp:inline distT="0" distB="0" distL="0" distR="0">
            <wp:extent cx="1670050" cy="274783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267" cy="275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47F" w:rsidRDefault="000F347F">
      <w:r>
        <w:t>The new fitted equation is:</w:t>
      </w:r>
    </w:p>
    <w:p w:rsidR="005164EA" w:rsidRDefault="00381FF7">
      <w:r>
        <w:t>For South = 0</w:t>
      </w:r>
      <w:r w:rsidR="005164EA">
        <w:t>:</w:t>
      </w:r>
    </w:p>
    <w:p w:rsidR="000F347F" w:rsidRPr="005164EA" w:rsidRDefault="00EC168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Wage = -4.64 + 0.97*Educ + 0.1*Exp - 2.14*Female + 0.52*Married + 1.37*Union</m:t>
          </m:r>
        </m:oMath>
      </m:oMathPara>
    </w:p>
    <w:p w:rsidR="005164EA" w:rsidRDefault="005164EA">
      <w:pPr>
        <w:rPr>
          <w:rFonts w:eastAsiaTheme="minorEastAsia"/>
        </w:rPr>
      </w:pPr>
      <w:r>
        <w:rPr>
          <w:rFonts w:eastAsiaTheme="minorEastAsia"/>
        </w:rPr>
        <w:t>For South = 1:</w:t>
      </w:r>
    </w:p>
    <w:p w:rsidR="005164EA" w:rsidRPr="00FC0081" w:rsidRDefault="005164EA">
      <w:pPr>
        <w:rPr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</w:rPr>
            <m:t>Wage = -4.64 +(0.97-0.08)*Educ + 0.1*Exp - 2.14*Female + 0.52*Married + 1.37*Union</m:t>
          </m:r>
        </m:oMath>
      </m:oMathPara>
    </w:p>
    <w:p w:rsidR="009E472E" w:rsidRDefault="00917939">
      <w:r>
        <w:t xml:space="preserve"> </w:t>
      </w:r>
      <w:r w:rsidR="00F97194">
        <w:t>The mod</w:t>
      </w:r>
      <w:r w:rsidR="00231C97">
        <w:t>el is improved a little bit as i</w:t>
      </w:r>
      <w:r w:rsidR="007B10F7">
        <w:t>t</w:t>
      </w:r>
      <w:r w:rsidR="00F97194">
        <w:t xml:space="preserve"> has higher Adjusted R-Square and lower RMSE </w:t>
      </w:r>
      <w:r w:rsidR="00F97194" w:rsidRPr="00F97194">
        <w:rPr>
          <w:u w:val="single"/>
        </w:rPr>
        <w:t>ANS</w:t>
      </w:r>
    </w:p>
    <w:p w:rsidR="00F97194" w:rsidRDefault="00F97194"/>
    <w:p w:rsidR="00D9355F" w:rsidRDefault="00D9355F">
      <w:r>
        <w:t>2)</w:t>
      </w:r>
    </w:p>
    <w:p w:rsidR="00D9355F" w:rsidRDefault="00D9355F">
      <w:r>
        <w:lastRenderedPageBreak/>
        <w:t>a)</w:t>
      </w:r>
    </w:p>
    <w:p w:rsidR="00B866FB" w:rsidRDefault="00B866FB">
      <w:r>
        <w:rPr>
          <w:noProof/>
        </w:rPr>
        <w:drawing>
          <wp:inline distT="0" distB="0" distL="0" distR="0">
            <wp:extent cx="1492180" cy="110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79" cy="111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FB" w:rsidRDefault="00A8377A">
      <w:pPr>
        <w:rPr>
          <w:u w:val="single"/>
        </w:rPr>
      </w:pPr>
      <w:r>
        <w:t>Yes, there might b</w:t>
      </w:r>
      <w:r w:rsidR="00B866FB">
        <w:t xml:space="preserve">e </w:t>
      </w:r>
      <w:r>
        <w:t xml:space="preserve">a </w:t>
      </w:r>
      <w:r w:rsidR="00B866FB">
        <w:t>heteroscedasticity issue</w:t>
      </w:r>
      <w:r>
        <w:t>.</w:t>
      </w:r>
      <w:r w:rsidR="00B866FB">
        <w:t xml:space="preserve"> </w:t>
      </w:r>
      <w:r w:rsidR="00B866FB" w:rsidRPr="00B866FB">
        <w:rPr>
          <w:u w:val="single"/>
        </w:rPr>
        <w:t>ANS</w:t>
      </w:r>
    </w:p>
    <w:p w:rsidR="00B866FB" w:rsidRDefault="00B866FB"/>
    <w:p w:rsidR="00B866FB" w:rsidRDefault="00B866FB">
      <w:r>
        <w:t>b)</w:t>
      </w:r>
    </w:p>
    <w:p w:rsidR="00965D7C" w:rsidRDefault="00A6560B">
      <w:r>
        <w:t xml:space="preserve">I use Park Test to test for heteroscedasticity, </w:t>
      </w:r>
      <w:r w:rsidR="000F765D">
        <w:t xml:space="preserve">I </w:t>
      </w:r>
      <w:r w:rsidR="006F112F">
        <w:t>collect the predicted Wage values and residuals and model a regression line between</w:t>
      </w:r>
      <w:r w:rsidR="00965D7C">
        <w:t>:</w:t>
      </w:r>
    </w:p>
    <w:p w:rsidR="00A867A2" w:rsidRDefault="006F112F">
      <w:pPr>
        <w:rPr>
          <w:rFonts w:eastAsiaTheme="minorEastAsia"/>
        </w:rPr>
      </w:pPr>
      <w:r>
        <w:t xml:space="preserve"> </w:t>
      </w:r>
      <w:r w:rsidR="00965D7C"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Residual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~ Predicted_Wage</m:t>
        </m:r>
      </m:oMath>
    </w:p>
    <w:p w:rsidR="00965D7C" w:rsidRDefault="00E0309B">
      <w:pPr>
        <w:rPr>
          <w:rFonts w:eastAsiaTheme="minorEastAsia"/>
        </w:rPr>
      </w:pPr>
      <w:r>
        <w:rPr>
          <w:rFonts w:eastAsiaTheme="minorEastAsia"/>
        </w:rPr>
        <w:t>I got the following output:</w:t>
      </w:r>
    </w:p>
    <w:p w:rsidR="00E0309B" w:rsidRDefault="00E0309B">
      <w:r>
        <w:rPr>
          <w:noProof/>
        </w:rPr>
        <w:drawing>
          <wp:inline distT="0" distB="0" distL="0" distR="0">
            <wp:extent cx="2066925" cy="272229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9" cy="273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7A2" w:rsidRDefault="00E0309B">
      <w:r>
        <w:t xml:space="preserve">The coefficient of Predicted_Wage is statistically significant so we can conclude that there is heteroscedasticity. </w:t>
      </w:r>
      <w:r w:rsidRPr="00E0309B">
        <w:rPr>
          <w:u w:val="single"/>
        </w:rPr>
        <w:t>ANS</w:t>
      </w:r>
    </w:p>
    <w:p w:rsidR="00D30EE7" w:rsidRDefault="00D30EE7">
      <w:pPr>
        <w:rPr>
          <w:u w:val="single"/>
        </w:rPr>
      </w:pPr>
    </w:p>
    <w:p w:rsidR="00D30EE7" w:rsidRDefault="00D30EE7">
      <w:r>
        <w:t>c)</w:t>
      </w:r>
    </w:p>
    <w:p w:rsidR="00583755" w:rsidRDefault="00583755">
      <w:r>
        <w:t>There are several possible sources:</w:t>
      </w:r>
    </w:p>
    <w:p w:rsidR="00583755" w:rsidRDefault="00583755" w:rsidP="00583755">
      <w:pPr>
        <w:pStyle w:val="ListParagraph"/>
        <w:numPr>
          <w:ilvl w:val="0"/>
          <w:numId w:val="1"/>
        </w:numPr>
      </w:pPr>
      <w:r>
        <w:t>Wage Variable</w:t>
      </w:r>
    </w:p>
    <w:p w:rsidR="004E1C44" w:rsidRDefault="004E1C44">
      <w:r>
        <w:rPr>
          <w:noProof/>
        </w:rPr>
        <w:lastRenderedPageBreak/>
        <w:drawing>
          <wp:inline distT="0" distB="0" distL="0" distR="0">
            <wp:extent cx="2205613" cy="1530468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572" cy="153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44" w:rsidRPr="00D30EE7" w:rsidRDefault="004E1C44"/>
    <w:p w:rsidR="00583755" w:rsidRDefault="00C90AA4" w:rsidP="002C19E7">
      <w:pPr>
        <w:ind w:firstLine="360"/>
      </w:pPr>
      <w:r>
        <w:t xml:space="preserve">Heteroscedasticity may be caused the right skewed distribution of the predicted value, Wage. As shown in the histogram above. </w:t>
      </w:r>
    </w:p>
    <w:p w:rsidR="00583755" w:rsidRDefault="00583755"/>
    <w:p w:rsidR="00583755" w:rsidRDefault="00583755" w:rsidP="00583755">
      <w:pPr>
        <w:pStyle w:val="ListParagraph"/>
        <w:numPr>
          <w:ilvl w:val="0"/>
          <w:numId w:val="1"/>
        </w:numPr>
      </w:pPr>
      <w:r>
        <w:t>Educ Variable</w:t>
      </w:r>
    </w:p>
    <w:p w:rsidR="00583755" w:rsidRDefault="00583755" w:rsidP="00583755">
      <w:pPr>
        <w:pStyle w:val="ListParagraph"/>
      </w:pPr>
      <w:r>
        <w:rPr>
          <w:noProof/>
        </w:rPr>
        <w:drawing>
          <wp:inline distT="0" distB="0" distL="0" distR="0">
            <wp:extent cx="1547813" cy="20288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650" cy="204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55" w:rsidRDefault="00583755" w:rsidP="00583755">
      <w:pPr>
        <w:pStyle w:val="ListParagraph"/>
      </w:pPr>
    </w:p>
    <w:p w:rsidR="00583755" w:rsidRDefault="002C19E7" w:rsidP="00583755">
      <w:pPr>
        <w:pStyle w:val="ListParagraph"/>
      </w:pPr>
      <w:r>
        <w:t xml:space="preserve">The model: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Residual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~ Educ</m:t>
        </m:r>
      </m:oMath>
      <w:r>
        <w:rPr>
          <w:rFonts w:eastAsiaTheme="minorEastAsia"/>
        </w:rPr>
        <w:t xml:space="preserve"> shows that the coefficient of Educ is significant. So, it can be the source </w:t>
      </w:r>
      <w:r w:rsidR="007835D1">
        <w:rPr>
          <w:rFonts w:eastAsiaTheme="minorEastAsia"/>
        </w:rPr>
        <w:t>of heteroscedasticity</w:t>
      </w:r>
      <w:r>
        <w:t>.</w:t>
      </w:r>
    </w:p>
    <w:p w:rsidR="00A6560B" w:rsidRDefault="00C90AA4">
      <w:r w:rsidRPr="00C90AA4">
        <w:rPr>
          <w:u w:val="single"/>
        </w:rPr>
        <w:t>ANS</w:t>
      </w:r>
    </w:p>
    <w:p w:rsidR="00C90AA4" w:rsidRDefault="00C90AA4"/>
    <w:p w:rsidR="00C90AA4" w:rsidRDefault="005412EB">
      <w:r>
        <w:t>d)</w:t>
      </w:r>
    </w:p>
    <w:p w:rsidR="005412EB" w:rsidRDefault="00EF192B">
      <w:r>
        <w:t xml:space="preserve">For </w:t>
      </w:r>
      <w:r w:rsidR="0098735B">
        <w:t>Educ v</w:t>
      </w:r>
      <w:r>
        <w:t>ariable</w:t>
      </w:r>
      <w:r w:rsidR="00506DC0">
        <w:t>(in case c.2)</w:t>
      </w:r>
      <w:r>
        <w:t>, when I plot Wage against Educ, I can’t see any curvature pattern</w:t>
      </w:r>
      <w:r w:rsidR="00AA4CA3">
        <w:t>s</w:t>
      </w:r>
      <w:r>
        <w:t xml:space="preserve"> there. So, I decided t</w:t>
      </w:r>
      <w:r w:rsidR="006C7DE6">
        <w:t>o</w:t>
      </w:r>
      <w:r w:rsidR="008A0C6B">
        <w:t xml:space="preserve"> consider a</w:t>
      </w:r>
      <w:r w:rsidR="006C7DE6">
        <w:t xml:space="preserve"> remedy </w:t>
      </w:r>
      <w:r w:rsidR="00506DC0">
        <w:t>for the case c.1</w:t>
      </w:r>
      <w:r w:rsidR="006C7DE6">
        <w:t>, I take Log Transformation to Wage variable and make a new regression model. This is the final output:</w:t>
      </w:r>
    </w:p>
    <w:p w:rsidR="006C7DE6" w:rsidRDefault="006C7DE6">
      <w:r>
        <w:rPr>
          <w:noProof/>
        </w:rPr>
        <w:lastRenderedPageBreak/>
        <w:drawing>
          <wp:inline distT="0" distB="0" distL="0" distR="0">
            <wp:extent cx="1620238" cy="2713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967" cy="272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DE6" w:rsidRDefault="006C7DE6">
      <w:pPr>
        <w:rPr>
          <w:u w:val="single"/>
        </w:rPr>
      </w:pPr>
      <w:r w:rsidRPr="006C7DE6">
        <w:rPr>
          <w:u w:val="single"/>
        </w:rPr>
        <w:t>ANS</w:t>
      </w:r>
    </w:p>
    <w:p w:rsidR="00E47CC6" w:rsidRDefault="00E47CC6">
      <w:pPr>
        <w:rPr>
          <w:u w:val="single"/>
        </w:rPr>
      </w:pPr>
    </w:p>
    <w:p w:rsidR="00E47CC6" w:rsidRDefault="00E47CC6">
      <w:r>
        <w:t>3)</w:t>
      </w:r>
    </w:p>
    <w:p w:rsidR="00E47CC6" w:rsidRDefault="000172B0">
      <w:pPr>
        <w:rPr>
          <w:noProof/>
        </w:rPr>
      </w:pPr>
      <w:r>
        <w:rPr>
          <w:noProof/>
        </w:rPr>
        <w:t xml:space="preserve">To create a better model, I add the interaction term Educ*South to the model in 2.d). </w:t>
      </w:r>
      <w:r w:rsidR="00CD2838">
        <w:rPr>
          <w:noProof/>
        </w:rPr>
        <w:t xml:space="preserve">I tried to find a curvurture </w:t>
      </w:r>
      <w:r w:rsidR="006317BA">
        <w:rPr>
          <w:noProof/>
        </w:rPr>
        <w:t>between Ln(Wage) and</w:t>
      </w:r>
      <w:r w:rsidR="00CD2838">
        <w:rPr>
          <w:noProof/>
        </w:rPr>
        <w:t xml:space="preserve"> independent variables but I don’t see any obvoius patterns. </w:t>
      </w:r>
      <w:r w:rsidR="000E399F">
        <w:rPr>
          <w:noProof/>
        </w:rPr>
        <w:t>I also experiemented with other interaction terms but they</w:t>
      </w:r>
      <w:r w:rsidR="000426EC">
        <w:rPr>
          <w:noProof/>
        </w:rPr>
        <w:t xml:space="preserve"> seem to </w:t>
      </w:r>
      <w:r w:rsidR="00706A33">
        <w:rPr>
          <w:noProof/>
        </w:rPr>
        <w:t xml:space="preserve">either </w:t>
      </w:r>
      <w:r w:rsidR="000426EC">
        <w:rPr>
          <w:noProof/>
        </w:rPr>
        <w:t xml:space="preserve">worsen the performance or not significant. </w:t>
      </w:r>
      <w:r w:rsidR="000C50F1">
        <w:rPr>
          <w:noProof/>
        </w:rPr>
        <w:t xml:space="preserve">I add South variable to the model but this one is not significant as well. </w:t>
      </w:r>
    </w:p>
    <w:p w:rsidR="00760545" w:rsidRDefault="00760545">
      <w:pPr>
        <w:rPr>
          <w:noProof/>
        </w:rPr>
      </w:pPr>
      <w:r>
        <w:rPr>
          <w:noProof/>
        </w:rPr>
        <w:t>Then I get the following model:</w:t>
      </w:r>
    </w:p>
    <w:p w:rsidR="00760545" w:rsidRDefault="004B38A3">
      <w:pPr>
        <w:rPr>
          <w:noProof/>
        </w:rPr>
      </w:pPr>
      <w:r>
        <w:rPr>
          <w:noProof/>
        </w:rPr>
        <w:drawing>
          <wp:inline distT="0" distB="0" distL="0" distR="0">
            <wp:extent cx="1942104" cy="3270738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42" cy="328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45" w:rsidRDefault="00760545">
      <w:pPr>
        <w:rPr>
          <w:noProof/>
        </w:rPr>
      </w:pPr>
      <w:r>
        <w:rPr>
          <w:noProof/>
        </w:rPr>
        <w:lastRenderedPageBreak/>
        <w:t>I then calculate Cook’s distance and remove one obvious outlier</w:t>
      </w:r>
      <w:r w:rsidR="004B38A3">
        <w:rPr>
          <w:noProof/>
        </w:rPr>
        <w:t xml:space="preserve"> on the middle top</w:t>
      </w:r>
      <w:r>
        <w:rPr>
          <w:noProof/>
        </w:rPr>
        <w:t>(</w:t>
      </w:r>
      <w:r w:rsidR="004B38A3">
        <w:rPr>
          <w:noProof/>
        </w:rPr>
        <w:t xml:space="preserve">this one </w:t>
      </w:r>
      <w:r>
        <w:rPr>
          <w:noProof/>
        </w:rPr>
        <w:t xml:space="preserve">also has </w:t>
      </w:r>
      <w:r w:rsidR="00D13E04">
        <w:rPr>
          <w:noProof/>
        </w:rPr>
        <w:t xml:space="preserve">the </w:t>
      </w:r>
      <w:r>
        <w:rPr>
          <w:noProof/>
        </w:rPr>
        <w:t>highest Cook’s distance</w:t>
      </w:r>
      <w:r w:rsidR="00A77E32">
        <w:rPr>
          <w:noProof/>
        </w:rPr>
        <w:t xml:space="preserve"> and exceeds 4/n criterior</w:t>
      </w:r>
      <w:r>
        <w:rPr>
          <w:noProof/>
        </w:rPr>
        <w:t>) and refit the model:</w:t>
      </w:r>
    </w:p>
    <w:p w:rsidR="00760545" w:rsidRDefault="00D444FB">
      <w:pPr>
        <w:rPr>
          <w:noProof/>
        </w:rPr>
      </w:pPr>
      <w:r>
        <w:rPr>
          <w:noProof/>
        </w:rPr>
        <w:drawing>
          <wp:inline distT="0" distB="0" distL="0" distR="0">
            <wp:extent cx="1738206" cy="3310932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63" cy="33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4FB" w:rsidRDefault="00D444FB">
      <w:pPr>
        <w:rPr>
          <w:noProof/>
          <w:u w:val="single"/>
        </w:rPr>
      </w:pPr>
      <w:r>
        <w:rPr>
          <w:noProof/>
        </w:rPr>
        <w:t xml:space="preserve">As this model has a better Adjusted R-Square and I don’t see any obvious outliers here, I decided it to be my final model. </w:t>
      </w:r>
      <w:r w:rsidRPr="00D444FB">
        <w:rPr>
          <w:noProof/>
          <w:u w:val="single"/>
        </w:rPr>
        <w:t>ANS</w:t>
      </w:r>
    </w:p>
    <w:p w:rsidR="00D444FB" w:rsidRDefault="00D444FB">
      <w:pPr>
        <w:rPr>
          <w:noProof/>
        </w:rPr>
      </w:pPr>
    </w:p>
    <w:p w:rsidR="008730DD" w:rsidRDefault="008730DD">
      <w:pPr>
        <w:rPr>
          <w:noProof/>
        </w:rPr>
      </w:pPr>
    </w:p>
    <w:p w:rsidR="008730DD" w:rsidRDefault="0073318A">
      <w:pPr>
        <w:rPr>
          <w:noProof/>
        </w:rPr>
      </w:pPr>
      <w:r>
        <w:rPr>
          <w:noProof/>
        </w:rPr>
        <w:t>II</w:t>
      </w:r>
      <w:r w:rsidR="00DE5D8A">
        <w:rPr>
          <w:noProof/>
        </w:rPr>
        <w:t>)</w:t>
      </w:r>
    </w:p>
    <w:p w:rsidR="008730DD" w:rsidRDefault="008730DD">
      <w:pPr>
        <w:rPr>
          <w:noProof/>
        </w:rPr>
      </w:pPr>
      <w:r>
        <w:rPr>
          <w:noProof/>
        </w:rPr>
        <w:t>a)</w:t>
      </w:r>
    </w:p>
    <w:p w:rsidR="008730DD" w:rsidRDefault="008730DD">
      <w:pPr>
        <w:rPr>
          <w:noProof/>
        </w:rPr>
      </w:pPr>
      <w:r>
        <w:rPr>
          <w:noProof/>
        </w:rPr>
        <w:drawing>
          <wp:inline distT="0" distB="0" distL="0" distR="0">
            <wp:extent cx="2076077" cy="198957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326" cy="199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0DD" w:rsidRDefault="008730DD">
      <w:pPr>
        <w:rPr>
          <w:noProof/>
        </w:rPr>
      </w:pPr>
      <w:r>
        <w:rPr>
          <w:noProof/>
        </w:rPr>
        <w:t>The regression equation is:</w:t>
      </w:r>
    </w:p>
    <w:p w:rsidR="008730DD" w:rsidRPr="00D444FB" w:rsidRDefault="00953373">
      <w:pPr>
        <w:rPr>
          <w:noProof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8"/>
                    </w:rPr>
                    <m:t>1-π</m:t>
                  </m:r>
                </m:den>
              </m:f>
              <m:r>
                <w:rPr>
                  <w:rFonts w:ascii="Cambria Math" w:hAnsi="Cambria Math"/>
                  <w:noProof/>
                  <w:sz w:val="18"/>
                </w:rPr>
                <m:t>= -15.78+0.0002*Income+1.39*IsFemale+0.52*IsMarried-0.27*HasCollege+0.04*IsProfessional-0.79*IsRetired+0.87*Unemployed+0.02*ResidenceLength+0.42*DualIncome+0.68*Minors+0.65*Own+2.21*English+1.31*PrevChildMag+0.6*PrevParentMag</m:t>
              </m:r>
            </m:e>
          </m:func>
        </m:oMath>
      </m:oMathPara>
    </w:p>
    <w:p w:rsidR="00EC3FBE" w:rsidRDefault="00EC3FBE">
      <w:pPr>
        <w:rPr>
          <w:u w:val="single"/>
        </w:rPr>
      </w:pPr>
      <w:r>
        <w:t xml:space="preserve">Where π is the probability of buying “Kid Creative”. </w:t>
      </w:r>
      <w:r w:rsidRPr="00EC3FBE">
        <w:rPr>
          <w:u w:val="single"/>
        </w:rPr>
        <w:t>ANS</w:t>
      </w:r>
    </w:p>
    <w:p w:rsidR="000C60BE" w:rsidRDefault="000C60BE">
      <w:pPr>
        <w:rPr>
          <w:u w:val="single"/>
        </w:rPr>
      </w:pPr>
    </w:p>
    <w:p w:rsidR="000C60BE" w:rsidRDefault="000C60BE">
      <w: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1"/>
        <w:gridCol w:w="2267"/>
        <w:gridCol w:w="1907"/>
        <w:gridCol w:w="1671"/>
        <w:gridCol w:w="2044"/>
      </w:tblGrid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Removed Variable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-Loglilkelihood(Before removal)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-Loglilkelihood(After removal)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Change in -LogLikelihood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Compare to Threshold(3.84)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IsProfessional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98.79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98.79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Unemployed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98.79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98.82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-0.03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0.06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HasCollege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98.82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99.02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-0.2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0.4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DualIncome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99.02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99.34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-0.32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0.64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ResidenceLength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99.34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99.9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-0.56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1.12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IsRetired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99.9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100.41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-0.51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1.02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PrevParentMag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100.41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101.2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-0.79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1.58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Own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101.2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102.18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-0.98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1.96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Minors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102.18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103.67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-1.49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2.98</w:t>
            </w:r>
          </w:p>
        </w:tc>
      </w:tr>
      <w:tr w:rsidR="00CB20FE" w:rsidRPr="00CB20FE" w:rsidTr="00CB20FE">
        <w:trPr>
          <w:trHeight w:val="300"/>
        </w:trPr>
        <w:tc>
          <w:tcPr>
            <w:tcW w:w="22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PrevChildMag</w:t>
            </w:r>
          </w:p>
        </w:tc>
        <w:tc>
          <w:tcPr>
            <w:tcW w:w="352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103.67</w:t>
            </w:r>
          </w:p>
        </w:tc>
        <w:tc>
          <w:tcPr>
            <w:tcW w:w="294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105.33</w:t>
            </w:r>
          </w:p>
        </w:tc>
        <w:tc>
          <w:tcPr>
            <w:tcW w:w="25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-1.66</w:t>
            </w:r>
          </w:p>
        </w:tc>
        <w:tc>
          <w:tcPr>
            <w:tcW w:w="3160" w:type="dxa"/>
            <w:noWrap/>
            <w:hideMark/>
          </w:tcPr>
          <w:p w:rsidR="00CB20FE" w:rsidRPr="00CB20FE" w:rsidRDefault="00CB20FE" w:rsidP="00CB20FE">
            <w:pPr>
              <w:jc w:val="center"/>
              <w:rPr>
                <w:sz w:val="18"/>
                <w:szCs w:val="18"/>
              </w:rPr>
            </w:pPr>
            <w:r w:rsidRPr="00CB20FE">
              <w:rPr>
                <w:sz w:val="18"/>
                <w:szCs w:val="18"/>
              </w:rPr>
              <w:t>3.32</w:t>
            </w:r>
          </w:p>
        </w:tc>
      </w:tr>
    </w:tbl>
    <w:p w:rsidR="00D42C11" w:rsidRDefault="00D42C11"/>
    <w:p w:rsidR="00D42C11" w:rsidRDefault="00D42C11">
      <w:r>
        <w:t xml:space="preserve">I removed each variable that </w:t>
      </w:r>
      <w:r w:rsidR="006C51F7">
        <w:t xml:space="preserve">has P-Value </w:t>
      </w:r>
      <w:r>
        <w:t xml:space="preserve">exceeds 0.05 significant level and the </w:t>
      </w:r>
      <w:r w:rsidR="006C51F7">
        <w:t xml:space="preserve">Loglikelihood </w:t>
      </w:r>
      <w:r>
        <w:t>error after removal doesn’t exceeds the 3.84 threshold criterion, as shown in the above table.</w:t>
      </w:r>
    </w:p>
    <w:p w:rsidR="00CB20FE" w:rsidRDefault="006C51F7">
      <w:r>
        <w:t>I stopped at English variable as the P-Value of this one doesn’t exceed 0.05 significant level.</w:t>
      </w:r>
    </w:p>
    <w:p w:rsidR="00D42C11" w:rsidRDefault="00D42C11">
      <w:r>
        <w:rPr>
          <w:noProof/>
        </w:rPr>
        <w:drawing>
          <wp:inline distT="0" distB="0" distL="0" distR="0">
            <wp:extent cx="1895475" cy="69833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05" cy="70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1F7" w:rsidRDefault="006C51F7">
      <w:r w:rsidRPr="006C51F7">
        <w:rPr>
          <w:u w:val="single"/>
        </w:rPr>
        <w:t>ANS</w:t>
      </w:r>
    </w:p>
    <w:p w:rsidR="006C51F7" w:rsidRDefault="006C51F7"/>
    <w:p w:rsidR="006C51F7" w:rsidRDefault="006C51F7">
      <w:r>
        <w:t>c)</w:t>
      </w:r>
    </w:p>
    <w:p w:rsidR="00EF1C30" w:rsidRDefault="00EF1C30">
      <w:r>
        <w:rPr>
          <w:noProof/>
        </w:rPr>
        <w:lastRenderedPageBreak/>
        <w:drawing>
          <wp:inline distT="0" distB="0" distL="0" distR="0">
            <wp:extent cx="2271431" cy="29003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186" cy="29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ED7" w:rsidRDefault="009D5ED7">
      <w:r>
        <w:t>As shown in the picture above, the final model is:</w:t>
      </w:r>
    </w:p>
    <w:p w:rsidR="009D5ED7" w:rsidRPr="00194CEA" w:rsidRDefault="00953373">
      <w:pPr>
        <w:rPr>
          <w:rFonts w:eastAsiaTheme="minorEastAsia"/>
          <w:sz w:val="1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noProof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noProof/>
                  <w:sz w:val="18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18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1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18"/>
                    </w:rPr>
                    <m:t>1-π</m:t>
                  </m:r>
                </m:den>
              </m:f>
              <m:r>
                <w:rPr>
                  <w:rFonts w:ascii="Cambria Math" w:hAnsi="Cambria Math"/>
                  <w:noProof/>
                  <w:sz w:val="18"/>
                </w:rPr>
                <m:t>= -14.12+0.0002*Income+1.38*IsFemale+1.24*IsMarried+1.89*English</m:t>
              </m:r>
            </m:e>
          </m:func>
        </m:oMath>
      </m:oMathPara>
    </w:p>
    <w:p w:rsidR="00194CEA" w:rsidRDefault="00194CEA" w:rsidP="00194CEA"/>
    <w:p w:rsidR="00194CEA" w:rsidRDefault="00194CEA" w:rsidP="00194CEA">
      <w:pPr>
        <w:rPr>
          <w:u w:val="single"/>
        </w:rPr>
      </w:pPr>
      <w:r>
        <w:t xml:space="preserve">Where π is the probability of buying “Kid Creative”. </w:t>
      </w:r>
      <w:r w:rsidRPr="00EC3FBE">
        <w:rPr>
          <w:u w:val="single"/>
        </w:rPr>
        <w:t>ANS</w:t>
      </w:r>
    </w:p>
    <w:p w:rsidR="00194CEA" w:rsidRDefault="00194CEA" w:rsidP="00194CEA">
      <w:pPr>
        <w:rPr>
          <w:u w:val="single"/>
        </w:rPr>
      </w:pPr>
    </w:p>
    <w:p w:rsidR="00EF1C30" w:rsidRDefault="00EF1C30" w:rsidP="00194CEA">
      <w:r>
        <w:t>d)</w:t>
      </w:r>
    </w:p>
    <w:p w:rsidR="00EF1C30" w:rsidRDefault="00EF1C30" w:rsidP="00194CEA">
      <w:r>
        <w:t>Yes,</w:t>
      </w:r>
      <w:r w:rsidR="00B738D9">
        <w:t xml:space="preserve"> at 0.05 </w:t>
      </w:r>
      <w:r w:rsidR="00F14CE2">
        <w:t xml:space="preserve">significant </w:t>
      </w:r>
      <w:r w:rsidR="00B738D9">
        <w:t>level,</w:t>
      </w:r>
      <w:r>
        <w:t xml:space="preserve"> the model is statistically significant overall. </w:t>
      </w:r>
      <w:r w:rsidR="00914B46">
        <w:t>Based on P-Value, a</w:t>
      </w:r>
      <w:r w:rsidR="00B70796">
        <w:t xml:space="preserve">t the Whole Model Test dialog, we can reject the null hypothesis that all </w:t>
      </w:r>
      <w:r w:rsidR="00BA30D1">
        <w:t>coefficients</w:t>
      </w:r>
      <w:r w:rsidR="00B70796">
        <w:t xml:space="preserve"> have 0 value and at Parameters Estimates dialog, we can reject the null hypothesis that each parameter has 0 value. </w:t>
      </w:r>
      <w:r w:rsidR="00B70796" w:rsidRPr="00B70796">
        <w:rPr>
          <w:u w:val="single"/>
        </w:rPr>
        <w:t>ANS</w:t>
      </w:r>
    </w:p>
    <w:p w:rsidR="00B70796" w:rsidRDefault="00E3308E" w:rsidP="00194CEA">
      <w:r>
        <w:t>e)</w:t>
      </w:r>
    </w:p>
    <w:p w:rsidR="00E3308E" w:rsidRDefault="00E3308E" w:rsidP="00194CEA">
      <w:r>
        <w:rPr>
          <w:noProof/>
        </w:rPr>
        <w:drawing>
          <wp:inline distT="0" distB="0" distL="0" distR="0">
            <wp:extent cx="182880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59" cy="61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08E" w:rsidRDefault="00E3308E" w:rsidP="00194CEA">
      <w:pPr>
        <w:rPr>
          <w:u w:val="single"/>
        </w:rPr>
      </w:pPr>
      <w:r>
        <w:t xml:space="preserve">From the dialog above, being female increases the odd of buying “Kid Creative” by nearly four times. </w:t>
      </w:r>
      <w:r w:rsidRPr="00E3308E">
        <w:rPr>
          <w:u w:val="single"/>
        </w:rPr>
        <w:t>ANS</w:t>
      </w:r>
    </w:p>
    <w:p w:rsidR="00682810" w:rsidRDefault="00682810" w:rsidP="00194CEA"/>
    <w:p w:rsidR="00682810" w:rsidRPr="00682810" w:rsidRDefault="00682810" w:rsidP="00194CEA">
      <w:r>
        <w:t>f)</w:t>
      </w:r>
    </w:p>
    <w:p w:rsidR="00E3308E" w:rsidRDefault="00525901" w:rsidP="00194CEA">
      <w:r>
        <w:t xml:space="preserve">94 % </w:t>
      </w:r>
      <w:r w:rsidRPr="00525901">
        <w:rPr>
          <w:u w:val="single"/>
        </w:rPr>
        <w:t>ANS</w:t>
      </w:r>
    </w:p>
    <w:p w:rsidR="00525901" w:rsidRDefault="00525901" w:rsidP="00194CEA"/>
    <w:p w:rsidR="00525901" w:rsidRDefault="00525901" w:rsidP="00194CEA">
      <w:r>
        <w:lastRenderedPageBreak/>
        <w:t>g)</w:t>
      </w:r>
    </w:p>
    <w:p w:rsidR="009F2191" w:rsidRDefault="009F2191" w:rsidP="00194CEA">
      <w:pPr>
        <w:rPr>
          <w:u w:val="single"/>
        </w:rPr>
      </w:pPr>
      <w:r>
        <w:t xml:space="preserve">Probability(Purchase) = </w:t>
      </w:r>
      <w:r w:rsidRPr="009F2191">
        <w:t>0.0001923417</w:t>
      </w:r>
      <w:r>
        <w:t xml:space="preserve"> </w:t>
      </w:r>
      <w:r w:rsidRPr="009F2191">
        <w:rPr>
          <w:u w:val="single"/>
        </w:rPr>
        <w:t>ANS</w:t>
      </w:r>
    </w:p>
    <w:p w:rsidR="009F2191" w:rsidRDefault="009F2191" w:rsidP="00194CEA"/>
    <w:p w:rsidR="00194CEA" w:rsidRDefault="00DE5D8A">
      <w:r>
        <w:t>III)</w:t>
      </w:r>
    </w:p>
    <w:p w:rsidR="00DE5D8A" w:rsidRDefault="00DE5D8A">
      <w:r>
        <w:t>a)</w:t>
      </w:r>
    </w:p>
    <w:p w:rsidR="00FE6965" w:rsidRDefault="00FE6965">
      <w:r>
        <w:rPr>
          <w:noProof/>
        </w:rPr>
        <w:drawing>
          <wp:inline distT="0" distB="0" distL="0" distR="0">
            <wp:extent cx="1600200" cy="400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556" cy="40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965" w:rsidRDefault="00FE6965">
      <w:r>
        <w:t>The fitted equation is:</w:t>
      </w:r>
    </w:p>
    <w:p w:rsidR="00FE6965" w:rsidRPr="00FE6965" w:rsidRDefault="00FE69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Unemp= -234843.1+121.75601*Year</m:t>
          </m:r>
        </m:oMath>
      </m:oMathPara>
    </w:p>
    <w:p w:rsidR="00FE6965" w:rsidRDefault="00FE6965">
      <w:pPr>
        <w:rPr>
          <w:rFonts w:eastAsiaTheme="minorEastAsia"/>
        </w:rPr>
      </w:pPr>
      <w:r w:rsidRPr="00FE6965">
        <w:rPr>
          <w:rFonts w:eastAsiaTheme="minorEastAsia"/>
          <w:u w:val="single"/>
        </w:rPr>
        <w:t>ANS</w:t>
      </w:r>
    </w:p>
    <w:p w:rsidR="00FE6965" w:rsidRDefault="00FE6965">
      <w:pPr>
        <w:rPr>
          <w:rFonts w:eastAsiaTheme="minorEastAsia"/>
        </w:rPr>
      </w:pPr>
    </w:p>
    <w:p w:rsidR="00FE6965" w:rsidRDefault="00FE6965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4306AA" w:rsidRDefault="00EA7BFA">
      <w:pPr>
        <w:rPr>
          <w:rFonts w:eastAsiaTheme="minorEastAsia"/>
        </w:rPr>
      </w:pPr>
      <w:r>
        <w:rPr>
          <w:rFonts w:eastAsiaTheme="minorEastAsia"/>
        </w:rPr>
        <w:t>Autocorrelation can be shown by the residual plot</w:t>
      </w:r>
    </w:p>
    <w:p w:rsidR="00EA7BFA" w:rsidRDefault="00EA7BFA">
      <w:r>
        <w:rPr>
          <w:noProof/>
        </w:rPr>
        <w:drawing>
          <wp:inline distT="0" distB="0" distL="0" distR="0">
            <wp:extent cx="1495425" cy="11412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72" cy="115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FA" w:rsidRDefault="009F26EC">
      <w:r>
        <w:t>It can be also shown by Durbin-Watson Statistics</w:t>
      </w:r>
    </w:p>
    <w:p w:rsidR="009F26EC" w:rsidRDefault="009F26EC">
      <w:r>
        <w:rPr>
          <w:noProof/>
        </w:rPr>
        <w:drawing>
          <wp:inline distT="0" distB="0" distL="0" distR="0">
            <wp:extent cx="1714500" cy="4259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406" cy="43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6EC" w:rsidRDefault="009F26EC">
      <w:r>
        <w:t xml:space="preserve">With 0.05 significant level, we can reject the null hypothesis that there is no autocorrelation. Durbin-Watson Statistics is also close to 0 means there is a positive autocorrelation. </w:t>
      </w:r>
      <w:r w:rsidRPr="009F26EC">
        <w:rPr>
          <w:u w:val="single"/>
        </w:rPr>
        <w:t>ANS</w:t>
      </w:r>
    </w:p>
    <w:p w:rsidR="009F26EC" w:rsidRDefault="009F26EC"/>
    <w:p w:rsidR="009F26EC" w:rsidRDefault="003E1F01">
      <w:r>
        <w:t>c)</w:t>
      </w:r>
    </w:p>
    <w:p w:rsidR="003E1F01" w:rsidRDefault="00EB0DB7">
      <w:r>
        <w:t>1. I tried encoding Year to start from 1 and add a quadratic term of Year to the model</w:t>
      </w:r>
      <w:r w:rsidR="001542BD">
        <w:t>. Autocorrelation still presents.</w:t>
      </w:r>
    </w:p>
    <w:p w:rsidR="001542BD" w:rsidRDefault="001542BD">
      <w:r>
        <w:t>2.</w:t>
      </w:r>
      <w:r w:rsidR="000F5F7C">
        <w:t xml:space="preserve"> I take a look at Time Series Modelling of Unemp and found that the </w:t>
      </w:r>
      <w:r w:rsidR="00702CB6">
        <w:t xml:space="preserve">Dicky-Fuller </w:t>
      </w:r>
      <w:r w:rsidR="000F5F7C">
        <w:t>Test Statistics of all random walk models(Random Walk, Random Walk with Drift, Random Walk with Drift + Trend) indicate Unemp series is not stationary.</w:t>
      </w:r>
    </w:p>
    <w:p w:rsidR="000F5F7C" w:rsidRDefault="000F5F7C">
      <w:r>
        <w:lastRenderedPageBreak/>
        <w:t xml:space="preserve">3. I </w:t>
      </w:r>
      <w:r w:rsidR="001F4D36">
        <w:t>repeat the step 2 again, by using a dependent variable Unemp(t) – Unemp(t-1)</w:t>
      </w:r>
      <w:r w:rsidR="00663B8E">
        <w:t>. Now, all Test Statistics</w:t>
      </w:r>
      <w:r w:rsidR="00EC4A60">
        <w:t xml:space="preserve"> show</w:t>
      </w:r>
      <w:r w:rsidR="00663B8E">
        <w:t xml:space="preserve"> that the series is stationary. </w:t>
      </w:r>
    </w:p>
    <w:p w:rsidR="00663B8E" w:rsidRDefault="00663B8E">
      <w:r>
        <w:t>4. I look at PACF plot of 3. and noted that some lags at later interval</w:t>
      </w:r>
      <w:r w:rsidR="00D940B0">
        <w:t>s</w:t>
      </w:r>
      <w:bookmarkStart w:id="0" w:name="_GoBack"/>
      <w:bookmarkEnd w:id="0"/>
      <w:r>
        <w:t xml:space="preserve"> spike up again and nearly touch the significant threshold, so Integrated with order higher than 1 may</w:t>
      </w:r>
      <w:r w:rsidR="001E5DF4">
        <w:t xml:space="preserve"> </w:t>
      </w:r>
      <w:r>
        <w:t>be needed.</w:t>
      </w:r>
    </w:p>
    <w:p w:rsidR="00663B8E" w:rsidRDefault="00663B8E">
      <w:r>
        <w:t>5.</w:t>
      </w:r>
      <w:r w:rsidR="002C41D3">
        <w:t xml:space="preserve"> I go back to 2. and use ARIMA Model Group to let JMP discovers which model is the best predict</w:t>
      </w:r>
      <w:r w:rsidR="004C3F09">
        <w:t>or</w:t>
      </w:r>
      <w:r w:rsidR="002C41D3">
        <w:t>.</w:t>
      </w:r>
    </w:p>
    <w:p w:rsidR="002C41D3" w:rsidRDefault="002C41D3">
      <w:r>
        <w:rPr>
          <w:noProof/>
        </w:rPr>
        <w:drawing>
          <wp:inline distT="0" distB="0" distL="0" distR="0">
            <wp:extent cx="1171575" cy="63858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515" cy="6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C6" w:rsidRDefault="002C41D3">
      <w:r>
        <w:t>6.</w:t>
      </w:r>
      <w:r w:rsidR="000858A3">
        <w:t xml:space="preserve"> I get ARIMA(1,2,3) as the best prediction</w:t>
      </w:r>
      <w:r w:rsidR="00F24764">
        <w:t xml:space="preserve"> model</w:t>
      </w:r>
      <w:r w:rsidR="000858A3">
        <w:t>, as shown below:</w:t>
      </w:r>
    </w:p>
    <w:p w:rsidR="00CB3318" w:rsidRDefault="00CB3318">
      <w:r>
        <w:rPr>
          <w:noProof/>
        </w:rPr>
        <w:drawing>
          <wp:inline distT="0" distB="0" distL="0" distR="0">
            <wp:extent cx="3467100" cy="10134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08" cy="101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329" w:rsidRDefault="000043CD">
      <w:r>
        <w:rPr>
          <w:noProof/>
        </w:rPr>
        <w:drawing>
          <wp:inline distT="0" distB="0" distL="0" distR="0">
            <wp:extent cx="1743075" cy="2775753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443" cy="2784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CD" w:rsidRDefault="000043CD">
      <w:r w:rsidRPr="000043CD">
        <w:rPr>
          <w:u w:val="single"/>
        </w:rPr>
        <w:t>ANS</w:t>
      </w:r>
    </w:p>
    <w:p w:rsidR="00206A87" w:rsidRDefault="00206A87"/>
    <w:p w:rsidR="000043CD" w:rsidRDefault="000043CD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2470"/>
        <w:gridCol w:w="2352"/>
        <w:gridCol w:w="2354"/>
      </w:tblGrid>
      <w:tr w:rsidR="00232171" w:rsidTr="00232171">
        <w:tc>
          <w:tcPr>
            <w:tcW w:w="2174" w:type="dxa"/>
          </w:tcPr>
          <w:p w:rsidR="00232171" w:rsidRDefault="00232171" w:rsidP="00232171">
            <w:pPr>
              <w:jc w:val="center"/>
            </w:pPr>
            <w:r>
              <w:t>Year</w:t>
            </w:r>
          </w:p>
        </w:tc>
        <w:tc>
          <w:tcPr>
            <w:tcW w:w="2470" w:type="dxa"/>
          </w:tcPr>
          <w:p w:rsidR="00232171" w:rsidRDefault="00232171" w:rsidP="00232171">
            <w:pPr>
              <w:jc w:val="center"/>
            </w:pPr>
            <w:r>
              <w:t>Prediction</w:t>
            </w:r>
          </w:p>
        </w:tc>
        <w:tc>
          <w:tcPr>
            <w:tcW w:w="2352" w:type="dxa"/>
          </w:tcPr>
          <w:p w:rsidR="00232171" w:rsidRDefault="00232171" w:rsidP="00232171">
            <w:pPr>
              <w:jc w:val="center"/>
            </w:pPr>
            <w:r>
              <w:t>Lower</w:t>
            </w:r>
          </w:p>
        </w:tc>
        <w:tc>
          <w:tcPr>
            <w:tcW w:w="2354" w:type="dxa"/>
          </w:tcPr>
          <w:p w:rsidR="00232171" w:rsidRDefault="00232171" w:rsidP="00232171">
            <w:pPr>
              <w:jc w:val="center"/>
            </w:pPr>
            <w:r>
              <w:t>Upper</w:t>
            </w:r>
          </w:p>
        </w:tc>
      </w:tr>
      <w:tr w:rsidR="00232171" w:rsidTr="00232171">
        <w:tc>
          <w:tcPr>
            <w:tcW w:w="2174" w:type="dxa"/>
          </w:tcPr>
          <w:p w:rsidR="00232171" w:rsidRDefault="00232171" w:rsidP="00232171">
            <w:pPr>
              <w:jc w:val="center"/>
            </w:pPr>
            <w:r>
              <w:t>2011</w:t>
            </w:r>
          </w:p>
        </w:tc>
        <w:tc>
          <w:tcPr>
            <w:tcW w:w="2470" w:type="dxa"/>
          </w:tcPr>
          <w:p w:rsidR="00232171" w:rsidRDefault="00985930" w:rsidP="00232171">
            <w:pPr>
              <w:jc w:val="center"/>
            </w:pPr>
            <w:r w:rsidRPr="00985930">
              <w:t>12830.25</w:t>
            </w:r>
          </w:p>
        </w:tc>
        <w:tc>
          <w:tcPr>
            <w:tcW w:w="2352" w:type="dxa"/>
          </w:tcPr>
          <w:p w:rsidR="00232171" w:rsidRDefault="00985930" w:rsidP="00232171">
            <w:pPr>
              <w:jc w:val="center"/>
            </w:pPr>
            <w:r w:rsidRPr="00985930">
              <w:t>10686.12</w:t>
            </w:r>
          </w:p>
        </w:tc>
        <w:tc>
          <w:tcPr>
            <w:tcW w:w="2354" w:type="dxa"/>
          </w:tcPr>
          <w:p w:rsidR="00232171" w:rsidRDefault="00985930" w:rsidP="00232171">
            <w:pPr>
              <w:jc w:val="center"/>
            </w:pPr>
            <w:r w:rsidRPr="00985930">
              <w:t>14974.3</w:t>
            </w:r>
            <w:r w:rsidR="009033B7">
              <w:t>8</w:t>
            </w:r>
          </w:p>
        </w:tc>
      </w:tr>
      <w:tr w:rsidR="00232171" w:rsidTr="00232171">
        <w:tc>
          <w:tcPr>
            <w:tcW w:w="2174" w:type="dxa"/>
          </w:tcPr>
          <w:p w:rsidR="00232171" w:rsidRDefault="00232171" w:rsidP="00232171">
            <w:pPr>
              <w:jc w:val="center"/>
            </w:pPr>
            <w:r>
              <w:t>2012</w:t>
            </w:r>
          </w:p>
        </w:tc>
        <w:tc>
          <w:tcPr>
            <w:tcW w:w="2470" w:type="dxa"/>
          </w:tcPr>
          <w:p w:rsidR="00232171" w:rsidRDefault="00985930" w:rsidP="00232171">
            <w:pPr>
              <w:jc w:val="center"/>
            </w:pPr>
            <w:r w:rsidRPr="00985930">
              <w:t>13663.1</w:t>
            </w:r>
            <w:r w:rsidR="009033B7">
              <w:t>5</w:t>
            </w:r>
          </w:p>
        </w:tc>
        <w:tc>
          <w:tcPr>
            <w:tcW w:w="2352" w:type="dxa"/>
          </w:tcPr>
          <w:p w:rsidR="00232171" w:rsidRDefault="00985930" w:rsidP="00232171">
            <w:pPr>
              <w:jc w:val="center"/>
            </w:pPr>
            <w:r w:rsidRPr="00985930">
              <w:t>9961.9</w:t>
            </w:r>
            <w:r w:rsidR="009033B7">
              <w:t>8</w:t>
            </w:r>
          </w:p>
        </w:tc>
        <w:tc>
          <w:tcPr>
            <w:tcW w:w="2354" w:type="dxa"/>
          </w:tcPr>
          <w:p w:rsidR="00232171" w:rsidRDefault="009033B7" w:rsidP="00232171">
            <w:pPr>
              <w:jc w:val="center"/>
            </w:pPr>
            <w:r>
              <w:t>17364.32</w:t>
            </w:r>
          </w:p>
        </w:tc>
      </w:tr>
    </w:tbl>
    <w:p w:rsidR="000043CD" w:rsidRDefault="000043CD"/>
    <w:p w:rsidR="00985930" w:rsidRPr="00985930" w:rsidRDefault="00985930">
      <w:pPr>
        <w:rPr>
          <w:u w:val="single"/>
        </w:rPr>
      </w:pPr>
      <w:r w:rsidRPr="00985930">
        <w:rPr>
          <w:u w:val="single"/>
        </w:rPr>
        <w:t>ANS</w:t>
      </w:r>
    </w:p>
    <w:sectPr w:rsidR="00985930" w:rsidRPr="00985930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373" w:rsidRDefault="00953373" w:rsidP="00234F61">
      <w:pPr>
        <w:spacing w:after="0" w:line="240" w:lineRule="auto"/>
      </w:pPr>
      <w:r>
        <w:separator/>
      </w:r>
    </w:p>
  </w:endnote>
  <w:endnote w:type="continuationSeparator" w:id="0">
    <w:p w:rsidR="00953373" w:rsidRDefault="00953373" w:rsidP="00234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373" w:rsidRDefault="00953373" w:rsidP="00234F61">
      <w:pPr>
        <w:spacing w:after="0" w:line="240" w:lineRule="auto"/>
      </w:pPr>
      <w:r>
        <w:separator/>
      </w:r>
    </w:p>
  </w:footnote>
  <w:footnote w:type="continuationSeparator" w:id="0">
    <w:p w:rsidR="00953373" w:rsidRDefault="00953373" w:rsidP="00234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4F61" w:rsidRDefault="00234F61" w:rsidP="00234F61">
    <w:pPr>
      <w:pStyle w:val="Header"/>
      <w:jc w:val="right"/>
    </w:pPr>
    <w:r>
      <w:t>Vitid Nakareseisoon(ID:9623-5872-43)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73E4C"/>
    <w:multiLevelType w:val="hybridMultilevel"/>
    <w:tmpl w:val="112C1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790"/>
    <w:rsid w:val="000043CD"/>
    <w:rsid w:val="00015BAE"/>
    <w:rsid w:val="000172B0"/>
    <w:rsid w:val="00020448"/>
    <w:rsid w:val="00030E64"/>
    <w:rsid w:val="000426EC"/>
    <w:rsid w:val="00042BD7"/>
    <w:rsid w:val="000858A3"/>
    <w:rsid w:val="000C1313"/>
    <w:rsid w:val="000C50F1"/>
    <w:rsid w:val="000C60BE"/>
    <w:rsid w:val="000E399F"/>
    <w:rsid w:val="000E7F78"/>
    <w:rsid w:val="000F347F"/>
    <w:rsid w:val="000F5F7C"/>
    <w:rsid w:val="000F765D"/>
    <w:rsid w:val="00133329"/>
    <w:rsid w:val="001542BD"/>
    <w:rsid w:val="001566C0"/>
    <w:rsid w:val="00194CEA"/>
    <w:rsid w:val="001B7010"/>
    <w:rsid w:val="001E5DF4"/>
    <w:rsid w:val="001F4D36"/>
    <w:rsid w:val="00206A87"/>
    <w:rsid w:val="00231C97"/>
    <w:rsid w:val="00232171"/>
    <w:rsid w:val="00234F61"/>
    <w:rsid w:val="00266A72"/>
    <w:rsid w:val="002B207F"/>
    <w:rsid w:val="002C19E7"/>
    <w:rsid w:val="002C41D3"/>
    <w:rsid w:val="003010FB"/>
    <w:rsid w:val="00337ABF"/>
    <w:rsid w:val="003807C6"/>
    <w:rsid w:val="00381FF7"/>
    <w:rsid w:val="003E1F01"/>
    <w:rsid w:val="004306AA"/>
    <w:rsid w:val="00430E1F"/>
    <w:rsid w:val="00433266"/>
    <w:rsid w:val="0049232C"/>
    <w:rsid w:val="004B38A3"/>
    <w:rsid w:val="004C3F09"/>
    <w:rsid w:val="004E1C44"/>
    <w:rsid w:val="00506DC0"/>
    <w:rsid w:val="005164EA"/>
    <w:rsid w:val="00525901"/>
    <w:rsid w:val="005412EB"/>
    <w:rsid w:val="00575E86"/>
    <w:rsid w:val="00576790"/>
    <w:rsid w:val="00583755"/>
    <w:rsid w:val="005B4DE4"/>
    <w:rsid w:val="005E60EA"/>
    <w:rsid w:val="006317BA"/>
    <w:rsid w:val="00663B8E"/>
    <w:rsid w:val="00671A13"/>
    <w:rsid w:val="00682810"/>
    <w:rsid w:val="00694C9A"/>
    <w:rsid w:val="006C51F7"/>
    <w:rsid w:val="006C7DE6"/>
    <w:rsid w:val="006D354E"/>
    <w:rsid w:val="006F112F"/>
    <w:rsid w:val="00702CB6"/>
    <w:rsid w:val="00706A33"/>
    <w:rsid w:val="00724B79"/>
    <w:rsid w:val="0073318A"/>
    <w:rsid w:val="007509FC"/>
    <w:rsid w:val="00760545"/>
    <w:rsid w:val="007835D1"/>
    <w:rsid w:val="00785A8C"/>
    <w:rsid w:val="007B10F7"/>
    <w:rsid w:val="008468CB"/>
    <w:rsid w:val="008730DD"/>
    <w:rsid w:val="008948A8"/>
    <w:rsid w:val="008A0C6B"/>
    <w:rsid w:val="008B5FCC"/>
    <w:rsid w:val="008C0237"/>
    <w:rsid w:val="009011B7"/>
    <w:rsid w:val="009033B7"/>
    <w:rsid w:val="00914B46"/>
    <w:rsid w:val="00917939"/>
    <w:rsid w:val="00935D47"/>
    <w:rsid w:val="00953373"/>
    <w:rsid w:val="00965D7C"/>
    <w:rsid w:val="00985930"/>
    <w:rsid w:val="0098735B"/>
    <w:rsid w:val="009D5E44"/>
    <w:rsid w:val="009D5ED7"/>
    <w:rsid w:val="009E472E"/>
    <w:rsid w:val="009F2191"/>
    <w:rsid w:val="009F26EC"/>
    <w:rsid w:val="00A0024F"/>
    <w:rsid w:val="00A6560B"/>
    <w:rsid w:val="00A77E32"/>
    <w:rsid w:val="00A8377A"/>
    <w:rsid w:val="00A867A2"/>
    <w:rsid w:val="00AA4CA3"/>
    <w:rsid w:val="00AD2296"/>
    <w:rsid w:val="00B00F7C"/>
    <w:rsid w:val="00B053BF"/>
    <w:rsid w:val="00B51687"/>
    <w:rsid w:val="00B70796"/>
    <w:rsid w:val="00B738D9"/>
    <w:rsid w:val="00B866FB"/>
    <w:rsid w:val="00BA30D1"/>
    <w:rsid w:val="00BA4A59"/>
    <w:rsid w:val="00BA778A"/>
    <w:rsid w:val="00BB2CEF"/>
    <w:rsid w:val="00BF1880"/>
    <w:rsid w:val="00C20EF1"/>
    <w:rsid w:val="00C83662"/>
    <w:rsid w:val="00C90AA4"/>
    <w:rsid w:val="00CA0D26"/>
    <w:rsid w:val="00CB20FE"/>
    <w:rsid w:val="00CB3318"/>
    <w:rsid w:val="00CD2838"/>
    <w:rsid w:val="00D11DA9"/>
    <w:rsid w:val="00D13E04"/>
    <w:rsid w:val="00D30EE7"/>
    <w:rsid w:val="00D42C11"/>
    <w:rsid w:val="00D444FB"/>
    <w:rsid w:val="00D604F4"/>
    <w:rsid w:val="00D9355F"/>
    <w:rsid w:val="00D940B0"/>
    <w:rsid w:val="00DE5D8A"/>
    <w:rsid w:val="00E0309B"/>
    <w:rsid w:val="00E17D4D"/>
    <w:rsid w:val="00E3308E"/>
    <w:rsid w:val="00E47CC6"/>
    <w:rsid w:val="00EA7BFA"/>
    <w:rsid w:val="00EB0DB7"/>
    <w:rsid w:val="00EC1689"/>
    <w:rsid w:val="00EC3FBE"/>
    <w:rsid w:val="00EC4A60"/>
    <w:rsid w:val="00EF192B"/>
    <w:rsid w:val="00EF1C30"/>
    <w:rsid w:val="00F003D9"/>
    <w:rsid w:val="00F14CE2"/>
    <w:rsid w:val="00F24764"/>
    <w:rsid w:val="00F511C1"/>
    <w:rsid w:val="00F97194"/>
    <w:rsid w:val="00FC0081"/>
    <w:rsid w:val="00FE1E8E"/>
    <w:rsid w:val="00FE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757C"/>
  <w15:chartTrackingRefBased/>
  <w15:docId w15:val="{0854495D-E71B-4AD3-BAFF-27EB5801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11C1"/>
    <w:rPr>
      <w:color w:val="808080"/>
    </w:rPr>
  </w:style>
  <w:style w:type="table" w:styleId="TableGrid">
    <w:name w:val="Table Grid"/>
    <w:basedOn w:val="TableNormal"/>
    <w:uiPriority w:val="39"/>
    <w:rsid w:val="006D3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7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F61"/>
  </w:style>
  <w:style w:type="paragraph" w:styleId="Footer">
    <w:name w:val="footer"/>
    <w:basedOn w:val="Normal"/>
    <w:link w:val="FooterChar"/>
    <w:uiPriority w:val="99"/>
    <w:unhideWhenUsed/>
    <w:rsid w:val="00234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2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10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159</cp:revision>
  <dcterms:created xsi:type="dcterms:W3CDTF">2017-03-04T02:08:00Z</dcterms:created>
  <dcterms:modified xsi:type="dcterms:W3CDTF">2017-03-05T23:50:00Z</dcterms:modified>
</cp:coreProperties>
</file>