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5860A" w14:textId="1F2A9761" w:rsidR="00097D28" w:rsidRPr="00097D28" w:rsidRDefault="00097D28" w:rsidP="00097D28">
      <w:pPr>
        <w:widowControl w:val="0"/>
        <w:spacing w:line="360" w:lineRule="auto"/>
        <w:jc w:val="both"/>
        <w:rPr>
          <w:b/>
          <w:bCs/>
          <w:lang w:val="es-ES_tradnl"/>
        </w:rPr>
      </w:pPr>
      <w:bookmarkStart w:id="0" w:name="_Toc85022736"/>
      <w:r w:rsidRPr="00097D28">
        <w:rPr>
          <w:b/>
          <w:bCs/>
          <w:iCs/>
          <w:color w:val="000000" w:themeColor="text1"/>
          <w:lang w:val="es-ES_tradnl" w:eastAsia="tr-TR"/>
        </w:rPr>
        <w:t xml:space="preserve">Anexo </w:t>
      </w:r>
      <w:r>
        <w:rPr>
          <w:b/>
          <w:bCs/>
          <w:iCs/>
          <w:color w:val="000000" w:themeColor="text1"/>
          <w:lang w:val="es-ES_tradnl" w:eastAsia="tr-TR"/>
        </w:rPr>
        <w:t>4</w:t>
      </w:r>
      <w:r w:rsidRPr="00097D28">
        <w:rPr>
          <w:b/>
          <w:bCs/>
          <w:iCs/>
          <w:color w:val="000000" w:themeColor="text1"/>
          <w:lang w:val="es-ES_tradnl" w:eastAsia="tr-TR"/>
        </w:rPr>
        <w:t>.</w:t>
      </w:r>
      <w:bookmarkEnd w:id="0"/>
    </w:p>
    <w:p w14:paraId="5E7CE90D" w14:textId="2D49D124" w:rsidR="00097D28" w:rsidRPr="00097D28" w:rsidRDefault="00097D28" w:rsidP="00097D28">
      <w:pPr>
        <w:widowControl w:val="0"/>
        <w:jc w:val="both"/>
        <w:rPr>
          <w:rFonts w:eastAsia="Arial"/>
          <w:bCs/>
          <w:lang w:val="es-ES_tradnl"/>
        </w:rPr>
      </w:pPr>
      <w:r w:rsidRPr="00097D28">
        <w:rPr>
          <w:bCs/>
          <w:lang w:val="es-ES_tradnl"/>
        </w:rPr>
        <w:t xml:space="preserve">Matriz de </w:t>
      </w:r>
      <w:r w:rsidRPr="00097D28">
        <w:rPr>
          <w:bCs/>
          <w:lang w:val="es-ES_tradnl"/>
        </w:rPr>
        <w:t>consistencia:</w:t>
      </w:r>
      <w:r w:rsidRPr="00097D28">
        <w:rPr>
          <w:bCs/>
          <w:lang w:val="es-ES_tradnl"/>
        </w:rPr>
        <w:t xml:space="preserve"> </w:t>
      </w:r>
      <w:r w:rsidRPr="00097D28">
        <w:rPr>
          <w:rFonts w:eastAsia="Arial"/>
          <w:bCs/>
          <w:lang w:val="es-ES_tradnl"/>
        </w:rPr>
        <w:t>“Análisis exploratorio situacional de la morosidad en las instituciones educativas de la Región Norte Central: Caso de estudio”.</w:t>
      </w:r>
    </w:p>
    <w:tbl>
      <w:tblPr>
        <w:tblStyle w:val="Tablanormal2"/>
        <w:tblW w:w="13892" w:type="dxa"/>
        <w:tblInd w:w="-284" w:type="dxa"/>
        <w:tblLook w:val="04A0" w:firstRow="1" w:lastRow="0" w:firstColumn="1" w:lastColumn="0" w:noHBand="0" w:noVBand="1"/>
      </w:tblPr>
      <w:tblGrid>
        <w:gridCol w:w="1511"/>
        <w:gridCol w:w="1373"/>
        <w:gridCol w:w="2010"/>
        <w:gridCol w:w="1756"/>
        <w:gridCol w:w="2142"/>
        <w:gridCol w:w="1416"/>
        <w:gridCol w:w="1839"/>
        <w:gridCol w:w="1845"/>
      </w:tblGrid>
      <w:tr w:rsidR="00097D28" w:rsidRPr="00097D28" w14:paraId="2F06601C" w14:textId="77777777" w:rsidTr="00097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tcBorders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2220560B" w14:textId="77777777" w:rsidR="00097D28" w:rsidRPr="00097D28" w:rsidRDefault="00097D28" w:rsidP="009F4211">
            <w:pPr>
              <w:jc w:val="center"/>
              <w:rPr>
                <w:rFonts w:ascii="Arial" w:hAnsi="Arial" w:cs="Arial"/>
                <w:lang w:val="es-ES_tradnl"/>
              </w:rPr>
            </w:pPr>
            <w:bookmarkStart w:id="1" w:name="_Toc85022738"/>
            <w:r w:rsidRPr="00097D28">
              <w:rPr>
                <w:rFonts w:ascii="Arial" w:hAnsi="Arial" w:cs="Arial"/>
                <w:lang w:val="es-ES_tradnl"/>
              </w:rPr>
              <w:t>PROBLEMA GENERAL</w:t>
            </w:r>
          </w:p>
        </w:tc>
        <w:tc>
          <w:tcPr>
            <w:tcW w:w="1163" w:type="dxa"/>
            <w:tcBorders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4D91AC27" w14:textId="77777777" w:rsidR="00097D28" w:rsidRPr="00097D28" w:rsidRDefault="00097D28" w:rsidP="009F42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097D28">
              <w:rPr>
                <w:rFonts w:ascii="Arial" w:hAnsi="Arial" w:cs="Arial"/>
                <w:lang w:val="es-ES_tradnl"/>
              </w:rPr>
              <w:t>OBJETIVO GENERAL</w:t>
            </w:r>
          </w:p>
        </w:tc>
        <w:tc>
          <w:tcPr>
            <w:tcW w:w="2072" w:type="dxa"/>
            <w:tcBorders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68862AEF" w14:textId="77777777" w:rsidR="00097D28" w:rsidRPr="00097D28" w:rsidRDefault="00097D28" w:rsidP="009F42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097D28">
              <w:rPr>
                <w:rFonts w:ascii="Arial" w:hAnsi="Arial" w:cs="Arial"/>
                <w:lang w:val="es-ES_tradnl"/>
              </w:rPr>
              <w:t>PREGUNTAS</w:t>
            </w:r>
          </w:p>
        </w:tc>
        <w:tc>
          <w:tcPr>
            <w:tcW w:w="1782" w:type="dxa"/>
            <w:tcBorders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7E29F9B3" w14:textId="77777777" w:rsidR="00097D28" w:rsidRPr="00097D28" w:rsidRDefault="00097D28" w:rsidP="009F42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097D28">
              <w:rPr>
                <w:rFonts w:ascii="Arial" w:hAnsi="Arial" w:cs="Arial"/>
                <w:lang w:val="es-ES_tradnl"/>
              </w:rPr>
              <w:t>OBJETIVOS ESPECÍFICOS</w:t>
            </w:r>
          </w:p>
        </w:tc>
        <w:tc>
          <w:tcPr>
            <w:tcW w:w="2240" w:type="dxa"/>
            <w:tcBorders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2B5D30EE" w14:textId="2B08EDEF" w:rsidR="00097D28" w:rsidRPr="00097D28" w:rsidRDefault="00097D28" w:rsidP="009F42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097D28">
              <w:rPr>
                <w:rFonts w:ascii="Arial" w:hAnsi="Arial" w:cs="Arial"/>
                <w:lang w:val="es-ES_tradnl"/>
              </w:rPr>
              <w:t>MARCO TEÓRICO</w:t>
            </w:r>
          </w:p>
        </w:tc>
        <w:tc>
          <w:tcPr>
            <w:tcW w:w="1416" w:type="dxa"/>
            <w:tcBorders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312AD954" w14:textId="77777777" w:rsidR="00097D28" w:rsidRPr="00097D28" w:rsidRDefault="00097D28" w:rsidP="009F42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097D28">
              <w:rPr>
                <w:rFonts w:ascii="Arial" w:hAnsi="Arial" w:cs="Arial"/>
                <w:lang w:val="es-ES_tradnl"/>
              </w:rPr>
              <w:t>CATEGORIA</w:t>
            </w:r>
          </w:p>
        </w:tc>
        <w:tc>
          <w:tcPr>
            <w:tcW w:w="1839" w:type="dxa"/>
            <w:tcBorders>
              <w:left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53E02E33" w14:textId="77777777" w:rsidR="00097D28" w:rsidRPr="00097D28" w:rsidRDefault="00097D28" w:rsidP="009F42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097D28">
              <w:rPr>
                <w:rFonts w:ascii="Arial" w:hAnsi="Arial" w:cs="Arial"/>
                <w:lang w:val="es-ES_tradnl"/>
              </w:rPr>
              <w:t>SUBCATEGORIA</w:t>
            </w:r>
          </w:p>
        </w:tc>
        <w:tc>
          <w:tcPr>
            <w:tcW w:w="1849" w:type="dxa"/>
            <w:tcBorders>
              <w:left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5A594DB1" w14:textId="77777777" w:rsidR="00097D28" w:rsidRPr="00097D28" w:rsidRDefault="00097D28" w:rsidP="009F42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097D28">
              <w:rPr>
                <w:rFonts w:ascii="Arial" w:hAnsi="Arial" w:cs="Arial"/>
                <w:lang w:val="es-ES_tradnl"/>
              </w:rPr>
              <w:t>INSTRUMENTOS</w:t>
            </w:r>
          </w:p>
        </w:tc>
      </w:tr>
      <w:tr w:rsidR="00097D28" w:rsidRPr="00097D28" w14:paraId="4E77AEDD" w14:textId="77777777" w:rsidTr="00097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Merge w:val="restart"/>
            <w:tcBorders>
              <w:top w:val="single" w:sz="4" w:space="0" w:color="156082" w:themeColor="accent1"/>
              <w:left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22A1DFBA" w14:textId="77777777" w:rsidR="00097D28" w:rsidRPr="00097D28" w:rsidRDefault="00097D28" w:rsidP="009F4211">
            <w:pPr>
              <w:jc w:val="both"/>
              <w:rPr>
                <w:rFonts w:ascii="Arial" w:hAnsi="Arial" w:cs="Arial"/>
                <w:b w:val="0"/>
                <w:bCs w:val="0"/>
                <w:lang w:val="es-ES_tradnl"/>
              </w:rPr>
            </w:pPr>
            <w:r w:rsidRPr="00097D28">
              <w:rPr>
                <w:rFonts w:ascii="Arial" w:hAnsi="Arial" w:cs="Arial"/>
                <w:b w:val="0"/>
                <w:bCs w:val="0"/>
                <w:lang w:val="es-ES_tradnl"/>
              </w:rPr>
              <w:t>¿Cuáles son los factores situacionales que influyen en la morosidad en instituciones educativas de la Región Norte Central y cómo afectan su estabilidad financiera y operativa, así como la efectividad de las estrategias de cobranza actuales?</w:t>
            </w:r>
          </w:p>
        </w:tc>
        <w:tc>
          <w:tcPr>
            <w:tcW w:w="1163" w:type="dxa"/>
            <w:vMerge w:val="restart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371095F9" w14:textId="77777777" w:rsidR="00097D28" w:rsidRPr="00097D28" w:rsidRDefault="00097D28" w:rsidP="009F42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097D28">
              <w:rPr>
                <w:rFonts w:ascii="Arial" w:hAnsi="Arial" w:cs="Arial"/>
                <w:color w:val="000000" w:themeColor="text1"/>
                <w:lang w:val="es-ES_tradnl"/>
              </w:rPr>
              <w:t>Determinar los factores situacionales de la morosidad en instituciones educativas de la Región Norte Central</w:t>
            </w:r>
          </w:p>
          <w:p w14:paraId="12563C2A" w14:textId="77777777" w:rsidR="00097D28" w:rsidRPr="00097D28" w:rsidRDefault="00097D28" w:rsidP="009F42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highlight w:val="yellow"/>
                <w:lang w:val="es-ES_tradnl"/>
              </w:rPr>
            </w:pPr>
          </w:p>
        </w:tc>
        <w:tc>
          <w:tcPr>
            <w:tcW w:w="2072" w:type="dxa"/>
            <w:vMerge w:val="restart"/>
            <w:tcBorders>
              <w:top w:val="single" w:sz="4" w:space="0" w:color="156082" w:themeColor="accent1"/>
              <w:left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114ECE69" w14:textId="77777777" w:rsidR="00097D28" w:rsidRPr="00097D28" w:rsidRDefault="00097D28" w:rsidP="009F42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097D28">
              <w:rPr>
                <w:rFonts w:ascii="Arial" w:hAnsi="Arial" w:cs="Arial"/>
                <w:lang w:val="es-ES_tradnl"/>
              </w:rPr>
              <w:t>¿Qué factores económicos, sociales y familiares contribuyen a que las familias no puedan cumplir con el pago puntual de las pensiones escolares?</w:t>
            </w:r>
          </w:p>
        </w:tc>
        <w:tc>
          <w:tcPr>
            <w:tcW w:w="1782" w:type="dxa"/>
            <w:vMerge w:val="restart"/>
            <w:tcBorders>
              <w:top w:val="single" w:sz="4" w:space="0" w:color="156082" w:themeColor="accent1"/>
              <w:left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175139A2" w14:textId="77777777" w:rsidR="00097D28" w:rsidRPr="00097D28" w:rsidRDefault="00097D28" w:rsidP="009F42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097D28">
              <w:rPr>
                <w:rFonts w:ascii="Arial" w:hAnsi="Arial" w:cs="Arial"/>
                <w:lang w:val="es-ES_tradnl"/>
              </w:rPr>
              <w:t>Determinar las principales causas de la morosidad en las instituciones educativas</w:t>
            </w:r>
          </w:p>
        </w:tc>
        <w:tc>
          <w:tcPr>
            <w:tcW w:w="2240" w:type="dxa"/>
            <w:vMerge w:val="restart"/>
            <w:tcBorders>
              <w:top w:val="single" w:sz="4" w:space="0" w:color="156082" w:themeColor="accent1"/>
              <w:left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221CCB21" w14:textId="77777777" w:rsidR="00097D28" w:rsidRPr="00097D28" w:rsidRDefault="00097D28" w:rsidP="009F42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7D2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La morosidad en instituciones educativas afecta su estabilidad financiera y operativa, siendo influenciada por factores como el desempleo, el aumento del costo de vida y la falta de planificación financiera (Moreira y Mendoza, 2023; Carvalho, 2024; Bernal y </w:t>
            </w:r>
            <w:proofErr w:type="spellStart"/>
            <w:r w:rsidRPr="00097D28">
              <w:rPr>
                <w:rFonts w:ascii="Arial" w:hAnsi="Arial" w:cs="Arial"/>
                <w:sz w:val="18"/>
                <w:szCs w:val="18"/>
                <w:lang w:val="es-ES_tradnl"/>
              </w:rPr>
              <w:t>Edquen</w:t>
            </w:r>
            <w:proofErr w:type="spellEnd"/>
            <w:r w:rsidRPr="00097D28">
              <w:rPr>
                <w:rFonts w:ascii="Arial" w:hAnsi="Arial" w:cs="Arial"/>
                <w:sz w:val="18"/>
                <w:szCs w:val="18"/>
                <w:lang w:val="es-ES_tradnl"/>
              </w:rPr>
              <w:t>, 2017). Esta situación limita la inversión en infraestructura, el pago de docentes y la ejecución de proyectos educativos (</w:t>
            </w:r>
            <w:proofErr w:type="spellStart"/>
            <w:r w:rsidRPr="00097D28">
              <w:rPr>
                <w:rFonts w:ascii="Arial" w:hAnsi="Arial" w:cs="Arial"/>
                <w:sz w:val="18"/>
                <w:szCs w:val="18"/>
                <w:lang w:val="es-ES_tradnl"/>
              </w:rPr>
              <w:t>Milcah</w:t>
            </w:r>
            <w:proofErr w:type="spellEnd"/>
            <w:r w:rsidRPr="00097D2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et al., 2018; </w:t>
            </w:r>
            <w:proofErr w:type="spellStart"/>
            <w:r w:rsidRPr="00097D28">
              <w:rPr>
                <w:rFonts w:ascii="Arial" w:hAnsi="Arial" w:cs="Arial"/>
                <w:sz w:val="18"/>
                <w:szCs w:val="18"/>
                <w:lang w:val="es-ES_tradnl"/>
              </w:rPr>
              <w:t>Musungu</w:t>
            </w:r>
            <w:proofErr w:type="spellEnd"/>
            <w:r w:rsidRPr="00097D2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et al., 2023). Las estrategias de cobranza actuales, como descuentos por pronto pago y plataformas digitales, presentan limitaciones, por lo que se proponen medidas como la segmentación de clientes y la educación financiera para padres (Quinto et al., 2022; Sánchez et al., 2022). Además, la Ley </w:t>
            </w:r>
            <w:proofErr w:type="spellStart"/>
            <w:r w:rsidRPr="00097D28">
              <w:rPr>
                <w:rFonts w:ascii="Arial" w:hAnsi="Arial" w:cs="Arial"/>
                <w:sz w:val="18"/>
                <w:szCs w:val="18"/>
                <w:lang w:val="es-ES_tradnl"/>
              </w:rPr>
              <w:t>N°</w:t>
            </w:r>
            <w:proofErr w:type="spellEnd"/>
            <w:r w:rsidRPr="00097D2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26549 restringe medidas coercitivas, lo que demanda estrategias más eficaces y alineadas con el marco legal (Congreso de la República del Perú, 1996).</w:t>
            </w:r>
          </w:p>
        </w:tc>
        <w:tc>
          <w:tcPr>
            <w:tcW w:w="1416" w:type="dxa"/>
            <w:vMerge w:val="restart"/>
            <w:tcBorders>
              <w:top w:val="single" w:sz="4" w:space="0" w:color="156082" w:themeColor="accent1"/>
              <w:left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45A96B35" w14:textId="77777777" w:rsidR="00097D28" w:rsidRPr="00097D28" w:rsidRDefault="00097D28" w:rsidP="009F4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097D28">
              <w:rPr>
                <w:rFonts w:ascii="Arial" w:hAnsi="Arial" w:cs="Arial"/>
                <w:lang w:val="es-ES_tradnl"/>
              </w:rPr>
              <w:t>Morosidad</w:t>
            </w:r>
          </w:p>
        </w:tc>
        <w:tc>
          <w:tcPr>
            <w:tcW w:w="1839" w:type="dxa"/>
            <w:tcBorders>
              <w:left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0F82AF44" w14:textId="77777777" w:rsidR="00097D28" w:rsidRPr="00097D28" w:rsidRDefault="00097D28" w:rsidP="009F42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7D28">
              <w:rPr>
                <w:rFonts w:ascii="Arial" w:hAnsi="Arial" w:cs="Arial"/>
                <w:sz w:val="18"/>
                <w:szCs w:val="18"/>
                <w:lang w:val="es-ES_tradnl"/>
              </w:rPr>
              <w:t>Causas de la Morosidad</w:t>
            </w:r>
          </w:p>
        </w:tc>
        <w:tc>
          <w:tcPr>
            <w:tcW w:w="1849" w:type="dxa"/>
            <w:vMerge w:val="restart"/>
            <w:tcBorders>
              <w:left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238A8378" w14:textId="77777777" w:rsidR="00097D28" w:rsidRPr="00097D28" w:rsidRDefault="00097D28" w:rsidP="009F42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7D28">
              <w:rPr>
                <w:rFonts w:ascii="Arial" w:hAnsi="Arial" w:cs="Arial"/>
                <w:sz w:val="18"/>
                <w:szCs w:val="18"/>
                <w:lang w:val="es-ES_tradnl"/>
              </w:rPr>
              <w:t>Diseño:</w:t>
            </w:r>
          </w:p>
          <w:p w14:paraId="13E25C2D" w14:textId="77777777" w:rsidR="00097D28" w:rsidRPr="00097D28" w:rsidRDefault="00097D28" w:rsidP="009F42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7D28">
              <w:rPr>
                <w:rFonts w:ascii="Arial" w:hAnsi="Arial" w:cs="Arial"/>
                <w:sz w:val="18"/>
                <w:szCs w:val="18"/>
                <w:lang w:val="es-ES_tradnl"/>
              </w:rPr>
              <w:t>Cualitativo</w:t>
            </w:r>
          </w:p>
          <w:p w14:paraId="6DF6EC0F" w14:textId="77777777" w:rsidR="00097D28" w:rsidRPr="00097D28" w:rsidRDefault="00097D28" w:rsidP="009F42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4CAE0C1" w14:textId="77777777" w:rsidR="00097D28" w:rsidRPr="00097D28" w:rsidRDefault="00097D28" w:rsidP="009F42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7D28">
              <w:rPr>
                <w:rFonts w:ascii="Arial" w:hAnsi="Arial" w:cs="Arial"/>
                <w:sz w:val="18"/>
                <w:szCs w:val="18"/>
                <w:lang w:val="es-ES_tradnl"/>
              </w:rPr>
              <w:t>Técnica de recolección de datos:</w:t>
            </w:r>
          </w:p>
          <w:p w14:paraId="661D15C4" w14:textId="77777777" w:rsidR="00097D28" w:rsidRPr="00097D28" w:rsidRDefault="00097D28" w:rsidP="009F42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7D28">
              <w:rPr>
                <w:rFonts w:ascii="Arial" w:hAnsi="Arial" w:cs="Arial"/>
                <w:sz w:val="18"/>
                <w:szCs w:val="18"/>
                <w:lang w:val="es-ES_tradnl"/>
              </w:rPr>
              <w:t>Entrevista</w:t>
            </w:r>
          </w:p>
          <w:p w14:paraId="04D8EF40" w14:textId="77777777" w:rsidR="00097D28" w:rsidRPr="00097D28" w:rsidRDefault="00097D28" w:rsidP="009F42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15F2512" w14:textId="77777777" w:rsidR="00097D28" w:rsidRPr="00097D28" w:rsidRDefault="00097D28" w:rsidP="009F42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7D28">
              <w:rPr>
                <w:rFonts w:ascii="Arial" w:hAnsi="Arial" w:cs="Arial"/>
                <w:sz w:val="18"/>
                <w:szCs w:val="18"/>
                <w:lang w:val="es-ES_tradnl"/>
              </w:rPr>
              <w:t>Instrumento:</w:t>
            </w:r>
          </w:p>
          <w:p w14:paraId="0A1DED92" w14:textId="77777777" w:rsidR="00097D28" w:rsidRPr="00097D28" w:rsidRDefault="00097D28" w:rsidP="009F42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7D28">
              <w:rPr>
                <w:rFonts w:ascii="Arial" w:hAnsi="Arial" w:cs="Arial"/>
                <w:sz w:val="18"/>
                <w:szCs w:val="18"/>
                <w:lang w:val="es-ES_tradnl"/>
              </w:rPr>
              <w:t>Guía de entrevista semiestructurada</w:t>
            </w:r>
          </w:p>
          <w:p w14:paraId="392FBF33" w14:textId="77777777" w:rsidR="00097D28" w:rsidRPr="00097D28" w:rsidRDefault="00097D28" w:rsidP="009F42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7C6D41A" w14:textId="77777777" w:rsidR="00097D28" w:rsidRPr="00097D28" w:rsidRDefault="00097D28" w:rsidP="009F42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7D28">
              <w:rPr>
                <w:rFonts w:ascii="Arial" w:hAnsi="Arial" w:cs="Arial"/>
                <w:sz w:val="18"/>
                <w:szCs w:val="18"/>
                <w:lang w:val="es-ES_tradnl"/>
              </w:rPr>
              <w:t>Población:</w:t>
            </w:r>
          </w:p>
          <w:p w14:paraId="21C3DBB7" w14:textId="77777777" w:rsidR="00097D28" w:rsidRPr="00097D28" w:rsidRDefault="00097D28" w:rsidP="009F42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7D28">
              <w:rPr>
                <w:rFonts w:ascii="Arial" w:hAnsi="Arial" w:cs="Arial"/>
                <w:sz w:val="18"/>
                <w:szCs w:val="18"/>
                <w:lang w:val="es-ES_tradnl"/>
              </w:rPr>
              <w:t>Financistas, docentes y padres de familia</w:t>
            </w:r>
          </w:p>
          <w:p w14:paraId="71D0AF1A" w14:textId="77777777" w:rsidR="00097D28" w:rsidRPr="00097D28" w:rsidRDefault="00097D28" w:rsidP="009F42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DDA7E6A" w14:textId="77777777" w:rsidR="00097D28" w:rsidRPr="00097D28" w:rsidRDefault="00097D28" w:rsidP="009F42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7D28">
              <w:rPr>
                <w:rFonts w:ascii="Arial" w:hAnsi="Arial" w:cs="Arial"/>
                <w:sz w:val="18"/>
                <w:szCs w:val="18"/>
                <w:lang w:val="es-ES_tradnl"/>
              </w:rPr>
              <w:t>Muestra:</w:t>
            </w:r>
          </w:p>
          <w:p w14:paraId="7230A004" w14:textId="77777777" w:rsidR="00097D28" w:rsidRPr="00097D28" w:rsidRDefault="00097D28" w:rsidP="009F42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7D28">
              <w:rPr>
                <w:rFonts w:ascii="Arial" w:hAnsi="Arial" w:cs="Arial"/>
                <w:sz w:val="18"/>
                <w:szCs w:val="18"/>
                <w:lang w:val="es-ES_tradnl"/>
              </w:rPr>
              <w:t>No Probabilístico</w:t>
            </w:r>
          </w:p>
        </w:tc>
      </w:tr>
      <w:tr w:rsidR="00097D28" w:rsidRPr="00097D28" w14:paraId="22537BB4" w14:textId="77777777" w:rsidTr="00097D28">
        <w:trPr>
          <w:trHeight w:val="1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Merge/>
            <w:tcBorders>
              <w:left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607C4666" w14:textId="77777777" w:rsidR="00097D28" w:rsidRPr="00097D28" w:rsidRDefault="00097D28" w:rsidP="009F4211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63" w:type="dxa"/>
            <w:vMerge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1AA5A966" w14:textId="77777777" w:rsidR="00097D28" w:rsidRPr="00097D28" w:rsidRDefault="00097D28" w:rsidP="009F4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072" w:type="dxa"/>
            <w:vMerge/>
            <w:tcBorders>
              <w:left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60606892" w14:textId="77777777" w:rsidR="00097D28" w:rsidRPr="00097D28" w:rsidRDefault="00097D28" w:rsidP="009F42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82" w:type="dxa"/>
            <w:vMerge/>
            <w:tcBorders>
              <w:left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6D98A3EB" w14:textId="77777777" w:rsidR="00097D28" w:rsidRPr="00097D28" w:rsidRDefault="00097D28" w:rsidP="009F42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40" w:type="dxa"/>
            <w:vMerge/>
            <w:tcBorders>
              <w:left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13D56A61" w14:textId="77777777" w:rsidR="00097D28" w:rsidRPr="00097D28" w:rsidRDefault="00097D28" w:rsidP="009F4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6" w:type="dxa"/>
            <w:vMerge/>
            <w:tcBorders>
              <w:left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7D5ED663" w14:textId="77777777" w:rsidR="00097D28" w:rsidRPr="00097D28" w:rsidRDefault="00097D28" w:rsidP="009F4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39" w:type="dxa"/>
            <w:tcBorders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3A539B49" w14:textId="77777777" w:rsidR="00097D28" w:rsidRPr="00097D28" w:rsidRDefault="00097D28" w:rsidP="009F42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7D28">
              <w:rPr>
                <w:rFonts w:ascii="Arial" w:hAnsi="Arial" w:cs="Arial"/>
                <w:sz w:val="18"/>
                <w:szCs w:val="18"/>
                <w:lang w:val="es-ES_tradnl"/>
              </w:rPr>
              <w:t>Impacto Financiero y</w:t>
            </w:r>
          </w:p>
          <w:p w14:paraId="34791B02" w14:textId="77777777" w:rsidR="00097D28" w:rsidRPr="00097D28" w:rsidRDefault="00097D28" w:rsidP="009F42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7D28">
              <w:rPr>
                <w:rFonts w:ascii="Arial" w:hAnsi="Arial" w:cs="Arial"/>
                <w:sz w:val="18"/>
                <w:szCs w:val="18"/>
                <w:lang w:val="es-ES_tradnl"/>
              </w:rPr>
              <w:t>Operativo</w:t>
            </w:r>
          </w:p>
        </w:tc>
        <w:tc>
          <w:tcPr>
            <w:tcW w:w="1849" w:type="dxa"/>
            <w:vMerge/>
            <w:tcBorders>
              <w:left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250DED40" w14:textId="77777777" w:rsidR="00097D28" w:rsidRPr="00097D28" w:rsidRDefault="00097D28" w:rsidP="009F4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</w:tr>
      <w:tr w:rsidR="00097D28" w:rsidRPr="00097D28" w14:paraId="102FAF04" w14:textId="77777777" w:rsidTr="00097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Merge/>
            <w:tcBorders>
              <w:left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77BD7EDB" w14:textId="77777777" w:rsidR="00097D28" w:rsidRPr="00097D28" w:rsidRDefault="00097D28" w:rsidP="009F4211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63" w:type="dxa"/>
            <w:vMerge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3BB888ED" w14:textId="77777777" w:rsidR="00097D28" w:rsidRPr="00097D28" w:rsidRDefault="00097D28" w:rsidP="009F4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072" w:type="dxa"/>
            <w:vMerge w:val="restart"/>
            <w:tcBorders>
              <w:left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3169BF32" w14:textId="77777777" w:rsidR="00097D28" w:rsidRPr="00097D28" w:rsidRDefault="00097D28" w:rsidP="009F42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097D28">
              <w:rPr>
                <w:rFonts w:ascii="Arial" w:hAnsi="Arial" w:cs="Arial"/>
                <w:lang w:val="es-ES_tradnl"/>
              </w:rPr>
              <w:t>¿De qué manera la morosidad afecta las finanzas institucionales y las operaciones administrativas en el corto y largo plazo?</w:t>
            </w:r>
          </w:p>
        </w:tc>
        <w:tc>
          <w:tcPr>
            <w:tcW w:w="1782" w:type="dxa"/>
            <w:vMerge w:val="restart"/>
            <w:tcBorders>
              <w:left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40D8A580" w14:textId="77777777" w:rsidR="00097D28" w:rsidRPr="00097D28" w:rsidRDefault="00097D28" w:rsidP="009F42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097D28">
              <w:rPr>
                <w:rFonts w:ascii="Arial" w:hAnsi="Arial" w:cs="Arial"/>
                <w:lang w:val="es-ES_tradnl"/>
              </w:rPr>
              <w:t>Analizar el impacto financiero y operativo de la morosidad en las instituciones educativas</w:t>
            </w:r>
          </w:p>
        </w:tc>
        <w:tc>
          <w:tcPr>
            <w:tcW w:w="2240" w:type="dxa"/>
            <w:vMerge/>
            <w:tcBorders>
              <w:left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5251EC27" w14:textId="77777777" w:rsidR="00097D28" w:rsidRPr="00097D28" w:rsidRDefault="00097D28" w:rsidP="009F4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6" w:type="dxa"/>
            <w:vMerge/>
            <w:tcBorders>
              <w:left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2BDD670A" w14:textId="77777777" w:rsidR="00097D28" w:rsidRPr="00097D28" w:rsidRDefault="00097D28" w:rsidP="009F4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39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67C6C06C" w14:textId="77777777" w:rsidR="00097D28" w:rsidRPr="00097D28" w:rsidRDefault="00097D28" w:rsidP="009F42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7D28">
              <w:rPr>
                <w:rFonts w:ascii="Arial" w:hAnsi="Arial" w:cs="Arial"/>
                <w:sz w:val="18"/>
                <w:szCs w:val="18"/>
                <w:lang w:val="es-ES_tradnl"/>
              </w:rPr>
              <w:t>Factores Internos y</w:t>
            </w:r>
          </w:p>
          <w:p w14:paraId="4ED0EE9D" w14:textId="77777777" w:rsidR="00097D28" w:rsidRPr="00097D28" w:rsidRDefault="00097D28" w:rsidP="009F42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7D28">
              <w:rPr>
                <w:rFonts w:ascii="Arial" w:hAnsi="Arial" w:cs="Arial"/>
                <w:sz w:val="18"/>
                <w:szCs w:val="18"/>
                <w:lang w:val="es-ES_tradnl"/>
              </w:rPr>
              <w:t>Externos</w:t>
            </w:r>
          </w:p>
        </w:tc>
        <w:tc>
          <w:tcPr>
            <w:tcW w:w="1849" w:type="dxa"/>
            <w:vMerge/>
            <w:tcBorders>
              <w:left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405ECEC8" w14:textId="77777777" w:rsidR="00097D28" w:rsidRPr="00097D28" w:rsidRDefault="00097D28" w:rsidP="009F4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</w:tr>
      <w:tr w:rsidR="00097D28" w:rsidRPr="00097D28" w14:paraId="6A9EEAC6" w14:textId="77777777" w:rsidTr="00097D28">
        <w:trPr>
          <w:trHeight w:val="1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Merge/>
            <w:tcBorders>
              <w:left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1059F68F" w14:textId="77777777" w:rsidR="00097D28" w:rsidRPr="00097D28" w:rsidRDefault="00097D28" w:rsidP="009F4211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63" w:type="dxa"/>
            <w:vMerge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66549813" w14:textId="77777777" w:rsidR="00097D28" w:rsidRPr="00097D28" w:rsidRDefault="00097D28" w:rsidP="009F4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072" w:type="dxa"/>
            <w:vMerge/>
            <w:tcBorders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565AFFB8" w14:textId="77777777" w:rsidR="00097D28" w:rsidRPr="00097D28" w:rsidRDefault="00097D28" w:rsidP="009F42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82" w:type="dxa"/>
            <w:vMerge/>
            <w:tcBorders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7C11287B" w14:textId="77777777" w:rsidR="00097D28" w:rsidRPr="00097D28" w:rsidRDefault="00097D28" w:rsidP="009F42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40" w:type="dxa"/>
            <w:vMerge/>
            <w:tcBorders>
              <w:left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394AF371" w14:textId="77777777" w:rsidR="00097D28" w:rsidRPr="00097D28" w:rsidRDefault="00097D28" w:rsidP="009F4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6" w:type="dxa"/>
            <w:vMerge/>
            <w:tcBorders>
              <w:left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0B69FA2A" w14:textId="77777777" w:rsidR="00097D28" w:rsidRPr="00097D28" w:rsidRDefault="00097D28" w:rsidP="009F4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39" w:type="dxa"/>
            <w:tcBorders>
              <w:top w:val="single" w:sz="4" w:space="0" w:color="156082" w:themeColor="accent1"/>
              <w:left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7BAED500" w14:textId="77777777" w:rsidR="00097D28" w:rsidRPr="00097D28" w:rsidRDefault="00097D28" w:rsidP="009F42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7D28">
              <w:rPr>
                <w:rFonts w:ascii="Arial" w:hAnsi="Arial" w:cs="Arial"/>
                <w:sz w:val="18"/>
                <w:szCs w:val="18"/>
                <w:lang w:val="es-ES_tradnl"/>
              </w:rPr>
              <w:t>Estrategias de cobranzas</w:t>
            </w:r>
          </w:p>
          <w:p w14:paraId="7D2E6698" w14:textId="77777777" w:rsidR="00097D28" w:rsidRPr="00097D28" w:rsidRDefault="00097D28" w:rsidP="009F42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7D28">
              <w:rPr>
                <w:rFonts w:ascii="Arial" w:hAnsi="Arial" w:cs="Arial"/>
                <w:sz w:val="18"/>
                <w:szCs w:val="18"/>
                <w:lang w:val="es-ES_tradnl"/>
              </w:rPr>
              <w:t>actuales</w:t>
            </w:r>
          </w:p>
        </w:tc>
        <w:tc>
          <w:tcPr>
            <w:tcW w:w="1849" w:type="dxa"/>
            <w:vMerge/>
            <w:tcBorders>
              <w:left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7822D053" w14:textId="77777777" w:rsidR="00097D28" w:rsidRPr="00097D28" w:rsidRDefault="00097D28" w:rsidP="009F4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</w:tr>
      <w:tr w:rsidR="00097D28" w:rsidRPr="00097D28" w14:paraId="1C6C564D" w14:textId="77777777" w:rsidTr="00097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vMerge/>
            <w:tcBorders>
              <w:left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6DA19A0C" w14:textId="77777777" w:rsidR="00097D28" w:rsidRPr="00097D28" w:rsidRDefault="00097D28" w:rsidP="009F4211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63" w:type="dxa"/>
            <w:vMerge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6B9FC2AE" w14:textId="77777777" w:rsidR="00097D28" w:rsidRPr="00097D28" w:rsidRDefault="00097D28" w:rsidP="009F4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072" w:type="dxa"/>
            <w:tcBorders>
              <w:top w:val="single" w:sz="4" w:space="0" w:color="156082" w:themeColor="accent1"/>
              <w:left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6AFC84DE" w14:textId="77777777" w:rsidR="00097D28" w:rsidRPr="00097D28" w:rsidRDefault="00097D28" w:rsidP="009F42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097D28">
              <w:rPr>
                <w:rFonts w:ascii="Arial" w:hAnsi="Arial" w:cs="Arial"/>
                <w:lang w:val="es-ES_tradnl"/>
              </w:rPr>
              <w:t>¿Qué resultados están generando las estrategias de cobranza actuales y qué propuestas innovadoras podrían implementarse para mejorar su efectividad?</w:t>
            </w:r>
          </w:p>
        </w:tc>
        <w:tc>
          <w:tcPr>
            <w:tcW w:w="1782" w:type="dxa"/>
            <w:tcBorders>
              <w:top w:val="single" w:sz="4" w:space="0" w:color="156082" w:themeColor="accent1"/>
              <w:left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74823BFF" w14:textId="77777777" w:rsidR="00097D28" w:rsidRPr="00097D28" w:rsidRDefault="00097D28" w:rsidP="009F42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097D28">
              <w:rPr>
                <w:rFonts w:ascii="Arial" w:hAnsi="Arial" w:cs="Arial"/>
                <w:lang w:val="es-ES_tradnl"/>
              </w:rPr>
              <w:t>Evaluar las estrategias de cobranza actuales y proponer nuevas medidas efectivas</w:t>
            </w:r>
          </w:p>
        </w:tc>
        <w:tc>
          <w:tcPr>
            <w:tcW w:w="2240" w:type="dxa"/>
            <w:vMerge/>
            <w:tcBorders>
              <w:left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43448F83" w14:textId="77777777" w:rsidR="00097D28" w:rsidRPr="00097D28" w:rsidRDefault="00097D28" w:rsidP="009F4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6" w:type="dxa"/>
            <w:vMerge/>
            <w:tcBorders>
              <w:left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38426164" w14:textId="77777777" w:rsidR="00097D28" w:rsidRPr="00097D28" w:rsidRDefault="00097D28" w:rsidP="009F4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39" w:type="dxa"/>
            <w:tcBorders>
              <w:left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659F1A22" w14:textId="77777777" w:rsidR="00097D28" w:rsidRPr="00097D28" w:rsidRDefault="00097D28" w:rsidP="009F42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7D28">
              <w:rPr>
                <w:rFonts w:ascii="Arial" w:hAnsi="Arial" w:cs="Arial"/>
                <w:sz w:val="18"/>
                <w:szCs w:val="18"/>
                <w:lang w:val="es-ES_tradnl"/>
              </w:rPr>
              <w:t>Estrategias de cobranzas</w:t>
            </w:r>
          </w:p>
          <w:p w14:paraId="23BA7E45" w14:textId="77777777" w:rsidR="00097D28" w:rsidRPr="00097D28" w:rsidRDefault="00097D28" w:rsidP="009F42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97D28">
              <w:rPr>
                <w:rFonts w:ascii="Arial" w:hAnsi="Arial" w:cs="Arial"/>
                <w:sz w:val="18"/>
                <w:szCs w:val="18"/>
                <w:lang w:val="es-ES_tradnl"/>
              </w:rPr>
              <w:t>propuesta</w:t>
            </w:r>
          </w:p>
        </w:tc>
        <w:tc>
          <w:tcPr>
            <w:tcW w:w="1849" w:type="dxa"/>
            <w:vMerge/>
            <w:tcBorders>
              <w:left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448AD078" w14:textId="77777777" w:rsidR="00097D28" w:rsidRPr="00097D28" w:rsidRDefault="00097D28" w:rsidP="009F4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</w:tc>
      </w:tr>
      <w:bookmarkEnd w:id="1"/>
    </w:tbl>
    <w:p w14:paraId="3129E5C0" w14:textId="77777777" w:rsidR="00546AF2" w:rsidRPr="00097D28" w:rsidRDefault="00546AF2" w:rsidP="00097D28">
      <w:pPr>
        <w:rPr>
          <w:lang w:val="es-ES_tradnl"/>
        </w:rPr>
      </w:pPr>
    </w:p>
    <w:sectPr w:rsidR="00546AF2" w:rsidRPr="00097D28" w:rsidSect="00097D28">
      <w:pgSz w:w="15840" w:h="12240" w:orient="landscape"/>
      <w:pgMar w:top="665" w:right="1417" w:bottom="49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28"/>
    <w:rsid w:val="00097D28"/>
    <w:rsid w:val="001C7F90"/>
    <w:rsid w:val="0044423C"/>
    <w:rsid w:val="00546AF2"/>
    <w:rsid w:val="006A35E3"/>
    <w:rsid w:val="008F574B"/>
    <w:rsid w:val="00BB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77ABBA"/>
  <w15:chartTrackingRefBased/>
  <w15:docId w15:val="{86E6D3C6-3F99-5948-A8B4-26D45B24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D28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97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7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7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7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7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7D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7D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7D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7D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7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7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7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7D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7D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7D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7D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7D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7D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7D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7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7D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7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7D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7D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7D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7D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7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7D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7D2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rsid w:val="00097D28"/>
    <w:rPr>
      <w:color w:val="auto"/>
      <w:sz w:val="16"/>
      <w:u w:val="none"/>
    </w:rPr>
  </w:style>
  <w:style w:type="table" w:styleId="Tablanormal2">
    <w:name w:val="Plain Table 2"/>
    <w:basedOn w:val="Tablanormal"/>
    <w:uiPriority w:val="42"/>
    <w:rsid w:val="00097D28"/>
    <w:rPr>
      <w:rFonts w:ascii="Times New Roman" w:eastAsia="Times New Roman" w:hAnsi="Times New Roman" w:cs="Times New Roman"/>
      <w:kern w:val="0"/>
      <w:sz w:val="20"/>
      <w:szCs w:val="20"/>
      <w:lang w:val="tr-TR" w:eastAsia="tr-TR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AC2F02-8D78-5E42-AAD8-9EA6A74FE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393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UPN - Vitmar Aliaga</dc:creator>
  <cp:keywords/>
  <dc:description/>
  <cp:lastModifiedBy>UPN - Vitmar Aliaga</cp:lastModifiedBy>
  <cp:revision>1</cp:revision>
  <dcterms:created xsi:type="dcterms:W3CDTF">2025-02-21T06:20:00Z</dcterms:created>
  <dcterms:modified xsi:type="dcterms:W3CDTF">2025-02-21T06:29:00Z</dcterms:modified>
</cp:coreProperties>
</file>