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4.png" ContentType="image/png"/>
  <Override PartName="/word/media/rId5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weighted voting,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author’s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1" w:name="sec:lf"/>
    <w:p>
      <w:pPr>
        <w:pStyle w:val="Heading1"/>
      </w:pPr>
      <w:r>
        <w:t xml:space="preserve">Label-Free Estimation</w:t>
      </w:r>
    </w:p>
    <w:bookmarkStart w:id="37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sign-consistency-and-its-boundary"/>
    <w:p>
      <w:pPr>
        <w:pStyle w:val="Heading2"/>
      </w:pPr>
      <w:r>
        <w:t xml:space="preserve">Sign consistency and its boundary</w:t>
      </w:r>
    </w:p>
    <w:bookmarkStart w:id="38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38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39"/>
    <w:bookmarkStart w:id="40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the author hit, diagnosed, and fixed, and which the released tests pin.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0"/>
    <w:bookmarkEnd w:id="41"/>
    <w:bookmarkStart w:id="47" w:name="sec:hetero"/>
    <w:p>
      <w:pPr>
        <w:pStyle w:val="Heading1"/>
      </w:pPr>
      <w:r>
        <w:t xml:space="preserve">Heterogeneity: Impossibility and Escape</w:t>
      </w:r>
    </w:p>
    <w:bookmarkStart w:id="45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2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2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3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3"/>
    <w:bookmarkStart w:id="44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4"/>
    <w:p>
      <w:pPr>
        <w:pStyle w:val="BodyText"/>
      </w:pPr>
      <w:r>
        <w:t xml:space="preserve">Consequently the per-item oracle (</w:t>
      </w:r>
      <m:oMath>
        <m:r>
          <m:t>0.983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5"/>
    <w:bookmarkStart w:id="46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6"/>
    <w:bookmarkEnd w:id="47"/>
    <w:bookmarkStart w:id="53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48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.917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.993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48"/>
    <w:bookmarkStart w:id="52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tact_swee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2"/>
    <w:bookmarkEnd w:id="53"/>
    <w:bookmarkStart w:id="77" w:name="sec:results"/>
    <w:p>
      <w:pPr>
        <w:pStyle w:val="Heading1"/>
      </w:pPr>
      <w:r>
        <w:t xml:space="preserve">Results</w:t>
      </w:r>
    </w:p>
    <w:bookmarkStart w:id="55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4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.200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alarm fires and the method refuses to leave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—the conditional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left"/>
            </w:pPr>
            <w:r>
              <w:t xml:space="preserve">guarantee of 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working as stated.</w:t>
            </w:r>
          </w:p>
        </w:tc>
      </w:tr>
    </w:tbl>
    <w:bookmarkEnd w:id="54"/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±</m:t>
        </m:r>
        <m:r>
          <m:t>1.06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±</m:t>
        </m:r>
        <m:r>
          <m:t>2.80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0.880</m:t>
        </m:r>
      </m:oMath>
      <w:r>
        <w:t xml:space="preserve"> </w:t>
      </w:r>
      <w:r>
        <w:t xml:space="preserve">vs. </w:t>
      </w:r>
      <m:oMath>
        <m:r>
          <m:t>0.892</m:t>
        </m:r>
      </m:oMath>
      <w:r>
        <w:t xml:space="preserve">;</w:t>
      </w:r>
      <w:r>
        <w:t xml:space="preserve"> </w:t>
      </w:r>
      <m:oMath>
        <m:r>
          <m:t>0.902</m:t>
        </m:r>
      </m:oMath>
      <w:r>
        <w:t xml:space="preserve"> </w:t>
      </w:r>
      <w:r>
        <w:t xml:space="preserve">vs. </w:t>
      </w:r>
      <m:oMath>
        <m:r>
          <m:t>0.917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;</w:t>
      </w:r>
      <w:r>
        <w:t xml:space="preserve"> </w:t>
      </w:r>
      <m:oMath>
        <m:r>
          <m:t>0.988</m:t>
        </m:r>
      </m:oMath>
      <w:r>
        <w:t xml:space="preserve"> </w:t>
      </w:r>
      <w:r>
        <w:t xml:space="preserve">vs. </w:t>
      </w:r>
      <m:oMath>
        <m:r>
          <m:t>0.993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5"/>
    <w:bookmarkStart w:id="60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59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tact_adversaria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59"/>
    <w:bookmarkEnd w:id="60"/>
    <w:bookmarkStart w:id="66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legitimate method sits at the floor with zero discordant pairs, and the naive self-referential control lands slightly below it—the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An earlier draft attributed the</w:t>
      </w:r>
      <w:r>
        <w:t xml:space="preserve"> </w:t>
      </w:r>
      <w:r>
        <w:t xml:space="preserve">gap to the arms’ different exponent caps; the ablation says otherwise.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1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.983</w:t>
            </w:r>
          </w:p>
        </w:tc>
      </w:tr>
    </w:tbl>
    <w:bookmarkEnd w:id="61"/>
    <w:bookmarkStart w:id="65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group_ev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legitimate method at the floor; the negative control slightly below it.</w:t>
      </w:r>
    </w:p>
    <w:bookmarkEnd w:id="65"/>
    <w:bookmarkEnd w:id="66"/>
    <w:bookmarkStart w:id="67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0.947</m:t>
        </m:r>
      </m:oMath>
      <w:r>
        <w:t xml:space="preserve"> </w:t>
      </w:r>
      <w:r>
        <w:t xml:space="preserve">vs. </w:t>
      </w:r>
      <m:oMath>
        <m:r>
          <m:t>0.760</m:t>
        </m:r>
      </m:oMath>
      <w:r>
        <w:t xml:space="preserve">), and F4 (both grid baselines trail by</w:t>
      </w:r>
      <w:r>
        <w:t xml:space="preserve"> </w:t>
      </w:r>
      <m:oMath>
        <m:r>
          <m:t>0.032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0.048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0.005</m:t>
        </m:r>
      </m:oMath>
      <w:r>
        <w:t xml:space="preserve">–</w:t>
      </w:r>
      <m:oMath>
        <m:r>
          <m:t>0.015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7"/>
    <w:bookmarkStart w:id="69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work, and runs in 199 seconds.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68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68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69"/>
    <w:bookmarkStart w:id="70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0.768</m:t>
        </m:r>
      </m:oMath>
      <w:r>
        <w:t xml:space="preserve"> </w:t>
      </w:r>
      <w:r>
        <w:t xml:space="preserve">for both: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0"/>
    <w:bookmarkStart w:id="71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1"/>
    <w:bookmarkStart w:id="73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2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2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3"/>
    <w:bookmarkStart w:id="75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4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4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An earlier version of the same harness</w:t>
      </w:r>
      <w:r>
        <w:t xml:space="preserve"> </w:t>
      </w:r>
      <w:r>
        <w:t xml:space="preserve">failed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 because the host rejects one of the requested</w:t>
      </w:r>
      <w:r>
        <w:t xml:space="preserve"> </w:t>
      </w:r>
      <w:r>
        <w:t xml:space="preserve">limits outright, and that condition presents as a candidate failure rather</w:t>
      </w:r>
      <w:r>
        <w:t xml:space="preserve"> </w:t>
      </w:r>
      <w:r>
        <w:t xml:space="preserve">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5"/>
    <w:bookmarkStart w:id="76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6"/>
    <w:bookmarkEnd w:id="77"/>
    <w:bookmarkStart w:id="78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78"/>
    <w:bookmarkStart w:id="7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79"/>
    <w:bookmarkStart w:id="81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0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1"/>
    <w:bookmarkStart w:id="1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2" w:name="bib:wang2023selfconsistency"/>
      <w:bookmarkEnd w:id="82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3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4" w:name="bib:tian2023just"/>
      <w:bookmarkEnd w:id="84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5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6" w:name="bib:xiong2024can"/>
      <w:bookmarkEnd w:id="86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7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88" w:name="bib:kadavath2022language"/>
      <w:bookmarkEnd w:id="88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89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0" w:name="bib:taubenfeld2025cisc"/>
      <w:bookmarkEnd w:id="90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1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2" w:name="bib:reasc2026"/>
      <w:bookmarkEnd w:id="92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3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4" w:name="bib:deepconf2025"/>
      <w:bookmarkEnd w:id="94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5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6" w:name="bib:huang2024rankcalibration"/>
      <w:bookmarkEnd w:id="96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7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98" w:name="bib:dawid1979maximum"/>
      <w:bookmarkEnd w:id="98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99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0" w:name="bib:parisi2014ranking"/>
      <w:bookmarkEnd w:id="100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1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2" w:name="bib:li2023diverse"/>
      <w:bookmarkEnd w:id="102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3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4" w:name="bib:aggarwal2023adaptive"/>
      <w:bookmarkEnd w:id="104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5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6" w:name="bib:li2024escap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7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08" w:name="bib:borda2025"/>
      <w:bookmarkEnd w:id="108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09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0" w:name="bib:whitehill2009whose"/>
      <w:bookmarkEnd w:id="110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1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2" w:name="bib:karger2011iterative"/>
      <w:bookmarkEnd w:id="112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3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4" w:name="bib:fuse2026"/>
      <w:bookmarkEnd w:id="114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5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6" w:name="bib:beyondmajority2025"/>
      <w:bookmarkEnd w:id="116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7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18" w:name="bib:vanelteren1960"/>
      <w:bookmarkEnd w:id="118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19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0" w:name="bib:james1961estimation"/>
      <w:bookmarkEnd w:id="120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1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2" w:name="bib:kish1965"/>
      <w:bookmarkEnd w:id="122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3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4" w:name="bib:rao1981analysis"/>
      <w:bookmarkEnd w:id="124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5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6" w:name="bib:gsm8k2021"/>
      <w:bookmarkEnd w:id="126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7" w:name="bib:math500"/>
      <w:bookmarkEnd w:id="127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28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29" w:name="bib:lightman2024verify"/>
      <w:bookmarkEnd w:id="129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0" w:name="bib:leetcodedataset"/>
      <w:bookmarkEnd w:id="130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1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2" w:name="bib:kuhn2023semantic"/>
      <w:bookmarkEnd w:id="132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3">
        <w:r>
          <w:rPr>
            <w:rStyle w:val="Hyperlink"/>
          </w:rPr>
          <w:t xml:space="preserve">https://arxiv.org/pdf/2302.09664</w:t>
        </w:r>
      </w:hyperlink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2026-08-01T19:07:15Z</dcterms:created>
  <dcterms:modified xsi:type="dcterms:W3CDTF">2026-08-01T19:07:15Z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