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3.png" ContentType="image/png"/>
  <Override PartName="/word/media/rId4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 warmup-thresholded filtering</w:t>
      </w:r>
      <w:r>
        <w:t xml:space="preserve"> </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6"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5" w:name="anchor-properties"/>
    <w:p>
      <w:pPr>
        <w:pStyle w:val="Heading2"/>
      </w:pPr>
      <w:r>
        <w:t xml:space="preserve">Anchor properties</w:t>
      </w:r>
    </w:p>
    <w:bookmarkStart w:id="2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2"/>
    <w:bookmarkStart w:id="2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3"/>
    <w:bookmarkStart w:id="2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4"/>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5"/>
    <w:bookmarkEnd w:id="26"/>
    <w:bookmarkStart w:id="31" w:name="sec:lf"/>
    <w:p>
      <w:pPr>
        <w:pStyle w:val="Heading1"/>
      </w:pPr>
      <w:r>
        <w:t xml:space="preserve">Label-Free Estimation</w:t>
      </w:r>
    </w:p>
    <w:bookmarkStart w:id="2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7"/>
    <w:bookmarkStart w:id="29" w:name="sign-consistency-and-its-boundary"/>
    <w:p>
      <w:pPr>
        <w:pStyle w:val="Heading2"/>
      </w:pPr>
      <w:r>
        <w:t xml:space="preserve">Sign consistency and its boundary</w:t>
      </w:r>
    </w:p>
    <w:bookmarkStart w:id="2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8"/>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29"/>
    <w:bookmarkStart w:id="3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0"/>
    <w:bookmarkEnd w:id="31"/>
    <w:bookmarkStart w:id="37" w:name="sec:hetero"/>
    <w:p>
      <w:pPr>
        <w:pStyle w:val="Heading1"/>
      </w:pPr>
      <w:r>
        <w:t xml:space="preserve">Heterogeneity: Impossibility and Escape</w:t>
      </w:r>
    </w:p>
    <w:bookmarkStart w:id="3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2"/>
    <w:bookmarkStart w:id="3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3"/>
    <w:bookmarkStart w:id="3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4"/>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5"/>
    <w:bookmarkStart w:id="3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6"/>
    <w:bookmarkEnd w:id="37"/>
    <w:bookmarkStart w:id="4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8"/>
    <w:bookmarkStart w:id="42" w:name="fig:sweep"/>
    <w:p>
      <w:pPr>
        <w:pStyle w:val="CaptionedFigure"/>
      </w:pPr>
      <w:r>
        <w:drawing>
          <wp:inline>
            <wp:extent cx="5334000" cy="3225209"/>
            <wp:effectExtent b="0" l="0" r="0" t="0"/>
            <wp:docPr descr="" title="" id="40" name="Picture"/>
            <a:graphic>
              <a:graphicData uri="http://schemas.openxmlformats.org/drawingml/2006/picture">
                <pic:pic>
                  <pic:nvPicPr>
                    <pic:cNvPr descr="figs/tact_sweep.png" id="41" name="Picture"/>
                    <pic:cNvPicPr>
                      <a:picLocks noChangeArrowheads="1" noChangeAspect="1"/>
                    </pic:cNvPicPr>
                  </pic:nvPicPr>
                  <pic:blipFill>
                    <a:blip r:embed="rId3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2"/>
    <w:bookmarkEnd w:id="43"/>
    <w:bookmarkStart w:id="61" w:name="sec:results"/>
    <w:p>
      <w:pPr>
        <w:pStyle w:val="Heading1"/>
      </w:pPr>
      <w:r>
        <w:t xml:space="preserve">Results</w:t>
      </w:r>
    </w:p>
    <w:bookmarkStart w:id="4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4"/>
    <w:bookmarkEnd w:id="45"/>
    <w:bookmarkStart w:id="5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49" w:name="fig:adv"/>
    <w:p>
      <w:pPr>
        <w:pStyle w:val="CaptionedFigure"/>
      </w:pPr>
      <w:r>
        <w:drawing>
          <wp:inline>
            <wp:extent cx="5334000" cy="2726266"/>
            <wp:effectExtent b="0" l="0" r="0" t="0"/>
            <wp:docPr descr="" title="" id="47" name="Picture"/>
            <a:graphic>
              <a:graphicData uri="http://schemas.openxmlformats.org/drawingml/2006/picture">
                <pic:pic>
                  <pic:nvPicPr>
                    <pic:cNvPr descr="figs/tact_adversarial.png" id="48" name="Picture"/>
                    <pic:cNvPicPr>
                      <a:picLocks noChangeArrowheads="1" noChangeAspect="1"/>
                    </pic:cNvPicPr>
                  </pic:nvPicPr>
                  <pic:blipFill>
                    <a:blip r:embed="rId4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49"/>
    <w:bookmarkEnd w:id="50"/>
    <w:bookmarkStart w:id="5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1"/>
    <w:bookmarkStart w:id="55" w:name="fig:group"/>
    <w:p>
      <w:pPr>
        <w:pStyle w:val="CaptionedFigure"/>
      </w:pPr>
      <w:r>
        <w:drawing>
          <wp:inline>
            <wp:extent cx="5334000" cy="2133600"/>
            <wp:effectExtent b="0" l="0" r="0" t="0"/>
            <wp:docPr descr="" title="" id="53" name="Picture"/>
            <a:graphic>
              <a:graphicData uri="http://schemas.openxmlformats.org/drawingml/2006/picture">
                <pic:pic>
                  <pic:nvPicPr>
                    <pic:cNvPr descr="figs/group_eval.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5"/>
    <w:bookmarkEnd w:id="56"/>
    <w:bookmarkStart w:id="5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7"/>
    <w:bookmarkStart w:id="59"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76 tests for</w:t>
      </w:r>
      <w:r>
        <w:t xml:space="preserve"> </w:t>
      </w:r>
      <w:r>
        <w:rPr>
          <w:smallCaps/>
        </w:rPr>
        <w:t xml:space="preserve">tact</w:t>
      </w:r>
      <w:r>
        <w:t xml:space="preserve"> </w:t>
      </w:r>
      <w:r>
        <w:t xml:space="preserve">(84</w:t>
      </w:r>
      <w:r>
        <w:t xml:space="preserve"> </w:t>
      </w:r>
      <w:r>
        <w:t xml:space="preserve">including the follow-on work) and runs in 14 seconds. Table </w:t>
      </w:r>
      <w:hyperlink w:anchor="tab:tests">
        <w:r>
          <w:rPr>
            <w:rStyle w:val="Hyperlink"/>
          </w:rPr>
          <w:t xml:space="preserve">4</w:t>
        </w:r>
      </w:hyperlink>
      <w:r>
        <w:t xml:space="preserve"> </w:t>
      </w:r>
      <w:r>
        <w:t xml:space="preserve">maps propositions to the tests that would fail if they stopped holding.</w:t>
      </w:r>
    </w:p>
    <w:bookmarkStart w:id="58"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58"/>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59"/>
    <w:bookmarkStart w:id="60"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w:t>
      </w:r>
      <w:r>
        <w:t xml:space="preserve"> </w:t>
      </w:r>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t xml:space="preserve">Scope: one model, two benchmarks,</w:t>
      </w:r>
      <w:r>
        <w:t xml:space="preserve"> </w:t>
      </w:r>
      <m:oMath>
        <m:r>
          <m:t>K</m:t>
        </m:r>
        <m:r>
          <m:rPr>
            <m:sty m:val="p"/>
          </m:rPr>
          <m:t>=</m:t>
        </m:r>
        <m:r>
          <m:t>12</m:t>
        </m:r>
      </m:oMath>
      <w:r>
        <w:t xml:space="preserve">. The result is a clean confirmation</w:t>
      </w:r>
      <w:r>
        <w:t xml:space="preserve"> </w:t>
      </w:r>
      <w:r>
        <w:t xml:space="preserve">of the null-direction prediction and of the calibration–discrimination</w:t>
      </w:r>
      <w:r>
        <w:t xml:space="preserve"> </w:t>
      </w:r>
      <w:r>
        <w:t xml:space="preserve">argument; it is</w:t>
      </w:r>
      <w:r>
        <w:t xml:space="preserve"> </w:t>
      </w:r>
      <w:r>
        <w:rPr>
          <w:i/>
          <w:iCs/>
        </w:rPr>
        <w:t xml:space="preserve">not</w:t>
      </w:r>
      <w:r>
        <w:t xml:space="preserve"> </w:t>
      </w:r>
      <w:r>
        <w:t xml:space="preserve">evidence that</w:t>
      </w:r>
      <w:r>
        <w:t xml:space="preserve"> </w:t>
      </w:r>
      <w:r>
        <w:rPr>
          <w:smallCaps/>
        </w:rPr>
        <w:t xml:space="preserve">tact</w:t>
      </w:r>
      <w:r>
        <w:t xml:space="preserve"> </w:t>
      </w:r>
      <w:r>
        <w:t xml:space="preserve">improves accuracy on real</w:t>
      </w:r>
      <w:r>
        <w:t xml:space="preserve"> </w:t>
      </w:r>
      <w:r>
        <w:t xml:space="preserve">traces, which remains untested for want of a benchmark where the channel is</w:t>
      </w:r>
      <w:r>
        <w:t xml:space="preserve"> </w:t>
      </w:r>
      <w:r>
        <w:t xml:space="preserve">both informative and the model uncertain.</w:t>
      </w:r>
    </w:p>
    <w:bookmarkEnd w:id="60"/>
    <w:bookmarkEnd w:id="61"/>
    <w:bookmarkStart w:id="62"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 confident-echo ambiguity is fundamental (Proposition </w:t>
      </w:r>
      <w:hyperlink w:anchor="prop:twoworld">
        <w:r>
          <w:rPr>
            <w:rStyle w:val="Hyperlink"/>
          </w:rPr>
          <w:t xml:space="preserve">7</w:t>
        </w:r>
      </w:hyperlink>
      <w:r>
        <w:t xml:space="preserve">); the alarms detect the verbatim case only, and paraphrased echo would evade them—the semi-label-free mode is the honest fix at</w:t>
      </w:r>
      <w:r>
        <w:t xml:space="preserve"> </w:t>
      </w:r>
      <m:oMath>
        <m:r>
          <m:rPr>
            <m:sty m:val="p"/>
          </m:rPr>
          <m:t>∼</m:t>
        </m:r>
        <m:r>
          <m:t>50</m:t>
        </m:r>
      </m:oMath>
      <w:r>
        <w:t xml:space="preserve"> </w:t>
      </w:r>
      <w:r>
        <w:t xml:space="preserve">labels.</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bookmarkEnd w:id="62"/>
    <w:bookmarkStart w:id="63"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3"/>
    <w:bookmarkStart w:id="64"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3" Target="media/rId13.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2026-07-30T20:57:09Z</dcterms:created>
  <dcterms:modified xsi:type="dcterms:W3CDTF">2026-07-30T20:57:09Z</dcterms:modified>
</cp:coreProperties>
</file>

<file path=docProps/custom.xml><?xml version="1.0" encoding="utf-8"?>
<Properties xmlns="http://schemas.openxmlformats.org/officeDocument/2006/custom-properties" xmlns:vt="http://schemas.openxmlformats.org/officeDocument/2006/docPropsVTypes"/>
</file>