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3.png" ContentType="image/png"/>
  <Override PartName="/word/media/rId4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improves on majority voting when a frozen large language model’s self-reported confidence is calibrated in</w:t>
      </w:r>
      <w:r>
        <w:t xml:space="preserve"> </w:t>
      </w:r>
      <w:r>
        <w:rPr>
          <w:i/>
          <w:iCs/>
        </w:rPr>
        <w:t xml:space="preserve">direction</w:t>
      </w:r>
      <w:r>
        <w:t xml:space="preserve">. Every published weighting scheme is structurally monotone increasing in confidence, so an anti-correlated channel poisons the vote instead of informing it, while binary dev-set gates survive inversion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Written out, the method is a single expression whose exponent reduces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 probit of the shrunk pooled AUC, and it carries exact anchors: inside the shrinkage dead zone the vote is bit-identical to plain self-consistency, and a log-value feature map reproduces CISC-power. A label-free variant estimates the signed reliability from agreement pseudo-labels under a proven attenuation identity that guarantees sign consistency whenever the plurality-error rate is below one half, with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Two real-trace campaigns on a frozen model confirm the premise and locate the binding constraint: within-item discrimination is positive on competition mathematics (pooled</w:t>
      </w:r>
      <w:r>
        <w:t xml:space="preserve">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on which any such method can act, where the plurality is wrong and the correct answer is present in the pool, measures</w:t>
      </w:r>
      <w:r>
        <w:t xml:space="preserve"> </w:t>
      </w:r>
      <m:oMath>
        <m:r>
          <m:t>2</m:t>
        </m:r>
      </m:oMath>
      <w:r>
        <w:t xml:space="preserve">–</w:t>
      </w:r>
      <m:oMath>
        <m:r>
          <m:t>7.5</m:t>
        </m:r>
        <m:r>
          <m:rPr>
            <m:sty m:val="p"/>
          </m:rPr>
          <m:t>%</m:t>
        </m:r>
      </m:oMath>
      <w:r>
        <w:t xml:space="preserve"> </w:t>
      </w:r>
      <w:r>
        <w:t xml:space="preserve">of items across five substrates in two domains, code generation with executable ground truth included. Abstention is therefore the correct default rather than a conservative one, and the dead zone implements it exactly. The paper further proves that per-item label-free adaptation is impossible under i.i.d. latent coupling, and pre-registers four falsification criteria, among them the published dev-calibrated CISC protocol as a designated killer baseline, 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 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w:t>
      </w:r>
      <w:r>
        <w:t xml:space="preserve"> </w:t>
      </w:r>
      <w:r>
        <w:t xml:space="preserve">, and warmup-thresholded filtering</w:t>
      </w:r>
      <w:r>
        <w:t xml:space="preserve"> </w:t>
      </w:r>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7"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2"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with no tuned constant anywhere:</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and both are fixed before any</w:t>
      </w:r>
      <w:r>
        <w:t xml:space="preserve"> </w:t>
      </w:r>
      <w:r>
        <w:t xml:space="preserve">data is seen.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22"/>
    <w:bookmarkStart w:id="26" w:name="anchor-properties"/>
    <w:p>
      <w:pPr>
        <w:pStyle w:val="Heading2"/>
      </w:pPr>
      <w:r>
        <w:t xml:space="preserve">Anchor properties</w:t>
      </w:r>
    </w:p>
    <w:bookmarkStart w:id="23"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3"/>
    <w:bookmarkStart w:id="24"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4"/>
    <w:bookmarkStart w:id="25"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5"/>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6"/>
    <w:bookmarkEnd w:id="27"/>
    <w:bookmarkStart w:id="32" w:name="sec:lf"/>
    <w:p>
      <w:pPr>
        <w:pStyle w:val="Heading1"/>
      </w:pPr>
      <w:r>
        <w:t xml:space="preserve">Label-Free Estimation</w:t>
      </w:r>
    </w:p>
    <w:bookmarkStart w:id="28"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8"/>
    <w:bookmarkStart w:id="30" w:name="sign-consistency-and-its-boundary"/>
    <w:p>
      <w:pPr>
        <w:pStyle w:val="Heading2"/>
      </w:pPr>
      <w:r>
        <w:t xml:space="preserve">Sign consistency and its boundary</w:t>
      </w:r>
    </w:p>
    <w:bookmarkStart w:id="29"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9"/>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30"/>
    <w:bookmarkStart w:id="31"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1"/>
    <w:bookmarkEnd w:id="32"/>
    <w:bookmarkStart w:id="38" w:name="sec:hetero"/>
    <w:p>
      <w:pPr>
        <w:pStyle w:val="Heading1"/>
      </w:pPr>
      <w:r>
        <w:t xml:space="preserve">Heterogeneity: Impossibility and Escape</w:t>
      </w:r>
    </w:p>
    <w:bookmarkStart w:id="36"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3"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3"/>
    <w:bookmarkStart w:id="34"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4"/>
    <w:bookmarkStart w:id="35"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5"/>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36"/>
    <w:bookmarkStart w:id="37"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7"/>
    <w:bookmarkEnd w:id="38"/>
    <w:bookmarkStart w:id="44"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9"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9"/>
    <w:bookmarkStart w:id="43" w:name="fig:sweep"/>
    <w:p>
      <w:pPr>
        <w:pStyle w:val="CaptionedFigure"/>
      </w:pPr>
      <w:r>
        <w:drawing>
          <wp:inline>
            <wp:extent cx="5334000" cy="3225209"/>
            <wp:effectExtent b="0" l="0" r="0" t="0"/>
            <wp:docPr descr="" title="" id="41" name="Picture"/>
            <a:graphic>
              <a:graphicData uri="http://schemas.openxmlformats.org/drawingml/2006/picture">
                <pic:pic>
                  <pic:nvPicPr>
                    <pic:cNvPr descr="figs/tact_sweep.png" id="42" name="Picture"/>
                    <pic:cNvPicPr>
                      <a:picLocks noChangeArrowheads="1" noChangeAspect="1"/>
                    </pic:cNvPicPr>
                  </pic:nvPicPr>
                  <pic:blipFill>
                    <a:blip r:embed="rId4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3"/>
    <w:bookmarkEnd w:id="44"/>
    <w:bookmarkStart w:id="66" w:name="sec:results"/>
    <w:p>
      <w:pPr>
        <w:pStyle w:val="Heading1"/>
      </w:pPr>
      <w:r>
        <w:t xml:space="preserve">Results</w:t>
      </w:r>
    </w:p>
    <w:bookmarkStart w:id="46"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5"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5"/>
    <w:bookmarkEnd w:id="46"/>
    <w:bookmarkStart w:id="51"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0" w:name="fig:adv"/>
    <w:p>
      <w:pPr>
        <w:pStyle w:val="CaptionedFigure"/>
      </w:pPr>
      <w:r>
        <w:drawing>
          <wp:inline>
            <wp:extent cx="5334000" cy="2726266"/>
            <wp:effectExtent b="0" l="0" r="0" t="0"/>
            <wp:docPr descr="" title="" id="48" name="Picture"/>
            <a:graphic>
              <a:graphicData uri="http://schemas.openxmlformats.org/drawingml/2006/picture">
                <pic:pic>
                  <pic:nvPicPr>
                    <pic:cNvPr descr="figs/tact_adversarial.png" id="49" name="Picture"/>
                    <pic:cNvPicPr>
                      <a:picLocks noChangeArrowheads="1" noChangeAspect="1"/>
                    </pic:cNvPicPr>
                  </pic:nvPicPr>
                  <pic:blipFill>
                    <a:blip r:embed="rId4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0"/>
    <w:bookmarkEnd w:id="51"/>
    <w:bookmarkStart w:id="57"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2"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2"/>
    <w:bookmarkStart w:id="56" w:name="fig:group"/>
    <w:p>
      <w:pPr>
        <w:pStyle w:val="CaptionedFigure"/>
      </w:pPr>
      <w:r>
        <w:drawing>
          <wp:inline>
            <wp:extent cx="5334000" cy="2133600"/>
            <wp:effectExtent b="0" l="0" r="0" t="0"/>
            <wp:docPr descr="" title="" id="54" name="Picture"/>
            <a:graphic>
              <a:graphicData uri="http://schemas.openxmlformats.org/drawingml/2006/picture">
                <pic:pic>
                  <pic:nvPicPr>
                    <pic:cNvPr descr="figs/group_eval.png" id="55" name="Picture"/>
                    <pic:cNvPicPr>
                      <a:picLocks noChangeArrowheads="1" noChangeAspect="1"/>
                    </pic:cNvPicPr>
                  </pic:nvPicPr>
                  <pic:blipFill>
                    <a:blip r:embed="rId5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6"/>
    <w:bookmarkEnd w:id="57"/>
    <w:bookmarkStart w:id="58"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8"/>
    <w:bookmarkStart w:id="60"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9"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9"/>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0"/>
    <w:bookmarkStart w:id="61"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of this first campaign: one model, two benchmarks,</w:t>
      </w:r>
      <w:r>
        <w:t xml:space="preserve"> </w:t>
      </w:r>
      <m:oMath>
        <m:r>
          <m:t>K</m:t>
        </m:r>
        <m:r>
          <m:rPr>
            <m:sty m:val="p"/>
          </m:rPr>
          <m:t>=</m:t>
        </m:r>
        <m:r>
          <m:t>12</m:t>
        </m:r>
      </m:oMath>
      <w:r>
        <w:t xml:space="preserve">. It confirms</w:t>
      </w:r>
      <w:r>
        <w:t xml:space="preserve"> </w:t>
      </w:r>
      <w:r>
        <w:t xml:space="preserve">the null-direction prediction and the calibration–discrimination argument, and</w:t>
      </w:r>
      <w:r>
        <w:t xml:space="preserve"> </w:t>
      </w:r>
      <w:r>
        <w:t xml:space="preserve">it is not evidence that</w:t>
      </w:r>
      <w:r>
        <w:t xml:space="preserve"> </w:t>
      </w:r>
      <w:r>
        <w:rPr>
          <w:smallCaps/>
        </w:rPr>
        <w:t xml:space="preserve">tact</w:t>
      </w:r>
      <w:r>
        <w:t xml:space="preserve"> </w:t>
      </w:r>
      <w:r>
        <w:t xml:space="preserve">improves accuracy, since the channel carried no</w:t>
      </w:r>
      <w:r>
        <w:t xml:space="preserve"> </w:t>
      </w:r>
      <w:r>
        <w:t xml:space="preserve">signal to exploit. Finding (c) predicts what to do about that, and</w:t>
      </w:r>
      <w:r>
        <w:t xml:space="preserve"> </w:t>
      </w:r>
      <w:r>
        <w:t xml:space="preserve">Section </w:t>
      </w:r>
      <w:hyperlink w:anchor="sec:hard">
        <w:r>
          <w:rPr>
            <w:rStyle w:val="Hyperlink"/>
          </w:rPr>
          <w:t xml:space="preserve">8.7</w:t>
        </w:r>
      </w:hyperlink>
      <w:r>
        <w:t xml:space="preserve"> </w:t>
      </w:r>
      <w:r>
        <w:t xml:space="preserve">does it.</w:t>
      </w:r>
    </w:p>
    <w:bookmarkEnd w:id="61"/>
    <w:bookmarkStart w:id="63" w:name="sec:hard"/>
    <w:p>
      <w:pPr>
        <w:pStyle w:val="Heading2"/>
      </w:pPr>
      <w:r>
        <w:t xml:space="preserve">Confirmatory campaign on harder items</w:t>
      </w:r>
    </w:p>
    <w:p>
      <w:pPr>
        <w:pStyle w:val="FirstParagraph"/>
      </w:pPr>
      <w:r>
        <w:t xml:space="preserve">Finding (c) predicts that a channel measured as null on saturated benchmarks</w:t>
      </w:r>
      <w:r>
        <w:t xml:space="preserve"> </w:t>
      </w:r>
      <w:r>
        <w:t xml:space="preserve">should become measurable on items the model finds genuinely uncertain. A</w:t>
      </w:r>
      <w:r>
        <w:t xml:space="preserve"> </w:t>
      </w:r>
      <w:r>
        <w:t xml:space="preserve">pre-registered follow-up tests that prediction:</w:t>
      </w:r>
      <w:r>
        <w:t xml:space="preserve"> </w:t>
      </w:r>
      <m:oMath>
        <m:r>
          <m:t>119</m:t>
        </m:r>
      </m:oMath>
      <w:r>
        <w:t xml:space="preserve"> </w:t>
      </w:r>
      <w:r>
        <w:t xml:space="preserve">MATH level-5 problems</w:t>
      </w:r>
      <w:r>
        <w:t xml:space="preserve"> </w:t>
      </w:r>
      <w:r>
        <w:t xml:space="preserve">,</w:t>
      </w:r>
      <w:r>
        <w:t xml:space="preserve"> </w:t>
      </w:r>
      <m:oMath>
        <m:r>
          <m:t>16</m:t>
        </m:r>
      </m:oMath>
      <w:r>
        <w:t xml:space="preserve"> </w:t>
      </w:r>
      <w:r>
        <w:t xml:space="preserve">traces each from the same frozen</w:t>
      </w:r>
      <w:r>
        <w:t xml:space="preserve"> </w:t>
      </w:r>
      <w:r>
        <w:t xml:space="preserve">model, a</w:t>
      </w:r>
      <w:r>
        <w:t xml:space="preserve"> </w:t>
      </w:r>
      <m:oMath>
        <m:r>
          <m:t>30</m:t>
        </m:r>
      </m:oMath>
      <w:r>
        <w:t xml:space="preserve">-item sign set and an</w:t>
      </w:r>
      <w:r>
        <w:t xml:space="preserve"> </w:t>
      </w:r>
      <m:oMath>
        <m:r>
          <m:t>89</m:t>
        </m:r>
      </m:oMath>
      <w:r>
        <w:t xml:space="preserve">-item evaluation set drawn from the</w:t>
      </w:r>
      <w:r>
        <w:t xml:space="preserve"> </w:t>
      </w:r>
      <w:r>
        <w:t xml:space="preserve">registered list before any trace was collected, and five hypotheses (H1–H5)</w:t>
      </w:r>
      <w:r>
        <w:t xml:space="preserve"> </w:t>
      </w:r>
      <w:r>
        <w:t xml:space="preserve">fixed in advance.</w:t>
      </w:r>
    </w:p>
    <w:p>
      <w:pPr>
        <w:pStyle w:val="BodyText"/>
      </w:pPr>
      <w:r>
        <w:rPr>
          <w:i/>
          <w:iCs/>
        </w:rPr>
        <w:t xml:space="preserve">The channel is real.</w:t>
      </w:r>
      <w:r>
        <w:t xml:space="preserve"> </w:t>
      </w:r>
      <w:r>
        <w:t xml:space="preserve">On the evaluation set the pooled statistic is</w:t>
      </w:r>
      <w:r>
        <w:t xml:space="preserve"> </w:t>
      </w:r>
      <m:oMath>
        <m:acc>
          <m:accPr>
            <m:chr m:val="̂"/>
          </m:accPr>
          <m:e>
            <m:r>
              <m:t>D</m:t>
            </m:r>
          </m:e>
        </m:acc>
        <m:r>
          <m:rPr>
            <m:sty m:val="p"/>
          </m:rPr>
          <m:t>=</m:t>
        </m:r>
        <m:r>
          <m:rPr>
            <m:sty m:val="p"/>
          </m:rPr>
          <m:t>+</m:t>
        </m:r>
        <m:r>
          <m:t>0.250</m:t>
        </m:r>
      </m:oMath>
      <w:r>
        <w:t xml:space="preserve"> </w:t>
      </w:r>
      <w:r>
        <w:t xml:space="preserve">with</w:t>
      </w:r>
      <w:r>
        <w:t xml:space="preserve"> </w:t>
      </w:r>
      <m:oMath>
        <m:r>
          <m:rPr>
            <m:sty m:val="p"/>
          </m:rPr>
          <m:t>S</m:t>
        </m:r>
        <m:r>
          <m:rPr>
            <m:sty m:val="p"/>
          </m:rPr>
          <m:t>E</m:t>
        </m:r>
        <m:r>
          <m:rPr>
            <m:sty m:val="p"/>
          </m:rPr>
          <m:t>=</m:t>
        </m:r>
        <m:r>
          <m:t>0.098</m:t>
        </m:r>
      </m:oMath>
      <w:r>
        <w:t xml:space="preserve">, so</w:t>
      </w:r>
      <w:r>
        <w:t xml:space="preserve"> </w:t>
      </w:r>
      <m:oMath>
        <m:r>
          <m:t>z</m:t>
        </m:r>
        <m:r>
          <m:rPr>
            <m:sty m:val="p"/>
          </m:rPr>
          <m:t>=</m:t>
        </m:r>
        <m:r>
          <m:rPr>
            <m:sty m:val="p"/>
          </m:rPr>
          <m:t>+</m:t>
        </m:r>
        <m:r>
          <m:t>2.54</m:t>
        </m:r>
      </m:oMath>
      <w:r>
        <w:t xml:space="preserve"> </w:t>
      </w:r>
      <w:r>
        <w:t xml:space="preserve">and H1 passes. This is</w:t>
      </w:r>
      <w:r>
        <w:t xml:space="preserve"> </w:t>
      </w:r>
      <w:r>
        <w:t xml:space="preserve">the first real-trace evidence that verbalized confidence carries positive</w:t>
      </w:r>
      <w:r>
        <w:t xml:space="preserve"> </w:t>
      </w:r>
      <w:r>
        <w:t xml:space="preserve">within-item discrimination; the same measurement on GSM8K/CommonsenseQA gave</w:t>
      </w:r>
      <w:r>
        <w:t xml:space="preserve"> </w:t>
      </w:r>
      <m:oMath>
        <m:r>
          <m:rPr>
            <m:sty m:val="p"/>
          </m:rPr>
          <m:t>−</m:t>
        </m:r>
        <m:r>
          <m:t>0.219</m:t>
        </m:r>
      </m:oMath>
      <w:r>
        <w:t xml:space="preserve"> </w:t>
      </w:r>
      <w:r>
        <w:t xml:space="preserve">(</w:t>
      </w:r>
      <m:oMath>
        <m:r>
          <m:t>z</m:t>
        </m:r>
        <m:r>
          <m:rPr>
            <m:sty m:val="p"/>
          </m:rPr>
          <m:t>=</m:t>
        </m:r>
        <m:r>
          <m:rPr>
            <m:sty m:val="p"/>
          </m:rPr>
          <m:t>−</m:t>
        </m:r>
        <m:r>
          <m:t>1.24</m:t>
        </m:r>
      </m:oMath>
      <w:r>
        <w:t xml:space="preserve">).</w:t>
      </w:r>
    </w:p>
    <w:p>
      <w:pPr>
        <w:pStyle w:val="BodyText"/>
      </w:pPr>
      <w:r>
        <w:rPr>
          <w:i/>
          <w:iCs/>
        </w:rPr>
        <w:t xml:space="preserve">The endpoint was unpassable for any method.</w:t>
      </w:r>
      <w:r>
        <w:t xml:space="preserve"> </w:t>
      </w:r>
      <w:r>
        <w:t xml:space="preserve">The realized substrate</w:t>
      </w:r>
      <w:r>
        <w:t xml:space="preserve"> </w:t>
      </w:r>
      <w:r>
        <w:t xml:space="preserve">saturated again: per-trace accuracy</w:t>
      </w:r>
      <w:r>
        <w:t xml:space="preserve"> </w:t>
      </w:r>
      <m:oMath>
        <m:r>
          <m:t>0.819</m:t>
        </m:r>
      </m:oMath>
      <w:r>
        <w:t xml:space="preserve">,</w:t>
      </w:r>
      <w:r>
        <w:t xml:space="preserve"> </w:t>
      </w:r>
      <w:r>
        <w:rPr>
          <w:smallCaps/>
        </w:rPr>
        <w:t xml:space="preserve">sc</w:t>
      </w:r>
      <w:r>
        <w:t xml:space="preserve"> </w:t>
      </w:r>
      <m:oMath>
        <m:r>
          <m:t>0.888</m:t>
        </m:r>
      </m:oMath>
      <w:r>
        <w:t xml:space="preserve">, a decisive</w:t>
      </w:r>
      <w:r>
        <w:t xml:space="preserve"> </w:t>
      </w:r>
      <w:r>
        <w:t xml:space="preserve">stratum of</w:t>
      </w:r>
      <w:r>
        <w:t xml:space="preserve"> </w:t>
      </w:r>
      <m:oMath>
        <m:r>
          <m:t>10</m:t>
        </m:r>
      </m:oMath>
      <w:r>
        <w:t xml:space="preserve"> </w:t>
      </w:r>
      <w:r>
        <w:t xml:space="preserve">of</w:t>
      </w:r>
      <w:r>
        <w:t xml:space="preserve"> </w:t>
      </w:r>
      <m:oMath>
        <m:r>
          <m:t>89</m:t>
        </m:r>
      </m:oMath>
      <w:r>
        <w:t xml:space="preserve"> </w:t>
      </w:r>
      <w:r>
        <w:t xml:space="preserve">items, and the correct answer present in the pool on</w:t>
      </w:r>
      <w:r>
        <w:t xml:space="preserve"> </w:t>
      </w:r>
      <w:r>
        <w:t xml:space="preserve">only</w:t>
      </w:r>
      <w:r>
        <w:t xml:space="preserve"> </w:t>
      </w:r>
      <m:oMath>
        <m:r>
          <m:t>4</m:t>
        </m:r>
      </m:oMath>
      <w:r>
        <w:t xml:space="preserve"> </w:t>
      </w:r>
      <w:r>
        <w:t xml:space="preserve">of those. The in-pool</w:t>
      </w:r>
      <w:r>
        <w:t xml:space="preserve"> </w:t>
      </w:r>
      <w:r>
        <w:rPr>
          <w:i/>
          <w:iCs/>
        </w:rPr>
        <w:t xml:space="preserve">oracle</w:t>
      </w:r>
      <w:r>
        <w:t xml:space="preserve"> </w:t>
      </w:r>
      <w:r>
        <w:t xml:space="preserve">therefore tops out at</w:t>
      </w:r>
      <w:r>
        <w:t xml:space="preserve"> </w:t>
      </w:r>
      <m:oMath>
        <m:r>
          <m:rPr>
            <m:sty m:val="p"/>
          </m:rPr>
          <m:t>+</m:t>
        </m:r>
        <m:r>
          <m:t>4</m:t>
        </m:r>
        <m:r>
          <m:rPr>
            <m:sty m:val="p"/>
          </m:rPr>
          <m:t>/</m:t>
        </m:r>
        <m:r>
          <m:rPr>
            <m:sty m:val="p"/>
          </m:rPr>
          <m:t>−</m:t>
        </m:r>
        <m:r>
          <m:t>0</m:t>
        </m:r>
      </m:oMath>
      <w:r>
        <w:t xml:space="preserve">,</w:t>
      </w:r>
      <w:r>
        <w:t xml:space="preserve"> </w:t>
      </w:r>
      <w:r>
        <w:t xml:space="preserve">exact one-sided</w:t>
      </w:r>
      <w:r>
        <w:t xml:space="preserve"> </w:t>
      </w:r>
      <m:oMath>
        <m:r>
          <m:t>p</m:t>
        </m:r>
        <m:r>
          <m:rPr>
            <m:sty m:val="p"/>
          </m:rPr>
          <m:t>=</m:t>
        </m:r>
        <m:r>
          <m:t>0.0625</m:t>
        </m:r>
      </m:oMath>
      <w:r>
        <w:t xml:space="preserve">. H2 fails, but it fails for every conceivable</w:t>
      </w:r>
      <w:r>
        <w:t xml:space="preserve"> </w:t>
      </w:r>
      <w:r>
        <w:t xml:space="preserve">aggregation method including a perfect one, so the failure is a property of</w:t>
      </w:r>
      <w:r>
        <w:t xml:space="preserve"> </w:t>
      </w:r>
      <w:r>
        <w:t xml:space="preserve">the substrate rather than of the estimator.</w:t>
      </w:r>
    </w:p>
    <w:p>
      <w:pPr>
        <w:pStyle w:val="BodyText"/>
      </w:pPr>
      <w:r>
        <w:rPr>
          <w:i/>
          <w:iCs/>
        </w:rPr>
        <w:t xml:space="preserve">Abstention behaved as designed.</w:t>
      </w:r>
      <w:r>
        <w:t xml:space="preserve"> </w:t>
      </w:r>
      <w:r>
        <w:rPr>
          <w:smallCaps/>
        </w:rPr>
        <w:t xml:space="preserve">tact</w:t>
      </w:r>
      <w:r>
        <w:t xml:space="preserve"> </w:t>
      </w:r>
      <w:r>
        <w:t xml:space="preserve">returned</w:t>
      </w:r>
      <w:r>
        <w:t xml:space="preserve"> </w:t>
      </w:r>
      <m:oMath>
        <m:r>
          <m:t>γ</m:t>
        </m:r>
        <m:r>
          <m:rPr>
            <m:sty m:val="p"/>
          </m:rPr>
          <m:t>=</m:t>
        </m:r>
        <m:r>
          <m:t>0</m:t>
        </m:r>
      </m:oMath>
      <w:r>
        <w:t xml:space="preserve">, with</w:t>
      </w:r>
      <w:r>
        <w:t xml:space="preserve"> </w:t>
      </w:r>
      <w:r>
        <w:t xml:space="preserve">alarms E4 and E2 firing on the label-free path and the sign set holding too</w:t>
      </w:r>
      <w:r>
        <w:t xml:space="preserve"> </w:t>
      </w:r>
      <w:r>
        <w:t xml:space="preserve">few informative items to supply a semi-label-free sign. The vote is therefore</w:t>
      </w:r>
      <w:r>
        <w:t xml:space="preserve"> </w:t>
      </w:r>
      <w:r>
        <w:t xml:space="preserve">bit-identical to</w:t>
      </w:r>
      <w:r>
        <w:t xml:space="preserve"> </w:t>
      </w:r>
      <w:r>
        <w:rPr>
          <w:smallCaps/>
        </w:rPr>
        <w:t xml:space="preserve">sc</w:t>
      </w:r>
      <w:r>
        <w:t xml:space="preserve"> </w:t>
      </w:r>
      <w:r>
        <w:t xml:space="preserve">at</w:t>
      </w:r>
      <w:r>
        <w:t xml:space="preserve"> </w:t>
      </w:r>
      <m:oMath>
        <m:r>
          <m:t>0.888</m:t>
        </m:r>
      </m:oMath>
      <w:r>
        <w:t xml:space="preserve"> </w:t>
      </w:r>
      <w:r>
        <w:t xml:space="preserve">(H3, H4 pass). The cost of acting anyway is</w:t>
      </w:r>
      <w:r>
        <w:t xml:space="preserve"> </w:t>
      </w:r>
      <w:r>
        <w:t xml:space="preserve">visible in the same table: best-single-confidence, the trivial baseline that</w:t>
      </w:r>
      <w:r>
        <w:t xml:space="preserve"> </w:t>
      </w:r>
      <w:r>
        <w:t xml:space="preserve">always trusts the channel, loses</w:t>
      </w:r>
      <w:r>
        <w:t xml:space="preserve"> </w:t>
      </w:r>
      <m:oMath>
        <m:r>
          <m:t>4.5</m:t>
        </m:r>
      </m:oMath>
      <w:r>
        <w:t xml:space="preserve"> </w:t>
      </w:r>
      <w:r>
        <w:t xml:space="preserve">points at</w:t>
      </w:r>
      <w:r>
        <w:t xml:space="preserve"> </w:t>
      </w:r>
      <m:oMath>
        <m:r>
          <m:t>0.843</m:t>
        </m:r>
      </m:oMath>
      <w:r>
        <w:t xml:space="preserve">.</w:t>
      </w:r>
    </w:p>
    <w:bookmarkStart w:id="62" w:name="tab:hard"/>
    <w:p>
      <w:pPr>
        <w:pStyle w:val="TableCaption"/>
      </w:pPr>
      <w:r>
        <w:t xml:space="preserve">Confirmatory campaign, MATH level-5 evaluation set (</w:t>
      </w:r>
      <m:oMath>
        <m:r>
          <m:t>89</m:t>
        </m:r>
      </m:oMath>
      <w:r>
        <w:t xml:space="preserve"> </w:t>
      </w:r>
      <w:r>
        <w:t xml:space="preserve">items,</w:t>
      </w:r>
      <w:r>
        <w:t xml:space="preserve"> </w:t>
      </w:r>
      <m:oMath>
        <m:r>
          <m:t>K</m:t>
        </m:r>
        <m:r>
          <m:rPr>
            <m:sty m:val="p"/>
          </m:rPr>
          <m:t>=</m:t>
        </m:r>
        <m:r>
          <m:t>16</m:t>
        </m:r>
      </m:oMath>
      <w:r>
        <w:t xml:space="preserve">). Every method replays the same cached pools. The duplication</w:t>
      </w:r>
      <w:r>
        <w:t xml:space="preserve"> </w:t>
      </w:r>
      <w:r>
        <w:t xml:space="preserve">channel is inert because no reasoning text was collected, so dedup-</w:t>
      </w:r>
      <w:r>
        <w:rPr>
          <w:smallCaps/>
        </w:rPr>
        <w:t xml:space="preserve">sc</w:t>
      </w:r>
      <w:r>
        <w:t xml:space="preserve"> </w:t>
      </w:r>
      <w:r>
        <w:t xml:space="preserve">coincides with</w:t>
      </w:r>
      <w:r>
        <w:t xml:space="preserve"> </w:t>
      </w:r>
      <w:r>
        <w:rPr>
          <w:smallCaps/>
        </w:rPr>
        <w:t xml:space="preserve">sc</w:t>
      </w:r>
      <w:r>
        <w:t xml:space="preserve"> </w:t>
      </w:r>
      <w:r>
        <w:t xml:space="preserve">by construction.</w:t>
      </w:r>
    </w:p>
    <w:tbl>
      <w:tblPr>
        <w:tblStyle w:val="Table"/>
        <w:tblW w:type="auto" w:w="0"/>
        <w:tblLook w:firstRow="1" w:lastRow="0" w:firstColumn="0" w:lastColumn="0" w:noHBand="0" w:noVBand="0" w:val="0020"/>
        <w:tblCaption w:val="Confirmatory campaign, MATH level-5 evaluation set (89 items, K{=}16). Every method replays the same cached pools. The duplication channel is inert because no reasoning text was collected, so dedup-sc coincides with sc by construction."/>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Accuracy</w:t>
            </w:r>
          </w:p>
        </w:tc>
        <w:tc>
          <w:tcPr/>
          <w:p>
            <w:pPr>
              <w:pStyle w:val="Compact"/>
              <w:jc w:val="center"/>
            </w:pPr>
            <w:r>
              <w:t xml:space="preserve">net vs. </w:t>
            </w:r>
            <w:r>
              <w:rPr>
                <w:smallCaps/>
              </w:rPr>
              <w:t xml:space="preserve">sc</w:t>
            </w:r>
          </w:p>
        </w:tc>
      </w:tr>
      <w:tr>
        <w:tc>
          <w:tcPr/>
          <w:p>
            <w:pPr>
              <w:pStyle w:val="Compact"/>
              <w:jc w:val="left"/>
            </w:pPr>
            <w:r>
              <w:rPr>
                <w:smallCaps/>
              </w:rPr>
              <w:t xml:space="preserve">sc</w:t>
            </w:r>
            <w:r>
              <w:t xml:space="preserve"> </w:t>
            </w:r>
            <w:r>
              <w:t xml:space="preserve">/ dedup-</w:t>
            </w:r>
            <w:r>
              <w:rPr>
                <w:smallCaps/>
              </w:rPr>
              <w:t xml:space="preserve">sc</w:t>
            </w:r>
            <w:r>
              <w:t xml:space="preserve"> </w:t>
            </w:r>
            <w:r>
              <w:t xml:space="preserve">/ CISC-linear</w:t>
            </w:r>
          </w:p>
        </w:tc>
        <w:tc>
          <w:tcPr/>
          <w:p>
            <w:pPr>
              <w:pStyle w:val="Compact"/>
              <w:jc w:val="center"/>
            </w:pPr>
            <m:oMath>
              <m:r>
                <m:t>0.888</m:t>
              </m:r>
            </m:oMath>
          </w:p>
        </w:tc>
        <w:tc>
          <w:tcPr/>
          <w:p>
            <w:pPr>
              <w:pStyle w:val="Compact"/>
              <w:jc w:val="center"/>
            </w:pPr>
            <w:r>
              <w:t xml:space="preserve">—</w:t>
            </w:r>
          </w:p>
        </w:tc>
      </w:tr>
      <w:tr>
        <w:tc>
          <w:tcPr/>
          <w:p>
            <w:pPr>
              <w:pStyle w:val="Compact"/>
              <w:jc w:val="left"/>
            </w:pPr>
            <w:r>
              <w:rPr>
                <w:smallCaps/>
              </w:rPr>
              <w:t xml:space="preserve">tact</w:t>
            </w:r>
            <w:r>
              <w:t xml:space="preserve">-LF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rPr>
                <w:smallCaps/>
              </w:rPr>
              <w:t xml:space="preserve">tact</w:t>
            </w:r>
            <w:r>
              <w:t xml:space="preserve">-semi-LF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t xml:space="preserve">best-single-confidence</w:t>
            </w:r>
          </w:p>
        </w:tc>
        <w:tc>
          <w:tcPr/>
          <w:p>
            <w:pPr>
              <w:pStyle w:val="Compact"/>
              <w:jc w:val="center"/>
            </w:pPr>
            <m:oMath>
              <m:r>
                <m:t>0.843</m:t>
              </m:r>
            </m:oMath>
          </w:p>
        </w:tc>
        <w:tc>
          <w:tcPr/>
          <w:p>
            <w:pPr>
              <w:pStyle w:val="Compact"/>
              <w:jc w:val="center"/>
            </w:pPr>
            <m:oMath>
              <m:r>
                <m:rPr>
                  <m:sty m:val="p"/>
                </m:rPr>
                <m:t>+</m:t>
              </m:r>
              <m:r>
                <m:t>1</m:t>
              </m:r>
              <m:r>
                <m:rPr>
                  <m:sty m:val="p"/>
                </m:rPr>
                <m:t>/</m:t>
              </m:r>
              <m:r>
                <m:rPr>
                  <m:sty m:val="p"/>
                </m:rPr>
                <m:t>−</m:t>
              </m:r>
              <m:r>
                <m:t>5</m:t>
              </m:r>
            </m:oMath>
          </w:p>
        </w:tc>
      </w:tr>
      <w:tr>
        <w:tc>
          <w:tcPr/>
          <w:p>
            <w:pPr>
              <w:pStyle w:val="Compact"/>
              <w:jc w:val="left"/>
            </w:pPr>
            <w:r>
              <w:t xml:space="preserve">in-pool oracle (ceiling)</w:t>
            </w:r>
          </w:p>
        </w:tc>
        <w:tc>
          <w:tcPr/>
          <w:p>
            <w:pPr>
              <w:pStyle w:val="Compact"/>
              <w:jc w:val="center"/>
            </w:pPr>
            <m:oMath>
              <m:r>
                <m:t>0.933</m:t>
              </m:r>
            </m:oMath>
          </w:p>
        </w:tc>
        <w:tc>
          <w:tcPr/>
          <w:p>
            <w:pPr>
              <w:pStyle w:val="Compact"/>
              <w:jc w:val="center"/>
            </w:pPr>
            <m:oMath>
              <m:r>
                <m:rPr>
                  <m:sty m:val="p"/>
                </m:rPr>
                <m:t>+</m:t>
              </m:r>
              <m:r>
                <m:t>4</m:t>
              </m:r>
              <m:r>
                <m:rPr>
                  <m:sty m:val="p"/>
                </m:rPr>
                <m:t>/</m:t>
              </m:r>
              <m:r>
                <m:rPr>
                  <m:sty m:val="p"/>
                </m:rPr>
                <m:t>−</m:t>
              </m:r>
              <m:r>
                <m:t>0</m:t>
              </m:r>
            </m:oMath>
          </w:p>
        </w:tc>
      </w:tr>
    </w:tbl>
    <w:bookmarkEnd w:id="62"/>
    <w:p>
      <w:pPr>
        <w:pStyle w:val="BodyText"/>
      </w:pPr>
      <w:r>
        <w:t xml:space="preserve">One caveat from this campaign transfers beyond</w:t>
      </w:r>
      <w:r>
        <w:t xml:space="preserve"> </w:t>
      </w:r>
      <w:r>
        <w:rPr>
          <w:smallCaps/>
        </w:rPr>
        <w:t xml:space="preserve">tact</w:t>
      </w:r>
      <w:r>
        <w:t xml:space="preserve">. Measured difficulty</w:t>
      </w:r>
      <w:r>
        <w:t xml:space="preserve"> </w:t>
      </w:r>
      <w:r>
        <w:t xml:space="preserve">depended on the collection protocol: a</w:t>
      </w:r>
      <w:r>
        <w:t xml:space="preserve"> </w:t>
      </w:r>
      <m:oMath>
        <m:r>
          <m:t>30</m:t>
        </m:r>
      </m:oMath>
      <w:r>
        <w:t xml:space="preserve">-problem-per-call probe put</w:t>
      </w:r>
      <w:r>
        <w:t xml:space="preserve"> </w:t>
      </w:r>
      <w:r>
        <w:t xml:space="preserve">level-5 plurality accuracy at</w:t>
      </w:r>
      <w:r>
        <w:t xml:space="preserve"> </w:t>
      </w:r>
      <m:oMath>
        <m:r>
          <m:t>0.40</m:t>
        </m:r>
      </m:oMath>
      <w:r>
        <w:t xml:space="preserve">, while the</w:t>
      </w:r>
      <w:r>
        <w:t xml:space="preserve"> </w:t>
      </w:r>
      <m:oMath>
        <m:r>
          <m:t>15</m:t>
        </m:r>
      </m:oMath>
      <w:r>
        <w:t xml:space="preserve">-problem-per-call</w:t>
      </w:r>
      <w:r>
        <w:t xml:space="preserve"> </w:t>
      </w:r>
      <w:r>
        <w:t xml:space="preserve">confirmatory run yielded</w:t>
      </w:r>
      <w:r>
        <w:t xml:space="preserve"> </w:t>
      </w:r>
      <m:oMath>
        <m:r>
          <m:t>0.888</m:t>
        </m:r>
      </m:oMath>
      <w:r>
        <w:t xml:space="preserve"> </w:t>
      </w:r>
      <w:r>
        <w:t xml:space="preserve">on the same stratum. Batch size belongs in</w:t>
      </w:r>
      <w:r>
        <w:t xml:space="preserve"> </w:t>
      </w:r>
      <w:r>
        <w:t xml:space="preserve">the experimental record whenever traces are collected in batches.</w:t>
      </w:r>
    </w:p>
    <w:bookmarkEnd w:id="63"/>
    <w:bookmarkStart w:id="65" w:name="sec:window"/>
    <w:p>
      <w:pPr>
        <w:pStyle w:val="Heading2"/>
      </w:pPr>
      <w:r>
        <w:t xml:space="preserve">How wide is the addressable stratum?</w:t>
      </w:r>
    </w:p>
    <w:p>
      <w:pPr>
        <w:pStyle w:val="FirstParagraph"/>
      </w:pPr>
      <w:r>
        <w:t xml:space="preserve">Both campaigns failed their endpoint for the same reason, which suggests</w:t>
      </w:r>
      <w:r>
        <w:t xml:space="preserve"> </w:t>
      </w:r>
      <w:r>
        <w:t xml:space="preserve">measuring that reason directly. Define the</w:t>
      </w:r>
      <w:r>
        <w:t xml:space="preserve"> </w:t>
      </w:r>
      <w:r>
        <w:rPr>
          <w:i/>
          <w:iCs/>
        </w:rPr>
        <w:t xml:space="preserve">window</w:t>
      </w:r>
      <w:r>
        <w:t xml:space="preserve"> </w:t>
      </w:r>
      <w:r>
        <w:t xml:space="preserve">as the fraction of</w:t>
      </w:r>
      <w:r>
        <w:t xml:space="preserve"> </w:t>
      </w:r>
      <w:r>
        <w:t xml:space="preserve">items where the plurality is wrong</w:t>
      </w:r>
      <w:r>
        <w:t xml:space="preserve"> </w:t>
      </w:r>
      <w:r>
        <w:rPr>
          <w:i/>
          <w:iCs/>
        </w:rPr>
        <w:t xml:space="preserve">and</w:t>
      </w:r>
      <w:r>
        <w:t xml:space="preserve"> </w:t>
      </w:r>
      <w:r>
        <w:t xml:space="preserve">the correct answer is present</w:t>
      </w:r>
      <w:r>
        <w:t xml:space="preserve"> </w:t>
      </w:r>
      <w:r>
        <w:t xml:space="preserve">in the pool: the ceiling for any label-free aggregation method, since nothing</w:t>
      </w:r>
      <w:r>
        <w:t xml:space="preserve"> </w:t>
      </w:r>
      <w:r>
        <w:t xml:space="preserve">outside it can be changed.</w:t>
      </w:r>
    </w:p>
    <w:p>
      <w:pPr>
        <w:pStyle w:val="BodyText"/>
      </w:pPr>
      <w:r>
        <w:t xml:space="preserve">The window was measured on five substrates spanning two domains</w:t>
      </w:r>
      <w:r>
        <w:t xml:space="preserve"> </w:t>
      </w:r>
      <w:r>
        <w:t xml:space="preserve">(Table </w:t>
      </w:r>
      <w:hyperlink w:anchor="tab:window">
        <w:r>
          <w:rPr>
            <w:rStyle w:val="Hyperlink"/>
          </w:rPr>
          <w:t xml:space="preserve">6</w:t>
        </w:r>
      </w:hyperlink>
      <w:r>
        <w:t xml:space="preserve">). For code generation, where an executable test suite</w:t>
      </w:r>
      <w:r>
        <w:t xml:space="preserve"> </w:t>
      </w:r>
      <w:r>
        <w:t xml:space="preserve">supplies per-sample ground truth and the window might reasonably be expected</w:t>
      </w:r>
      <w:r>
        <w:t xml:space="preserve"> </w:t>
      </w:r>
      <w:r>
        <w:t xml:space="preserve">to widen,</w:t>
      </w:r>
      <w:r>
        <w:t xml:space="preserve"> </w:t>
      </w:r>
      <m:oMath>
        <m:r>
          <m:t>40</m:t>
        </m:r>
      </m:oMath>
      <w:r>
        <w:t xml:space="preserve"> </w:t>
      </w:r>
      <w:r>
        <w:t xml:space="preserve">LeetCode Medium/Hard problems</w:t>
      </w:r>
      <w:r>
        <w:t xml:space="preserve"> </w:t>
      </w:r>
      <w:r>
        <w:t xml:space="preserve"> </w:t>
      </w:r>
      <w:r>
        <w:t xml:space="preserve">were</w:t>
      </w:r>
      <w:r>
        <w:t xml:space="preserve"> </w:t>
      </w:r>
      <w:r>
        <w:t xml:space="preserve">solved</w:t>
      </w:r>
      <w:r>
        <w:t xml:space="preserve"> </w:t>
      </w:r>
      <m:oMath>
        <m:r>
          <m:t>8</m:t>
        </m:r>
      </m:oMath>
      <w:r>
        <w:t xml:space="preserve"> </w:t>
      </w:r>
      <w:r>
        <w:t xml:space="preserve">times each and graded against the benchmark’s hidden suites, with</w:t>
      </w:r>
      <w:r>
        <w:t xml:space="preserve"> </w:t>
      </w:r>
      <w:r>
        <w:t xml:space="preserve">the baseline taken as the largest behavioural cluster over probe inputs</w:t>
      </w:r>
      <w:r>
        <w:t xml:space="preserve"> </w:t>
      </w:r>
      <w:r>
        <w:t xml:space="preserve">(never expected outputs). The window is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wider than label-free QA, but the same order, and the</w:t>
      </w:r>
      <w:r>
        <w:t xml:space="preserve"> </w:t>
      </w:r>
      <w:r>
        <w:t xml:space="preserve">composition is the same shape at</w:t>
      </w:r>
      <w:r>
        <w:t xml:space="preserve"> </w:t>
      </w:r>
      <m:oMath>
        <m:r>
          <m:t>75</m:t>
        </m:r>
        <m:r>
          <m:rPr>
            <m:sty m:val="p"/>
          </m:rPr>
          <m:t>%</m:t>
        </m:r>
      </m:oMath>
      <w:r>
        <w:t xml:space="preserve"> </w:t>
      </w:r>
      <w:r>
        <w:t xml:space="preserve">saturated,</w:t>
      </w:r>
      <w:r>
        <w:t xml:space="preserve"> </w:t>
      </w:r>
      <m:oMath>
        <m:r>
          <m:t>18</m:t>
        </m:r>
        <m:r>
          <m:rPr>
            <m:sty m:val="p"/>
          </m:rPr>
          <m:t>%</m:t>
        </m:r>
      </m:oMath>
      <w:r>
        <w:t xml:space="preserve"> </w:t>
      </w:r>
      <w:r>
        <w:t xml:space="preserve">capability wall,</w:t>
      </w:r>
      <w:r>
        <w:t xml:space="preserve"> </w:t>
      </w:r>
      <m:oMath>
        <m:r>
          <m:t>8</m:t>
        </m:r>
        <m:r>
          <m:rPr>
            <m:sty m:val="p"/>
          </m:rPr>
          <m:t>%</m:t>
        </m:r>
      </m:oMath>
      <w:r>
        <w:t xml:space="preserve"> </w:t>
      </w:r>
      <w:r>
        <w:t xml:space="preserve">rescuable. Nor does budget open it. The seven capability-wall problems</w:t>
      </w:r>
      <w:r>
        <w:t xml:space="preserve"> </w:t>
      </w:r>
      <w:r>
        <w:t xml:space="preserve">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 and extrapolating oracle@</w:t>
      </w:r>
      <m:oMath>
        <m:r>
          <m:t>N</m:t>
        </m:r>
      </m:oMath>
      <w:r>
        <w:t xml:space="preserve"> </w:t>
      </w:r>
      <w:r>
        <w:t xml:space="preserve">shows the</w:t>
      </w:r>
      <w:r>
        <w:t xml:space="preserve"> </w:t>
      </w:r>
      <w:r>
        <w:t xml:space="preserve">window saturating by</w:t>
      </w:r>
      <w:r>
        <w:t xml:space="preserve"> </w:t>
      </w:r>
      <m:oMath>
        <m:r>
          <m:t>N</m:t>
        </m:r>
        <m:r>
          <m:rPr>
            <m:sty m:val="p"/>
          </m:rPr>
          <m:t>=</m:t>
        </m:r>
        <m:r>
          <m:t>32</m:t>
        </m:r>
      </m:oMath>
      <w:r>
        <w:t xml:space="preserve">.</w:t>
      </w:r>
    </w:p>
    <w:bookmarkStart w:id="64" w:name="tab:window"/>
    <w:p>
      <w:pPr>
        <w:pStyle w:val="TableCaption"/>
      </w:pPr>
      <w:r>
        <w:t xml:space="preserve">The addressable stratum across substrates. Rows marked</w:t>
      </w:r>
      <w:r>
        <w:t xml:space="preserve"> </w:t>
      </w:r>
      <m:oMath>
        <m:r>
          <m:rPr>
            <m:sty m:val="p"/>
          </m:rPr>
          <m:t>†</m:t>
        </m:r>
      </m:oMath>
      <w:r>
        <w:t xml:space="preserve"> </w:t>
      </w:r>
      <w:r>
        <w:t xml:space="preserve">are</w:t>
      </w:r>
      <w:r>
        <w:t xml:space="preserve"> </w:t>
      </w:r>
      <w:r>
        <w:t xml:space="preserve">measured here; HumanEval+/MBPP+ is recomputed from published oracle-minus-</w:t>
      </w:r>
      <w:r>
        <w:t xml:space="preserve"> </w:t>
      </w:r>
      <w:r>
        <w:t xml:space="preserve">selector tables. As items harden they pass from saturated to</w:t>
      </w:r>
      <w:r>
        <w:t xml:space="preserve"> </w:t>
      </w:r>
      <w:r>
        <w:t xml:space="preserve">capability-limited without the window widening.</w:t>
      </w:r>
    </w:p>
    <w:tbl>
      <w:tblPr>
        <w:tblStyle w:val="Table"/>
        <w:tblW w:type="auto" w:w="0"/>
        <w:tblLook w:firstRow="1" w:lastRow="0" w:firstColumn="0" w:lastColumn="0" w:noHBand="0" w:noVBand="0" w:val="0020"/>
        <w:tblCaption w:val="The addressable stratum across substrates. Rows marked \dagger are measured here; HumanEval+/MBPP+ is recomputed from published oracle-minus- selector tables. As items harden they pass from saturated to capability-limited without the window widening."/>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Substrate</w:t>
            </w:r>
          </w:p>
        </w:tc>
        <w:tc>
          <w:tcPr/>
          <w:p>
            <w:pPr>
              <w:pStyle w:val="Compact"/>
              <w:jc w:val="center"/>
            </w:pPr>
            <w:r>
              <w:t xml:space="preserve">Window</w:t>
            </w:r>
          </w:p>
        </w:tc>
      </w:tr>
      <w:tr>
        <w:tc>
          <w:tcPr/>
          <w:p>
            <w:pPr>
              <w:pStyle w:val="Compact"/>
              <w:jc w:val="left"/>
            </w:pPr>
            <w:r>
              <w:t xml:space="preserve">QA, label-free</w:t>
            </w:r>
          </w:p>
        </w:tc>
        <w:tc>
          <w:tcPr/>
          <w:p>
            <w:pPr>
              <w:pStyle w:val="Compact"/>
              <w:jc w:val="left"/>
            </w:pPr>
            <w:r>
              <w:t xml:space="preserve">GSM8K / CommonsenseQA</w:t>
            </w:r>
            <m:oMath>
              <m:sSup>
                <m:e>
                  <m:r>
                    <m:t>​</m:t>
                  </m:r>
                </m:e>
                <m:sup>
                  <m:r>
                    <m:rPr>
                      <m:sty m:val="p"/>
                    </m:rPr>
                    <m:t>†</m:t>
                  </m:r>
                </m:sup>
              </m:sSup>
            </m:oMath>
          </w:p>
        </w:tc>
        <w:tc>
          <w:tcPr/>
          <w:p>
            <w:pPr>
              <w:pStyle w:val="Compact"/>
              <w:jc w:val="center"/>
            </w:pPr>
            <m:oMath>
              <m:r>
                <m:t>12</m:t>
              </m:r>
              <m:r>
                <m:rPr>
                  <m:sty m:val="p"/>
                </m:rPr>
                <m:t>%</m:t>
              </m:r>
            </m:oMath>
            <w:r>
              <w:t xml:space="preserve"> </w:t>
            </w:r>
            <w:r>
              <w:t xml:space="preserve">informative,</w:t>
            </w:r>
            <w:r>
              <w:t xml:space="preserve"> </w:t>
            </w:r>
            <m:oMath>
              <m:r>
                <m:t>9</m:t>
              </m:r>
              <m:r>
                <m:rPr>
                  <m:sty m:val="p"/>
                </m:rPr>
                <m:t>%</m:t>
              </m:r>
            </m:oMath>
            <w:r>
              <w:t xml:space="preserve"> </w:t>
            </w:r>
            <w:r>
              <w:t xml:space="preserve">decisive</w:t>
            </w:r>
          </w:p>
        </w:tc>
      </w:tr>
      <w:tr>
        <w:tc>
          <w:tcPr/>
          <w:p>
            <w:pPr>
              <w:pStyle w:val="Compact"/>
              <w:jc w:val="left"/>
            </w:pPr>
            <w:r>
              <w:t xml:space="preserve">QA, label-free</w:t>
            </w:r>
          </w:p>
        </w:tc>
        <w:tc>
          <w:tcPr/>
          <w:p>
            <w:pPr>
              <w:pStyle w:val="Compact"/>
              <w:jc w:val="left"/>
            </w:pPr>
            <w:r>
              <w:t xml:space="preserve">MATH level-5</w:t>
            </w:r>
            <m:oMath>
              <m:sSup>
                <m:e>
                  <m:r>
                    <m:t>​</m:t>
                  </m:r>
                </m:e>
                <m:sup>
                  <m:r>
                    <m:rPr>
                      <m:sty m:val="p"/>
                    </m:rPr>
                    <m:t>†</m:t>
                  </m:r>
                </m:sup>
              </m:sSup>
            </m:oMath>
          </w:p>
        </w:tc>
        <w:tc>
          <w:tcPr/>
          <w:p>
            <w:pPr>
              <w:pStyle w:val="Compact"/>
              <w:jc w:val="center"/>
            </w:pPr>
            <m:oMath>
              <m:r>
                <m:t>11</m:t>
              </m:r>
              <m:r>
                <m:rPr>
                  <m:sty m:val="p"/>
                </m:rPr>
                <m:t>%</m:t>
              </m:r>
            </m:oMath>
            <w:r>
              <w:t xml:space="preserve"> </w:t>
            </w:r>
            <w:r>
              <w:t xml:space="preserve">decisive,</w:t>
            </w:r>
            <w:r>
              <w:t xml:space="preserve"> </w:t>
            </w:r>
            <m:oMath>
              <m:r>
                <m:t>4</m:t>
              </m:r>
              <m:r>
                <m:rPr>
                  <m:sty m:val="p"/>
                </m:rPr>
                <m:t>%</m:t>
              </m:r>
            </m:oMath>
            <w:r>
              <w:t xml:space="preserve"> </w:t>
            </w:r>
            <w:r>
              <w:t xml:space="preserve">rescuable</w:t>
            </w:r>
          </w:p>
        </w:tc>
      </w:tr>
      <w:tr>
        <w:tc>
          <w:tcPr/>
          <w:p>
            <w:pPr>
              <w:pStyle w:val="Compact"/>
              <w:jc w:val="left"/>
            </w:pPr>
            <w:r>
              <w:t xml:space="preserve">QA, label-free</w:t>
            </w:r>
          </w:p>
        </w:tc>
        <w:tc>
          <w:tcPr/>
          <w:p>
            <w:pPr>
              <w:pStyle w:val="Compact"/>
              <w:jc w:val="left"/>
            </w:pPr>
            <w:r>
              <w:t xml:space="preserve">AIME / AMC</w:t>
            </w:r>
            <m:oMath>
              <m:sSup>
                <m:e>
                  <m:r>
                    <m:t>​</m:t>
                  </m:r>
                </m:e>
                <m:sup>
                  <m:r>
                    <m:rPr>
                      <m:sty m:val="p"/>
                    </m:rPr>
                    <m:t>†</m:t>
                  </m:r>
                </m:sup>
              </m:sSup>
            </m:oMath>
          </w:p>
        </w:tc>
        <w:tc>
          <w:tcPr/>
          <w:p>
            <w:pPr>
              <w:pStyle w:val="Compact"/>
              <w:jc w:val="center"/>
            </w:pPr>
            <m:oMath>
              <m:r>
                <m:t>23</m:t>
              </m:r>
              <m:r>
                <m:rPr>
                  <m:sty m:val="p"/>
                </m:rPr>
                <m:t>%</m:t>
              </m:r>
            </m:oMath>
            <w:r>
              <w:t xml:space="preserve"> </w:t>
            </w:r>
            <w:r>
              <w:t xml:space="preserve">decisive,</w:t>
            </w:r>
            <w:r>
              <w:t xml:space="preserve"> </w:t>
            </w:r>
            <m:oMath>
              <m:r>
                <m:t>3</m:t>
              </m:r>
              <m:r>
                <m:rPr>
                  <m:sty m:val="p"/>
                </m:rPr>
                <m:t>%</m:t>
              </m:r>
            </m:oMath>
            <w:r>
              <w:t xml:space="preserve"> </w:t>
            </w:r>
            <w:r>
              <w:t xml:space="preserve">rescuable</w:t>
            </w:r>
          </w:p>
        </w:tc>
      </w:tr>
      <w:tr>
        <w:tc>
          <w:tcPr/>
          <w:p>
            <w:pPr>
              <w:pStyle w:val="Compact"/>
              <w:jc w:val="left"/>
            </w:pPr>
            <w:r>
              <w:t xml:space="preserve">Code, executable</w:t>
            </w:r>
          </w:p>
        </w:tc>
        <w:tc>
          <w:tcPr/>
          <w:p>
            <w:pPr>
              <w:pStyle w:val="Compact"/>
              <w:jc w:val="left"/>
            </w:pPr>
            <w:r>
              <w:t xml:space="preserve">HumanEval+ / MBPP+</w:t>
            </w:r>
          </w:p>
        </w:tc>
        <w:tc>
          <w:tcPr/>
          <w:p>
            <w:pPr>
              <w:pStyle w:val="Compact"/>
              <w:jc w:val="center"/>
            </w:pPr>
            <m:oMath>
              <m:r>
                <m:t>3.56</m:t>
              </m:r>
              <m:r>
                <m:rPr>
                  <m:sty m:val="p"/>
                </m:rPr>
                <m:t>%</m:t>
              </m:r>
            </m:oMath>
          </w:p>
        </w:tc>
      </w:tr>
      <w:tr>
        <w:tc>
          <w:tcPr/>
          <w:p>
            <w:pPr>
              <w:pStyle w:val="Compact"/>
              <w:jc w:val="left"/>
            </w:pPr>
            <w:r>
              <w:t xml:space="preserve">Code, executable</w:t>
            </w:r>
          </w:p>
        </w:tc>
        <w:tc>
          <w:tcPr/>
          <w:p>
            <w:pPr>
              <w:pStyle w:val="Compact"/>
              <w:jc w:val="left"/>
            </w:pPr>
            <w:r>
              <w:t xml:space="preserve">LeetCode Med/Hard</w:t>
            </w:r>
            <m:oMath>
              <m:sSup>
                <m:e>
                  <m:r>
                    <m:t>​</m:t>
                  </m:r>
                </m:e>
                <m:sup>
                  <m:r>
                    <m:rPr>
                      <m:sty m:val="p"/>
                    </m:rPr>
                    <m:t>†</m:t>
                  </m:r>
                </m:sup>
              </m:sSup>
            </m:oMath>
          </w:p>
        </w:tc>
        <w:tc>
          <w:tcPr/>
          <w:p>
            <w:pPr>
              <w:pStyle w:val="Compact"/>
              <w:jc w:val="center"/>
            </w:pPr>
            <m:oMath>
              <m:r>
                <m:t>7.5</m:t>
              </m:r>
              <m:r>
                <m:rPr>
                  <m:sty m:val="p"/>
                </m:rPr>
                <m:t>%</m:t>
              </m:r>
            </m:oMath>
          </w:p>
        </w:tc>
      </w:tr>
    </w:tbl>
    <w:bookmarkEnd w:id="64"/>
    <w:p>
      <w:pPr>
        <w:pStyle w:val="BodyText"/>
      </w:pPr>
      <w:r>
        <w:t xml:space="preserve">One precaution belongs with these numbers, because omitting it would have</w:t>
      </w:r>
      <w:r>
        <w:t xml:space="preserve"> </w:t>
      </w:r>
      <w:r>
        <w:t xml:space="preserve">inverted them. The grading harness was validated against the benchmark’s own</w:t>
      </w:r>
      <w:r>
        <w:t xml:space="preserve"> </w:t>
      </w:r>
      <w:r>
        <w:t xml:space="preserve">reference solutions before any candidate was scored:</w:t>
      </w:r>
      <w:r>
        <w:t xml:space="preserve"> </w:t>
      </w:r>
      <m:oMath>
        <m:r>
          <m:t>178</m:t>
        </m:r>
      </m:oMath>
      <w:r>
        <w:t xml:space="preserve"> </w:t>
      </w:r>
      <w:r>
        <w:t xml:space="preserve">of</w:t>
      </w:r>
      <w:r>
        <w:t xml:space="preserve"> </w:t>
      </w:r>
      <m:oMath>
        <m:r>
          <m:t>180</m:t>
        </m:r>
      </m:oMath>
      <w:r>
        <w:t xml:space="preserve"> </w:t>
      </w:r>
      <w:r>
        <w:t xml:space="preserve">pass</w:t>
      </w:r>
      <w:r>
        <w:t xml:space="preserve"> </w:t>
      </w:r>
      <w:r>
        <w:t xml:space="preserve">under the sandbox’s resource limits. An earlier version of the same harness</w:t>
      </w:r>
      <w:r>
        <w:t xml:space="preserve"> </w:t>
      </w:r>
      <w:r>
        <w:t xml:space="preserve">failed</w:t>
      </w:r>
      <w:r>
        <w:t xml:space="preserve"> </w:t>
      </w:r>
      <m:oMath>
        <m:r>
          <m:t>100</m:t>
        </m:r>
        <m:r>
          <m:rPr>
            <m:sty m:val="p"/>
          </m:rPr>
          <m:t>%</m:t>
        </m:r>
      </m:oMath>
      <w:r>
        <w:t xml:space="preserve"> </w:t>
      </w:r>
      <w:r>
        <w:t xml:space="preserve">of executions because the host rejects one of the requested</w:t>
      </w:r>
      <w:r>
        <w:t xml:space="preserve"> </w:t>
      </w:r>
      <w:r>
        <w:t xml:space="preserve">limits outright, and that condition presents as a candidate failure rather</w:t>
      </w:r>
      <w:r>
        <w:t xml:space="preserve"> </w:t>
      </w:r>
      <w:r>
        <w:t xml:space="preserve">than as an error. Studies that grade by execution should report their</w:t>
      </w:r>
      <w:r>
        <w:t xml:space="preserve"> </w:t>
      </w:r>
      <w:r>
        <w:t xml:space="preserve">reference-solution pass rate for the same reason a calibration curve is</w:t>
      </w:r>
      <w:r>
        <w:t xml:space="preserve"> </w:t>
      </w:r>
      <w:r>
        <w:t xml:space="preserve">reported: without it, a broken harness and a capability wall look identical.</w:t>
      </w:r>
    </w:p>
    <w:bookmarkEnd w:id="65"/>
    <w:bookmarkEnd w:id="66"/>
    <w:bookmarkStart w:id="67"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Section </w:t>
      </w:r>
      <w:hyperlink w:anchor="sec:window">
        <w:r>
          <w:rPr>
            <w:rStyle w:val="Hyperlink"/>
          </w:rPr>
          <w:t xml:space="preserve">8.8</w:t>
        </w:r>
      </w:hyperlink>
      <w:r>
        <w:t xml:space="preserve"> </w:t>
      </w:r>
      <w:r>
        <w:t xml:space="preserve">measures the stratum this</w:t>
      </w:r>
      <w:r>
        <w:t xml:space="preserve"> </w:t>
      </w:r>
      <w:r>
        <w:t xml:space="preserve">whole family of methods can act on at</w:t>
      </w:r>
      <w:r>
        <w:t xml:space="preserve"> </w:t>
      </w:r>
      <m:oMath>
        <m:r>
          <m:t>2</m:t>
        </m:r>
      </m:oMath>
      <w:r>
        <w:t xml:space="preserve">–</w:t>
      </w:r>
      <m:oMath>
        <m:r>
          <m:t>7.5</m:t>
        </m:r>
        <m:r>
          <m:rPr>
            <m:sty m:val="p"/>
          </m:rPr>
          <m:t>%</m:t>
        </m:r>
      </m:oMath>
      <w:r>
        <w:t xml:space="preserve"> </w:t>
      </w:r>
      <w:r>
        <w:t xml:space="preserve">of items on every substrate</w:t>
      </w:r>
      <w:r>
        <w:t xml:space="preserve"> </w:t>
      </w:r>
      <w:r>
        <w:t xml:space="preserve">tried, in two domains, with no widening as items harden: they pass from</w:t>
      </w:r>
      <w:r>
        <w:t xml:space="preserve"> </w:t>
      </w:r>
      <w:r>
        <w:t xml:space="preserve">saturated straight to capability-limited. Two consequences follow for the</w:t>
      </w:r>
      <w:r>
        <w:t xml:space="preserve"> </w:t>
      </w:r>
      <w:r>
        <w:t xml:space="preserve">method proposed here. First, abstention is not a conservative compromise but</w:t>
      </w:r>
      <w:r>
        <w:t xml:space="preserve"> </w:t>
      </w:r>
      <w:r>
        <w:t xml:space="preserve">the only correct default, and the measured cost of acting anyway was negative</w:t>
      </w:r>
      <w:r>
        <w:t xml:space="preserve"> </w:t>
      </w:r>
      <w:r>
        <w:t xml:space="preserve">on both real substrates (best-single-confidence loses</w:t>
      </w:r>
      <w:r>
        <w:t xml:space="preserve"> </w:t>
      </w:r>
      <m:oMath>
        <m:r>
          <m:t>4.5</m:t>
        </m:r>
      </m:oMath>
      <w:r>
        <w:t xml:space="preserve"> </w:t>
      </w:r>
      <w:r>
        <w:t xml:space="preserve">points in</w:t>
      </w:r>
      <w:r>
        <w:t xml:space="preserve"> </w:t>
      </w:r>
      <w:r>
        <w:t xml:space="preserve">Table </w:t>
      </w:r>
      <w:hyperlink w:anchor="tab:hard">
        <w:r>
          <w:rPr>
            <w:rStyle w:val="Hyperlink"/>
          </w:rPr>
          <w:t xml:space="preserve">5</w:t>
        </w:r>
      </w:hyperlink>
      <w:r>
        <w:t xml:space="preserve"> </w:t>
      </w:r>
      <w:r>
        <w:t xml:space="preserve">where the dead zone holds</w:t>
      </w:r>
      <w:r>
        <w:t xml:space="preserve"> </w:t>
      </w:r>
      <w:r>
        <w:rPr>
          <w:smallCaps/>
        </w:rPr>
        <w:t xml:space="preserve">tact</w:t>
      </w:r>
      <w:r>
        <w:t xml:space="preserve"> </w:t>
      </w:r>
      <w:r>
        <w:t xml:space="preserve">at the</w:t>
      </w:r>
      <w:r>
        <w:t xml:space="preserve"> </w:t>
      </w:r>
      <w:r>
        <w:rPr>
          <w:smallCaps/>
        </w:rPr>
        <w:t xml:space="preserve">sc</w:t>
      </w:r>
      <w:r>
        <w:t xml:space="preserve"> </w:t>
      </w:r>
      <w:r>
        <w:t xml:space="preserve">floor).</w:t>
      </w:r>
      <w:r>
        <w:t xml:space="preserve"> </w:t>
      </w:r>
      <w:r>
        <w:t xml:space="preserve">Second, an aggregation gain of the size reported on the synthetic harness is</w:t>
      </w:r>
      <w:r>
        <w:t xml:space="preserve"> </w:t>
      </w:r>
      <w:r>
        <w:t xml:space="preserve">not measurable on a benchmark of a few hundred items at these window widths,</w:t>
      </w:r>
      <w:r>
        <w:t xml:space="preserve"> </w:t>
      </w:r>
      <w:r>
        <w:t xml:space="preserve">which is why the real-trace claim in this paper is confined to the premise</w:t>
      </w:r>
      <w:r>
        <w:t xml:space="preserve"> </w:t>
      </w:r>
      <w:r>
        <w:t xml:space="preserve">(the channel exists and is signed) and to the abstention behaviour, and does</w:t>
      </w:r>
      <w:r>
        <w:t xml:space="preserve"> </w:t>
      </w:r>
      <w:r>
        <w:t xml:space="preserve">not extend to accuracy. Demonstrating the gain needs a (model, benchmark)</w:t>
      </w:r>
      <w:r>
        <w:t xml:space="preserve"> </w:t>
      </w:r>
      <w:r>
        <w:t xml:space="preserve">pair whose plurality is wrong on</w:t>
      </w:r>
      <w:r>
        <w:t xml:space="preserve"> </w:t>
      </w:r>
      <m:oMath>
        <m:r>
          <m:t>30</m:t>
        </m:r>
      </m:oMath>
      <w:r>
        <w:t xml:space="preserve">–</w:t>
      </w:r>
      <m:oMath>
        <m:r>
          <m:t>60</m:t>
        </m:r>
        <m:r>
          <m:rPr>
            <m:sty m:val="p"/>
          </m:rPr>
          <m:t>%</m:t>
        </m:r>
      </m:oMath>
      <w:r>
        <w:t xml:space="preserve"> </w:t>
      </w:r>
      <w:r>
        <w:t xml:space="preserve">of items with the correct answer</w:t>
      </w:r>
      <w:r>
        <w:t xml:space="preserve"> </w:t>
      </w:r>
      <w:r>
        <w:t xml:space="preserve">still reachable, and no pair tried here satisfies both.</w:t>
      </w:r>
    </w:p>
    <w:bookmarkEnd w:id="67"/>
    <w:bookmarkStart w:id="68"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 plain self-consistency when the evidence is absent and CISC when it is at full strength,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8"/>
    <w:bookmarkStart w:id="69"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p>
      <w:pPr>
        <w:pStyle w:val="BodyText"/>
      </w:pP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w:t>
      </w:r>
    </w:p>
    <w:p>
      <w:pPr>
        <w:pStyle w:val="BodyText"/>
      </w:pP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3" Target="media/rId13.png" /><Relationship Type="http://schemas.openxmlformats.org/officeDocument/2006/relationships/image" Id="rId47" Target="media/rId4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2026-08-01T13:42:14Z</dcterms:created>
  <dcterms:modified xsi:type="dcterms:W3CDTF">2026-08-01T13:42:14Z</dcterms:modified>
</cp:coreProperties>
</file>

<file path=docProps/custom.xml><?xml version="1.0" encoding="utf-8"?>
<Properties xmlns="http://schemas.openxmlformats.org/officeDocument/2006/custom-properties" xmlns:vt="http://schemas.openxmlformats.org/officeDocument/2006/docPropsVTypes"/>
</file>