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14.png" ContentType="image/png"/>
  <Override PartName="/word/media/rId5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improves on majority voting when a frozen</w:t>
      </w:r>
      <w:r>
        <w:t xml:space="preserve"> </w:t>
      </w:r>
      <w:r>
        <w:t xml:space="preserve">model’s self-reported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</w:t>
      </w:r>
      <w:r>
        <w:t xml:space="preserve"> </w:t>
      </w:r>
      <w:r>
        <w:t xml:space="preserve">published scheme is monotone increasing in confidence, so an anti-correlated</w:t>
      </w:r>
      <w:r>
        <w:t xml:space="preserve"> </w:t>
      </w:r>
      <w:r>
        <w:t xml:space="preserve">channel poisons the vote, and binary calibration gates survive inversion only</w:t>
      </w:r>
      <w:r>
        <w:t xml:space="preserve"> </w:t>
      </w:r>
      <w:r>
        <w:t xml:space="preserve">by discarding discriminative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</w:t>
      </w:r>
      <w:r>
        <w:t xml:space="preserve"> </w:t>
      </w:r>
      <w:r>
        <w:t xml:space="preserve">measured,</w:t>
      </w:r>
      <w:r>
        <w:t xml:space="preserve"> </w:t>
      </w:r>
      <w:r>
        <w:rPr>
          <w:i/>
          <w:iCs/>
        </w:rPr>
        <w:t xml:space="preserve">signed</w:t>
      </w:r>
      <w:r>
        <w:t xml:space="preserve">, 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an item-clustered standard error, positive-part</w:t>
      </w:r>
      <w:r>
        <w:t xml:space="preserve"> </w:t>
      </w:r>
      <w:r>
        <w:t xml:space="preserve">James–Stein shrinkage, and a Bayes-discriminant link, which at the default</w:t>
      </w:r>
      <w:r>
        <w:t xml:space="preserve"> </w:t>
      </w:r>
      <w:r>
        <w:t xml:space="preserve">base rate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probit of the shrunk pooled AUC. Inside the shrinkage dead zone the vote is</w:t>
      </w:r>
      <w:r>
        <w:t xml:space="preserve"> </w:t>
      </w:r>
      <w:r>
        <w:t xml:space="preserve">bit-identical to plain self-consistency. A label-free variant estimates the</w:t>
      </w:r>
      <w:r>
        <w:t xml:space="preserve"> </w:t>
      </w:r>
      <w:r>
        <w:t xml:space="preserve">sign from agreement pseudo-labels under an attenuation identity that</w:t>
      </w:r>
      <w:r>
        <w:t xml:space="preserve"> </w:t>
      </w:r>
      <w:r>
        <w:t xml:space="preserve">guarantees sign consistency while the plurality-error rate stays below one</w:t>
      </w:r>
      <w:r>
        <w:t xml:space="preserve"> </w:t>
      </w:r>
      <w:r>
        <w:t xml:space="preserve">half; past that boundary it mis-signs, which the paper measures and reports.</w:t>
      </w:r>
      <w:r>
        <w:t xml:space="preserve"> </w:t>
      </w:r>
      <w:r>
        <w:t xml:space="preserve">On a synthetic-oracle harness it recovers anti-correlated channels that pin</w:t>
      </w:r>
      <w:r>
        <w:t xml:space="preserve"> </w:t>
      </w:r>
      <w:r>
        <w:t xml:space="preserve">every published protocol to 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</w:t>
      </w:r>
      <w:r>
        <w:t xml:space="preserve"> </w:t>
      </w:r>
      <w:r>
        <w:t xml:space="preserve">cracks the 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).</w:t>
      </w:r>
      <w:r>
        <w:t xml:space="preserve"> </w:t>
      </w:r>
      <w:r>
        <w:t xml:space="preserve">Against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grid, which the sweep shows is a far</w:t>
      </w:r>
      <w:r>
        <w:t xml:space="preserve"> </w:t>
      </w:r>
      <w:r>
        <w:t xml:space="preserve">stronger baseline than the published protocols, the advantage narrows to</w:t>
      </w:r>
      <w:r>
        <w:t xml:space="preserve"> </w:t>
      </w:r>
      <w:r>
        <w:t xml:space="preserve">distortion, echo, and label-free operation. Two real-trace campaigns then</w:t>
      </w:r>
      <w:r>
        <w:t xml:space="preserve"> </w:t>
      </w:r>
      <w:r>
        <w:t xml:space="preserve">bound the setting: the channel is null on saturated benchmarks</w:t>
      </w:r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yet the 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 substrates in two domains, so abstention is the correct</w:t>
      </w:r>
      <w:r>
        <w:t xml:space="preserve"> </w:t>
      </w:r>
      <w:r>
        <w:t xml:space="preserve">default and the dead zone 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rather than assumes away.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across all five substrates, in two domains, and does not widen as items</w:t>
      </w:r>
      <w:r>
        <w:t xml:space="preserve"> </w:t>
      </w:r>
      <w:r>
        <w:t xml:space="preserve">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 rather</w:t>
      </w:r>
      <w:r>
        <w:t xml:space="preserve"> </w:t>
      </w:r>
      <w:r>
        <w:t xml:space="preserve">than a conservative one.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 rather than by raw</w:t>
      </w:r>
      <w:r>
        <w:t xml:space="preserve"> </w:t>
      </w:r>
      <w:r>
        <w:t xml:space="preserve">confidence,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3121335" cy="257590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the vote then sees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rather than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0.05</m:t>
        </m:r>
        <m:r>
          <m:rPr>
            <m:sty m:val="p"/>
          </m:rPr>
          <m:t>,</m:t>
        </m:r>
        <m:r>
          <m:t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 rather than a per-item one.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3" w:name="sec:lf"/>
    <w:p>
      <w:pPr>
        <w:pStyle w:val="Heading1"/>
      </w:pPr>
      <w:r>
        <w:t xml:space="preserve">Label-Free Estimation</w:t>
      </w:r>
    </w:p>
    <w:bookmarkStart w:id="39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;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below is the</w:t>
      </w:r>
      <w:r>
        <w:t xml:space="preserve"> </w:t>
      </w:r>
      <w:r>
        <w:t xml:space="preserve">estimated attenuation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t xml:space="preserve">, not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≥</m:t>
        </m:r>
        <m:r>
          <m:t>2</m:t>
        </m:r>
        <m:r>
          <m:rPr>
            <m:nor/>
            <m:sty m:val="p"/>
          </m:rPr>
          <m:t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nor/>
            <m:sty m:val="p"/>
          </m:rPr>
          <m:t>discriminant</m:t>
        </m:r>
        <m:r>
          <m:rPr>
            <m:sty m:val="p"/>
          </m:rPr>
          <m:t>&lt;</m:t>
        </m:r>
        <m:r>
          <m:t>0.02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0.20</m:t>
            </m:r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bookmarkStart w:id="37" w:name="ln:gate"/>
      <w:bookmarkEnd w:id="37"/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  <w:r>
        <w:t xml:space="preserve"> </w:t>
      </w:r>
      <w:bookmarkStart w:id="38" w:name="ln:temper"/>
      <w:bookmarkEnd w:id="38"/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path, so 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not applied</w:t>
      </w:r>
      <w:r>
        <w:t xml:space="preserve"> </w:t>
      </w:r>
      <w:r>
        <w:t xml:space="preserve">there: the base rate is exactly what no label-free estimator knows.</w:t>
      </w:r>
    </w:p>
    <w:bookmarkEnd w:id="39"/>
    <w:bookmarkStart w:id="41" w:name="sign-consistency-and-its-boundary"/>
    <w:p>
      <w:pPr>
        <w:pStyle w:val="Heading2"/>
      </w:pPr>
      <w:r>
        <w:t xml:space="preserve">Sign consistency and its boundary</w:t>
      </w:r>
    </w:p>
    <w:bookmarkStart w:id="40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0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conditional; it is stated as such rather than papered over.</w:t>
      </w:r>
    </w:p>
    <w:bookmarkEnd w:id="41"/>
    <w:bookmarkStart w:id="42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2"/>
    <w:bookmarkEnd w:id="43"/>
    <w:bookmarkStart w:id="49" w:name="sec:hetero"/>
    <w:p>
      <w:pPr>
        <w:pStyle w:val="Heading1"/>
      </w:pPr>
      <w:r>
        <w:t xml:space="preserve">Heterogeneity: Impossibility and Escape</w:t>
      </w:r>
    </w:p>
    <w:bookmarkStart w:id="47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4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4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5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 rather than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5"/>
    <w:bookmarkStart w:id="46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6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7"/>
    <w:bookmarkStart w:id="48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8"/>
    <w:bookmarkEnd w:id="49"/>
    <w:bookmarkStart w:id="54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3" w:name="fig:sweep"/>
    <w:p>
      <w:pPr>
        <w:pStyle w:val="CaptionedFigure"/>
      </w:pPr>
      <w:r>
        <w:drawing>
          <wp:inline>
            <wp:extent cx="3332174" cy="257590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s/tact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3"/>
    <w:bookmarkEnd w:id="54"/>
    <w:bookmarkStart w:id="79" w:name="sec:results"/>
    <w:p>
      <w:pPr>
        <w:pStyle w:val="Heading1"/>
      </w:pPr>
      <w:r>
        <w:t xml:space="preserve">Results</w:t>
      </w:r>
    </w:p>
    <w:bookmarkStart w:id="55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5"/>
    <w:bookmarkStart w:id="57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6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6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7"/>
    <w:bookmarkStart w:id="62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61" w:name="fig:adv"/>
    <w:p>
      <w:pPr>
        <w:pStyle w:val="CaptionedFigure"/>
      </w:pPr>
      <w:r>
        <w:drawing>
          <wp:inline>
            <wp:extent cx="3121335" cy="247965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tact_adversaria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1"/>
    <w:bookmarkEnd w:id="62"/>
    <w:bookmarkStart w:id="68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3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3"/>
    <w:bookmarkStart w:id="67" w:name="fig:group"/>
    <w:p>
      <w:pPr>
        <w:pStyle w:val="CaptionedFigure"/>
      </w:pPr>
      <w:r>
        <w:drawing>
          <wp:inline>
            <wp:extent cx="3121335" cy="316716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s/group_ev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7"/>
    <w:bookmarkEnd w:id="68"/>
    <w:bookmarkStart w:id="69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 rather than catastrophically.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9"/>
    <w:bookmarkStart w:id="71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0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0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71"/>
    <w:bookmarkStart w:id="72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 rather than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2"/>
    <w:bookmarkStart w:id="73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3"/>
    <w:bookmarkStart w:id="75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 rather than of the estimator.</w:t>
      </w:r>
    </w:p>
    <w:p>
      <w:pPr>
        <w:pStyle w:val="BodyText"/>
      </w:pPr>
      <w:r>
        <w:rPr>
          <w:i/>
          <w:iCs/>
        </w:rPr>
        <w:t xml:space="preserve">Abstention behaved as designed.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w:r>
        <w:t xml:space="preserve">alarms E4 and E2 firing on the label-free path and the sign set holding too</w:t>
      </w:r>
      <w:r>
        <w:t xml:space="preserve"> </w:t>
      </w:r>
      <w:r>
        <w:t xml:space="preserve">few informative items to supply a semi-label-free sign.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</w:t>
      </w:r>
    </w:p>
    <w:bookmarkStart w:id="74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4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5"/>
    <w:bookmarkStart w:id="77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6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 The last row is that same MATH L5 substrate</w:t>
      </w:r>
      <w:r>
        <w:t xml:space="preserve"> </w:t>
      </w:r>
      <w:r>
        <w:t xml:space="preserve">under the budget manipulation of 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, not a sixth</w:t>
      </w:r>
      <w:r>
        <w:t xml:space="preserve"> </w:t>
      </w:r>
      <w:r>
        <w:t xml:space="preserve">substrate: the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range quoted throughout is over the five</w:t>
      </w:r>
      <w:r>
        <w:t xml:space="preserve"> </w:t>
      </w:r>
      <w:r>
        <w:t xml:space="preserve">above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 The last row is that same MATH L5 substrate under the budget manipulation of Section 8.10, not a sixth substrate: the 2.5–7.5\% range quoted throughout is over the five above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6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 rather than as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7"/>
    <w:bookmarkStart w:id="78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fired. That abstention is testable rather than a matter of taste,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8"/>
    <w:bookmarkEnd w:id="79"/>
    <w:bookmarkStart w:id="80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tests that the</w:t>
      </w:r>
      <w:r>
        <w:t xml:space="preserve"> </w:t>
      </w:r>
      <w:r>
        <w:t xml:space="preserve">implementation respects an invariance it was built to have rather than</w:t>
      </w:r>
      <w:r>
        <w:t xml:space="preserve"> </w:t>
      </w:r>
      <w:r>
        <w:t xml:space="preserve">probing an untested regime;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 rather</w:t>
      </w:r>
      <w:r>
        <w:t xml:space="preserve"> </w:t>
      </w:r>
      <w:r>
        <w:t xml:space="preserve">than an optional refinement.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all five</w:t>
      </w:r>
      <w:r>
        <w:t xml:space="preserve"> </w:t>
      </w:r>
      <w:r>
        <w:t xml:space="preserve">substrates,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adds the one axis that does widen the window, and it</w:t>
      </w:r>
      <w:r>
        <w:t xml:space="preserve"> </w:t>
      </w:r>
      <w:r>
        <w:t xml:space="preserve">cuts the same way: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 an oracle able to convert</w:t>
      </w:r>
      <w:r>
        <w:t xml:space="preserve"> </w:t>
      </w:r>
      <w:r>
        <w:t xml:space="preserve">nine items, confidence weighting still reaches fewer than half of them. The</w:t>
      </w:r>
      <w:r>
        <w:t xml:space="preserve"> </w:t>
      </w:r>
      <w:r>
        <w:t xml:space="preserve">width of the window is not the only thing in the way.</w:t>
      </w:r>
    </w:p>
    <w:p>
      <w:pPr>
        <w:pStyle w:val="BodyText"/>
      </w:pPr>
      <w:r>
        <w:rPr>
          <w:b/>
          <w:bCs/>
        </w:rPr>
        <w:t xml:space="preserve">Widening the window on purpose.</w:t>
      </w:r>
      <w:r>
        <w:t xml:space="preserve"> </w:t>
      </w:r>
      <w:r>
        <w:t xml:space="preserve">That result also names the most</w:t>
      </w:r>
      <w:r>
        <w:t xml:space="preserve"> </w:t>
      </w:r>
      <w:r>
        <w:t xml:space="preserve">promising direction the paper does not pursue. Difficulty moves items from</w:t>
      </w:r>
      <w:r>
        <w:t xml:space="preserve"> </w:t>
      </w:r>
      <w:r>
        <w:t xml:space="preserve">saturated straight to capability-limited, but the budget constraint of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moved them across the plurality boundary while leaving</w:t>
      </w:r>
      <w:r>
        <w:t xml:space="preserve"> </w:t>
      </w:r>
      <w:r>
        <w:t xml:space="preserve">the answer inside the model’s competence, which is the combination the decisive</w:t>
      </w:r>
      <w:r>
        <w:t xml:space="preserve"> </w:t>
      </w:r>
      <w:r>
        <w:t xml:space="preserve">stratum needs; sampling temperature is a second knob with the same character,</w:t>
      </w:r>
      <w:r>
        <w:t xml:space="preserve"> </w:t>
      </w:r>
      <w:r>
        <w:t xml:space="preserve">and neither was swept. If the sampling regime is a controllable input rather</w:t>
      </w:r>
      <w:r>
        <w:t xml:space="preserve"> </w:t>
      </w:r>
      <w:r>
        <w:t xml:space="preserve">than a fixed property of the substrate, the question changes from</w:t>
      </w:r>
      <w:r>
        <w:t xml:space="preserve"> </w:t>
      </w:r>
      <w:r>
        <w:t xml:space="preserve">“how wide is</w:t>
      </w:r>
      <w:r>
        <w:t xml:space="preserve"> </w:t>
      </w:r>
      <w:r>
        <w:t xml:space="preserve">the window?”</w:t>
      </w:r>
      <w:r>
        <w:t xml:space="preserve"> </w:t>
      </w:r>
      <w:r>
        <w:t xml:space="preserve">to</w:t>
      </w:r>
      <w:r>
        <w:t xml:space="preserve"> </w:t>
      </w:r>
      <w:r>
        <w:t xml:space="preserve">“what decoding configuration puts the most items in it, at</w:t>
      </w:r>
      <w:r>
        <w:t xml:space="preserve"> </w:t>
      </w:r>
      <w:r>
        <w:t xml:space="preserve">what accuracy cost, and does the confidence channel stay signed there?”</w:t>
      </w:r>
      <w:r>
        <w:t xml:space="preserve"> </w:t>
      </w:r>
      <w:r>
        <w:t xml:space="preserve">The</w:t>
      </w:r>
      <w:r>
        <w:t xml:space="preserve"> </w:t>
      </w:r>
      <w:r>
        <w:t xml:space="preserve">budget arm answers the first part once and suggests the channel gets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under the constraint (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), which</w:t>
      </w:r>
      <w:r>
        <w:t xml:space="preserve"> </w:t>
      </w:r>
      <w:r>
        <w:t xml:space="preserve">would be worth confirming on more than one substrate before it is believed. A</w:t>
      </w:r>
      <w:r>
        <w:t xml:space="preserve"> </w:t>
      </w:r>
      <w:r>
        <w:t xml:space="preserve">method that chose its own decoding budget to maximise decisive-stratum mass,</w:t>
      </w:r>
      <w:r>
        <w:t xml:space="preserve"> </w:t>
      </w:r>
      <w:r>
        <w:t xml:space="preserve">then aggregated, would be a different contribution from this one, and the</w:t>
      </w:r>
      <w:r>
        <w:t xml:space="preserve"> </w:t>
      </w:r>
      <w:r>
        <w:t xml:space="preserve">measurement here is what makes it worth attempting.</w:t>
      </w:r>
    </w:p>
    <w:bookmarkEnd w:id="80"/>
    <w:bookmarkStart w:id="8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81"/>
    <w:bookmarkStart w:id="83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2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. Each script</w:t>
      </w:r>
      <w:r>
        <w:t xml:space="preserve"> </w:t>
      </w:r>
      <w:r>
        <w:t xml:space="preserve">writes the artifact its table cites. Figures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–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are vector output from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, which reads</w:t>
      </w:r>
      <w:r>
        <w:t xml:space="preserve"> </w:t>
      </w:r>
      <w:r>
        <w:t xml:space="preserve">the same JSON.</w:t>
      </w:r>
    </w:p>
    <w:bookmarkEnd w:id="83"/>
    <w:bookmarkStart w:id="85" w:name="app:notation"/>
    <w:p>
      <w:pPr>
        <w:pStyle w:val="Heading1"/>
      </w:pPr>
      <w:r>
        <w:t xml:space="preserve">Notation</w:t>
      </w:r>
    </w:p>
    <w:bookmarkStart w:id="84" w:name="tab:notation"/>
    <w:p>
      <w:pPr>
        <w:pStyle w:val="TableCaption"/>
      </w:pPr>
      <w:r>
        <w:t xml:space="preserve">Symbols, in order of first use. Quantities carrying a subscript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per item; the estimator ships one global scalar unless a group covariate is</w:t>
      </w:r>
      <w:r>
        <w:t xml:space="preserve"> </w:t>
      </w:r>
      <w:r>
        <w:t xml:space="preserve">available 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mbols, in order of first use. Quantities carrying a subscript q are per item; the estimator ships one global scalar unless a group covariate is available (Section 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index; number of 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traces available for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; voting budget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answer of trace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 the correct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self-reported confidence,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; unobservable at test time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rate of correct traces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within-item midrank of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(ties averaged)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standardized van der Waerden score of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; the vote feature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realized within-item SD of the normal scores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vote exponent; its cap (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returned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Somers’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within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van Elteren pooling weight,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pooled signed discrimination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exact tie-corrected null SE; delete-one-item jackknife SE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t xml:space="preserve">; the dead zone is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significance floor (</w:t>
            </w:r>
            <m:oMath>
              <m:r>
                <m:t>1.28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2.33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shrunk discrimination,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dedup-weighted plurality; the pseudo-label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pair-weighted probability the plurality is</w:t>
            </w:r>
            <w:r>
              <w:t xml:space="preserve"> </w:t>
            </w:r>
            <w:r>
              <w:rPr>
                <w:i/>
                <w:iCs/>
              </w:rP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attenuation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 </w:t>
            </w:r>
            <w:r>
              <w:t xml:space="preserve">(not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split-half agreement; effective number of wrong 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four alarms; any one forces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margin-decoupling statistic behind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confidence–correctness coupling in the oracle</w:t>
            </w:r>
            <w:r>
              <w:t xml:space="preserve"> </w:t>
            </w:r>
            <w:hyperlink w:anchor="eq:confmodel">
              <w:r>
                <w:rPr>
                  <w:rStyle w:val="Hyperlink"/>
                </w:rPr>
                <w:t xml:space="preserve">[eq:confmodel]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per-item coupling under i.i.d. heterogeneity</w:t>
            </w:r>
          </w:p>
        </w:tc>
      </w:tr>
    </w:tbl>
    <w:bookmarkEnd w:id="84"/>
    <w:bookmarkEnd w:id="85"/>
    <w:bookmarkStart w:id="13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6" w:name="bib:wang2023selfconsistency"/>
      <w:bookmarkEnd w:id="86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7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8" w:name="bib:tian2023just"/>
      <w:bookmarkEnd w:id="88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9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90" w:name="bib:xiong2024can"/>
      <w:bookmarkEnd w:id="90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91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92" w:name="bib:kadavath2022language"/>
      <w:bookmarkEnd w:id="92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3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4" w:name="bib:taubenfeld2025cisc"/>
      <w:bookmarkEnd w:id="94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5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6" w:name="bib:reasc2026"/>
      <w:bookmarkEnd w:id="96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7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8" w:name="bib:deepconf2025"/>
      <w:bookmarkEnd w:id="98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9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100" w:name="bib:huang2024rankcalibration"/>
      <w:bookmarkEnd w:id="100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101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102" w:name="bib:dawid1979maximum"/>
      <w:bookmarkEnd w:id="102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3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4" w:name="bib:parisi2014ranking"/>
      <w:bookmarkEnd w:id="104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5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6" w:name="bib:li2023diverse"/>
      <w:bookmarkEnd w:id="106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7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8" w:name="bib:aggarwal2023adaptive"/>
      <w:bookmarkEnd w:id="108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9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10" w:name="bib:li2024escape"/>
      <w:bookmarkEnd w:id="110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11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12" w:name="bib:borda2025"/>
      <w:bookmarkEnd w:id="112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3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4" w:name="bib:whitehill2009whose"/>
      <w:bookmarkEnd w:id="114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5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6" w:name="bib:karger2011iterative"/>
      <w:bookmarkEnd w:id="116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7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8" w:name="bib:fuse2026"/>
      <w:bookmarkEnd w:id="118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9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20" w:name="bib:beyondmajority2025"/>
      <w:bookmarkEnd w:id="120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21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22" w:name="bib:vanelteren1960"/>
      <w:bookmarkEnd w:id="122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3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4" w:name="bib:james1961estimation"/>
      <w:bookmarkEnd w:id="124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5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6" w:name="bib:kish1965"/>
      <w:bookmarkEnd w:id="126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7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8" w:name="bib:rao1981analysis"/>
      <w:bookmarkEnd w:id="128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9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30" w:name="bib:gsm8k2021"/>
      <w:bookmarkEnd w:id="130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31" w:name="bib:math500"/>
      <w:bookmarkEnd w:id="131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2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33" w:name="bib:lightman2024verify"/>
      <w:bookmarkEnd w:id="133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4" w:name="bib:leetcodedataset"/>
      <w:bookmarkEnd w:id="134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5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6" w:name="bib:kuhn2023semantic"/>
      <w:bookmarkEnd w:id="136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7">
        <w:r>
          <w:rPr>
            <w:rStyle w:val="Hyperlink"/>
          </w:rPr>
          <w:t xml:space="preserve">https://arxiv.org/pdf/2302.09664</w:t>
        </w:r>
      </w:hyperlink>
    </w:p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2026-08-02T11:26:49Z</dcterms:created>
  <dcterms:modified xsi:type="dcterms:W3CDTF">2026-08-02T11:26:49Z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