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14.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improves on majority voting when a frozen large language model’s self-reported confidence is calibrated in</w:t>
      </w:r>
      <w:r>
        <w:t xml:space="preserve"> </w:t>
      </w:r>
      <w:r>
        <w:rPr>
          <w:i/>
          <w:iCs/>
        </w:rPr>
        <w:t xml:space="preserve">direction</w:t>
      </w:r>
      <w:r>
        <w:t xml:space="preserve">. Every published weighting scheme is structurally monotone increasing in confidence, so an anti-correlated channel poisons the vote instead of informing it, while binary dev-set gates survive inversion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Written out, the method is a single expression whose exponent reduces to</w:t>
      </w:r>
      <w:r>
        <w:t xml:space="preserve"> </w:t>
      </w:r>
      <m:oMath>
        <m:r>
          <m:t>γ</m:t>
        </m:r>
        <m:r>
          <m:rPr>
            <m:sty m:val="p"/>
          </m:rPr>
          <m:t>=</m:t>
        </m:r>
        <m:r>
          <m:t>z</m:t>
        </m:r>
        <m:rad>
          <m:radPr>
            <m:degHide m:val="on"/>
          </m:radPr>
          <m:deg/>
          <m:e>
            <m:r>
              <m:t>2</m:t>
            </m:r>
            <m:r>
              <m:rPr>
                <m:sty m:val="p"/>
              </m:rPr>
              <m:t>+</m:t>
            </m:r>
            <m:sSup>
              <m:e>
                <m:r>
                  <m:t>z</m:t>
                </m:r>
              </m:e>
              <m:sup>
                <m:r>
                  <m:t>2</m:t>
                </m:r>
              </m:sup>
            </m:sSup>
          </m:e>
        </m:rad>
      </m:oMath>
      <w:r>
        <w:t xml:space="preserve"> </w:t>
      </w:r>
      <w:r>
        <w:t xml:space="preserve">with</w:t>
      </w:r>
      <w:r>
        <w:t xml:space="preserve"> </w:t>
      </w:r>
      <m:oMath>
        <m:r>
          <m:t>z</m:t>
        </m:r>
      </m:oMath>
      <w:r>
        <w:t xml:space="preserve"> </w:t>
      </w:r>
      <w:r>
        <w:t xml:space="preserve">the probit of the shrunk pooled AUC, and it carries exact anchors: inside the shrinkage dead zone the vote is bit-identical to plain self-consistency, and a log-value feature map reproduces CISC-power. A label-free variant estimates the signed reliability from agreement pseudo-labels under a proven attenuation identity that guarantees sign consistency whenever the plurality-error rate is below one half, with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best exponent in the tested raw-value grid</w:t>
      </w:r>
      <w:r>
        <w:t xml:space="preserve"> </w:t>
      </w:r>
      <m:oMath>
        <m:r>
          <m:rPr>
            <m:sty m:val="p"/>
          </m:rPr>
          <m:t>{</m:t>
        </m:r>
        <m:r>
          <m:t>0.25</m:t>
        </m:r>
        <m:r>
          <m:rPr>
            <m:sty m:val="p"/>
          </m:rPr>
          <m:t>,</m:t>
        </m:r>
        <m:r>
          <m:t>0.5</m:t>
        </m:r>
        <m:r>
          <m:rPr>
            <m:sty m:val="p"/>
          </m:rPr>
          <m:t>,</m:t>
        </m:r>
        <m:r>
          <m:t>1</m:t>
        </m:r>
        <m:r>
          <m:rPr>
            <m:sty m:val="p"/>
          </m:rPr>
          <m:t>,</m:t>
        </m:r>
        <m:r>
          <m:t>2</m:t>
        </m:r>
        <m:r>
          <m:rPr>
            <m:sty m:val="p"/>
          </m:rPr>
          <m:t>,</m:t>
        </m:r>
        <m:r>
          <m:t>4</m:t>
        </m:r>
        <m:r>
          <m:rPr>
            <m:sty m:val="p"/>
          </m:rPr>
          <m:t>}</m:t>
        </m:r>
      </m:oMath>
      <w:r>
        <w:t xml:space="preserve"> </w:t>
      </w:r>
      <w:r>
        <w:t xml:space="preserve">under monotone confidence compression (</w:t>
      </w:r>
      <m:oMath>
        <m:r>
          <m:t>1.000</m:t>
        </m:r>
      </m:oMath>
      <w:r>
        <w:t xml:space="preserve"> </w:t>
      </w:r>
      <w:r>
        <w:t xml:space="preserve">vs. </w:t>
      </w:r>
      <m:oMath>
        <m:r>
          <m:t>0.965</m:t>
        </m:r>
      </m:oMath>
      <w:r>
        <w:t xml:space="preserve">, the grid optimum sitting at its upper endpoint),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Two real-trace campaigns on a frozen model confirm the premise and locate the binding constraint: within-item discrimination is positive on competition mathematics (pooled</w:t>
      </w:r>
      <w:r>
        <w:t xml:space="preserve"> </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yet the stratum on which any such method can act, where the plurality is wrong and the correct answer is present in the pool, measures</w:t>
      </w:r>
      <w:r>
        <w:t xml:space="preserve"> </w:t>
      </w:r>
      <m:oMath>
        <m:r>
          <m:t>3</m:t>
        </m:r>
      </m:oMath>
      <w:r>
        <w:t xml:space="preserve">–</w:t>
      </w:r>
      <m:oMath>
        <m:r>
          <m:t>7.5</m:t>
        </m:r>
        <m:r>
          <m:rPr>
            <m:sty m:val="p"/>
          </m:rPr>
          <m:t>%</m:t>
        </m:r>
      </m:oMath>
      <w:r>
        <w:t xml:space="preserve"> </w:t>
      </w:r>
      <w:r>
        <w:t xml:space="preserve">of items across five substrates in two domains, code generation with executable ground truth included. Abstention is therefore the correct default rather than a conservative one, and the dead zone implements it exactly. The paper further proves that per-item label-free adaptation is impossible under i.i.d. latent coupling, and pre-registers four falsification criteria, among them the published dev-calibrated CISC protocol as a designated killer baseline, 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 [</w:t>
      </w:r>
      <w:hyperlink w:anchor="bib:wang2023selfconsistency">
        <w:r>
          <w:rPr>
            <w:rStyle w:val="Hyperlink"/>
          </w:rPr>
          <w:t xml:space="preserve">1</w:t>
        </w:r>
      </w:hyperlink>
      <w:r>
        <w:t xml:space="preserve">] 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 (verbalized [</w:t>
      </w:r>
      <w:hyperlink w:anchor="bib:tian2023just">
        <w:r>
          <w:rPr>
            <w:rStyle w:val="Hyperlink"/>
          </w:rPr>
          <w:t xml:space="preserve">2</w:t>
        </w:r>
      </w:hyperlink>
      <w:r>
        <w:t xml:space="preserve">,</w:t>
      </w:r>
      <w:hyperlink w:anchor="bib:xiong2024can">
        <w:r>
          <w:rPr>
            <w:rStyle w:val="Hyperlink"/>
          </w:rPr>
          <w:t xml:space="preserve">3</w:t>
        </w:r>
      </w:hyperlink>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w:t>
      </w:r>
      <w:hyperlink w:anchor="bib:kadavath2022language">
        <w:r>
          <w:rPr>
            <w:rStyle w:val="Hyperlink"/>
          </w:rPr>
          <w:t xml:space="preserve">4</w:t>
        </w:r>
      </w:hyperlink>
      <w:r>
        <w:t xml:space="preserve">]), a natural refinement is to weight votes by confidence. Confidence-Informed Self-Consistency (CISC) [</w:t>
      </w:r>
      <w:hyperlink w:anchor="bib:taubenfeld2025cisc">
        <w:r>
          <w:rPr>
            <w:rStyle w:val="Hyperlink"/>
          </w:rPr>
          <w:t xml:space="preserve">5</w:t>
        </w:r>
      </w:hyperlink>
      <w:r>
        <w:t xml:space="preserve">] 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 is monotone</w:t>
      </w:r>
      <w:r>
        <w:t xml:space="preserve"> </w:t>
      </w:r>
      <w:r>
        <w:rPr>
          <w:i/>
          <w:iCs/>
        </w:rPr>
        <w:t xml:space="preserve">increasing</w:t>
      </w:r>
      <w:r>
        <w:t xml:space="preserve"> </w:t>
      </w:r>
      <w:r>
        <w:t xml:space="preserve">in confidence, including CISC’s softmax weights,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 a binary dev-set gate that disables the channel when calibration error is high, survives the inversion but discards discriminative signal wholesale: a systematically under-confident yet perfectly ranked channel fails an ECE gate for reasons irrelevant to voting utility [</w:t>
      </w:r>
      <w:hyperlink w:anchor="bib:taubenfeld2025cisc">
        <w:r>
          <w:rPr>
            <w:rStyle w:val="Hyperlink"/>
          </w:rPr>
          <w:t xml:space="preserve">5</w:t>
        </w:r>
      </w:hyperlink>
      <w:r>
        <w:t xml:space="preserve">,</w:t>
      </w:r>
      <w:hyperlink w:anchor="bib:huang2024rankcalibration">
        <w:r>
          <w:rPr>
            <w:rStyle w:val="Hyperlink"/>
          </w:rPr>
          <w:t xml:space="preserve">8</w:t>
        </w:r>
      </w:hyperlink>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that scalar, with its uncertainty, 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best exponent in the tested raw-value grid</w:t>
      </w:r>
      <w:r>
        <w:t xml:space="preserve"> </w:t>
      </w:r>
      <m:oMath>
        <m:r>
          <m:rPr>
            <m:sty m:val="p"/>
          </m:rPr>
          <m:t>{</m:t>
        </m:r>
        <m:r>
          <m:t>0.25</m:t>
        </m:r>
        <m:r>
          <m:rPr>
            <m:sty m:val="p"/>
          </m:rPr>
          <m:t>,</m:t>
        </m:r>
        <m:r>
          <m:t>0.5</m:t>
        </m:r>
        <m:r>
          <m:rPr>
            <m:sty m:val="p"/>
          </m:rPr>
          <m:t>,</m:t>
        </m:r>
        <m:r>
          <m:t>1</m:t>
        </m:r>
        <m:r>
          <m:rPr>
            <m:sty m:val="p"/>
          </m:rPr>
          <m:t>,</m:t>
        </m:r>
        <m:r>
          <m:t>2</m:t>
        </m:r>
        <m:r>
          <m:rPr>
            <m:sty m:val="p"/>
          </m:rPr>
          <m:t>,</m:t>
        </m:r>
        <m:r>
          <m:t>4</m:t>
        </m:r>
        <m:r>
          <m:rPr>
            <m:sty m:val="p"/>
          </m:rPr>
          <m:t>}</m:t>
        </m:r>
      </m:oMath>
      <w:r>
        <w:t xml:space="preserve"> </w:t>
      </w:r>
      <w:r>
        <w:t xml:space="preserve">(</w:t>
      </w:r>
      <m:oMath>
        <m:r>
          <m:t>1.000</m:t>
        </m:r>
      </m:oMath>
      <w:r>
        <w:t xml:space="preserve"> </w:t>
      </w:r>
      <w:r>
        <w:t xml:space="preserve">vs. </w:t>
      </w:r>
      <m:oMath>
        <m:r>
          <m:t>0.965</m:t>
        </m:r>
      </m:oMath>
      <w:r>
        <w:t xml:space="preserve">); that grid optimum lies at the largest exponent tried, so the comparison bounds the grid, not the whole family.</w:t>
      </w:r>
    </w:p>
    <w:p>
      <w:pPr>
        <w:pStyle w:val="BodyText"/>
      </w:pPr>
      <w:r>
        <w:rPr>
          <w:b/>
          <w:bCs/>
        </w:rPr>
        <w:t xml:space="preserve">C2: Label-free estimation of the signed reliability.</w:t>
      </w:r>
      <w:r>
        <w:t xml:space="preserve"> </w:t>
      </w:r>
      <w:r>
        <w:t xml:space="preserve">The crowdsourcing lineage estimates annotator reliability from cross-annotator covariance [</w:t>
      </w:r>
      <w:hyperlink w:anchor="bib:dawid1979maximum">
        <w:r>
          <w:rPr>
            <w:rStyle w:val="Hyperlink"/>
          </w:rPr>
          <w:t xml:space="preserve">9</w:t>
        </w:r>
      </w:hyperlink>
      <w:r>
        <w:t xml:space="preserve">,</w:t>
      </w:r>
      <w:hyperlink w:anchor="bib:parisi2014ranking">
        <w:r>
          <w:rPr>
            <w:rStyle w:val="Hyperlink"/>
          </w:rPr>
          <w:t xml:space="preserve">10</w:t>
        </w:r>
      </w:hyperlink>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three cells: 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w:t>
      </w:r>
      <w:hyperlink w:anchor="bib:wang2023selfconsistency">
        <w:r>
          <w:rPr>
            <w:rStyle w:val="Hyperlink"/>
          </w:rPr>
          <w:t xml:space="preserve">1</w:t>
        </w:r>
      </w:hyperlink>
      <w:r>
        <w:t xml:space="preserve">] treats sampled traces as i.i.d. votes. CISC [</w:t>
      </w:r>
      <w:hyperlink w:anchor="bib:taubenfeld2025cisc">
        <w:r>
          <w:rPr>
            <w:rStyle w:val="Hyperlink"/>
          </w:rPr>
          <w:t xml:space="preserve">5</w:t>
        </w:r>
      </w:hyperlink>
      <w:r>
        <w:t xml:space="preserve">] weights votes by softmax-normalized confidence with a temperature tuned on a labeled split, and its WQD metric makes the discrimination-vs-calibration point that also motivates this work; the rank-calibration line [</w:t>
      </w:r>
      <w:hyperlink w:anchor="bib:huang2024rankcalibration">
        <w:r>
          <w:rPr>
            <w:rStyle w:val="Hyperlink"/>
          </w:rPr>
          <w:t xml:space="preserve">8</w:t>
        </w:r>
      </w:hyperlink>
      <w:r>
        <w:t xml:space="preserve">] reaches the same conclusion independently. Weighted variants [</w:t>
      </w:r>
      <w:hyperlink w:anchor="bib:li2023diverse">
        <w:r>
          <w:rPr>
            <w:rStyle w:val="Hyperlink"/>
          </w:rPr>
          <w:t xml:space="preserve">11</w:t>
        </w:r>
      </w:hyperlink>
      <w:r>
        <w:t xml:space="preserve">,</w:t>
      </w:r>
      <w:hyperlink w:anchor="bib:borda2025">
        <w:r>
          <w:rPr>
            <w:rStyle w:val="Hyperlink"/>
          </w:rPr>
          <w:t xml:space="preserve">12</w:t>
        </w:r>
      </w:hyperlink>
      <w:r>
        <w:t xml:space="preserve">] and early-stopping families [</w:t>
      </w:r>
      <w:hyperlink w:anchor="bib:aggarwal2023adaptive">
        <w:r>
          <w:rPr>
            <w:rStyle w:val="Hyperlink"/>
          </w:rPr>
          <w:t xml:space="preserve">13</w:t>
        </w:r>
      </w:hyperlink>
      <w:r>
        <w:t xml:space="preserve">,</w:t>
      </w:r>
      <w:hyperlink w:anchor="bib:li2024escape">
        <w:r>
          <w:rPr>
            <w:rStyle w:val="Hyperlink"/>
          </w:rPr>
          <w:t xml:space="preserve">14</w:t>
        </w:r>
      </w:hyperlink>
      <w:r>
        <w:t xml:space="preserve">] refine the budget;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 [</w:t>
      </w:r>
      <w:hyperlink w:anchor="bib:dawid1979maximum">
        <w:r>
          <w:rPr>
            <w:rStyle w:val="Hyperlink"/>
          </w:rPr>
          <w:t xml:space="preserve">9</w:t>
        </w:r>
      </w:hyperlink>
      <w:r>
        <w:t xml:space="preserve">,</w:t>
      </w:r>
      <w:hyperlink w:anchor="bib:whitehill2009whose">
        <w:r>
          <w:rPr>
            <w:rStyle w:val="Hyperlink"/>
          </w:rPr>
          <w:t xml:space="preserve">15</w:t>
        </w:r>
      </w:hyperlink>
      <w:r>
        <w:t xml:space="preserve">,</w:t>
      </w:r>
      <w:hyperlink w:anchor="bib:karger2011iterative">
        <w:r>
          <w:rPr>
            <w:rStyle w:val="Hyperlink"/>
          </w:rPr>
          <w:t xml:space="preserve">16</w:t>
        </w:r>
      </w:hyperlink>
      <w:r>
        <w:t xml:space="preserve">]; spectral meta-learners [</w:t>
      </w:r>
      <w:hyperlink w:anchor="bib:parisi2014ranking">
        <w:r>
          <w:rPr>
            <w:rStyle w:val="Hyperlink"/>
          </w:rPr>
          <w:t xml:space="preserve">10</w:t>
        </w:r>
      </w:hyperlink>
      <w:r>
        <w:t xml:space="preserve">] and recent LLM ensemble work [</w:t>
      </w:r>
      <w:hyperlink w:anchor="bib:fuse2026">
        <w:r>
          <w:rPr>
            <w:rStyle w:val="Hyperlink"/>
          </w:rPr>
          <w:t xml:space="preserve">17</w:t>
        </w:r>
      </w:hyperlink>
      <w:r>
        <w:t xml:space="preserve">,</w:t>
      </w:r>
      <w:hyperlink w:anchor="bib:beyondmajority2025">
        <w:r>
          <w:rPr>
            <w:rStyle w:val="Hyperlink"/>
          </w:rPr>
          <w:t xml:space="preserve">18</w:t>
        </w:r>
      </w:hyperlink>
      <w:r>
        <w:t xml:space="preserve">] 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in place of an unconditional claim.</w:t>
      </w:r>
    </w:p>
    <w:p>
      <w:pPr>
        <w:pStyle w:val="BodyText"/>
      </w:pPr>
      <w:r>
        <w:rPr>
          <w:b/>
          <w:bCs/>
        </w:rPr>
        <w:t xml:space="preserve">Shrinkage and rank statistics.</w:t>
      </w:r>
      <w:r>
        <w:t xml:space="preserve"> </w:t>
      </w:r>
      <w:r>
        <w:t xml:space="preserve">The estimator assembles classical parts: stratified rank statistics [</w:t>
      </w:r>
      <w:hyperlink w:anchor="bib:vanelteren1960">
        <w:r>
          <w:rPr>
            <w:rStyle w:val="Hyperlink"/>
          </w:rPr>
          <w:t xml:space="preserve">19</w:t>
        </w:r>
      </w:hyperlink>
      <w:r>
        <w:t xml:space="preserve">], the James–Stein positive-part estimator [</w:t>
      </w:r>
      <w:hyperlink w:anchor="bib:james1961estimation">
        <w:r>
          <w:rPr>
            <w:rStyle w:val="Hyperlink"/>
          </w:rPr>
          <w:t xml:space="preserve">20</w:t>
        </w:r>
      </w:hyperlink>
      <w:r>
        <w:t xml:space="preserve">], effective-sample-size corrections [</w:t>
      </w:r>
      <w:hyperlink w:anchor="bib:kish1965">
        <w:r>
          <w:rPr>
            <w:rStyle w:val="Hyperlink"/>
          </w:rPr>
          <w:t xml:space="preserve">21</w:t>
        </w:r>
      </w:hyperlink>
      <w:r>
        <w:t xml:space="preserve">,</w:t>
      </w:r>
      <w:hyperlink w:anchor="bib:rao1981analysis">
        <w:r>
          <w:rPr>
            <w:rStyle w:val="Hyperlink"/>
          </w:rPr>
          <w:t xml:space="preserve">22</w:t>
        </w:r>
      </w:hyperlink>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 dominated everywhere by a simple deduplication baseline, and is reported as a negative result. Its post-mortem isolated the confidence dilemma studied here.</w:t>
      </w:r>
    </w:p>
    <w:bookmarkEnd w:id="11"/>
    <w:bookmarkStart w:id="19"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8"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r>
        <w:t xml:space="preserve"> </w:t>
      </w:r>
      <w:bookmarkStart w:id="13" w:name="eq:confmodel"/>
      <w:bookmarkEnd w:id="13"/>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7" w:name="fig:baselines"/>
    <w:p>
      <w:pPr>
        <w:pStyle w:val="CaptionedFigure"/>
      </w:pPr>
      <w:r>
        <w:drawing>
          <wp:inline>
            <wp:extent cx="5334000" cy="3302000"/>
            <wp:effectExtent b="0" l="0" r="0" t="0"/>
            <wp:docPr descr="" title="" id="15" name="Picture"/>
            <a:graphic>
              <a:graphicData uri="http://schemas.openxmlformats.org/drawingml/2006/picture">
                <pic:pic>
                  <pic:nvPicPr>
                    <pic:cNvPr descr="figs/kappa_sweep.png" id="16" name="Picture"/>
                    <pic:cNvPicPr>
                      <a:picLocks noChangeArrowheads="1" noChangeAspect="1"/>
                    </pic:cNvPicPr>
                  </pic:nvPicPr>
                  <pic:blipFill>
                    <a:blip r:embed="rId14"/>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7"/>
    <w:bookmarkEnd w:id="18"/>
    <w:bookmarkEnd w:id="19"/>
    <w:bookmarkStart w:id="36" w:name="sec:method"/>
    <w:p>
      <w:pPr>
        <w:pStyle w:val="Heading1"/>
      </w:pPr>
      <w:r>
        <w:t xml:space="preserve">TACT</w:t>
      </w:r>
    </w:p>
    <w:bookmarkStart w:id="22"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r>
        <w:t xml:space="preserve"> </w:t>
      </w:r>
      <w:bookmarkStart w:id="20" w:name="eq:vdw"/>
      <w:bookmarkEnd w:id="20"/>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r>
        <w:t xml:space="preserve"> </w:t>
      </w:r>
      <w:bookmarkStart w:id="21" w:name="eq:vote"/>
      <w:bookmarkEnd w:id="21"/>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22"/>
    <w:bookmarkStart w:id="24"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hyperlink w:anchor="bib:vanelteren1960">
        <w:r>
          <w:rPr>
            <w:rStyle w:val="Hyperlink"/>
          </w:rPr>
          <w:t xml:space="preserve">19</w:t>
        </w:r>
      </w:hyperlink>
      <w:r>
        <w:t xml:space="preserve">]:</w:t>
      </w:r>
      <w:r>
        <w:t xml:space="preserve"> </w:t>
      </w:r>
      <w:bookmarkStart w:id="23" w:name="eq:pooled"/>
      <w:bookmarkEnd w:id="23"/>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4"/>
    <w:bookmarkStart w:id="27"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r>
        <w:t xml:space="preserve"> </w:t>
      </w:r>
      <w:bookmarkStart w:id="25" w:name="eq:js"/>
      <w:bookmarkEnd w:id="25"/>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w:t>
      </w:r>
      <w:hyperlink w:anchor="bib:james1961estimation">
        <w:r>
          <w:rPr>
            <w:rStyle w:val="Hyperlink"/>
          </w:rPr>
          <w:t xml:space="preserve">20</w:t>
        </w:r>
      </w:hyperlink>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 which is what</w:t>
      </w:r>
      <w:r>
        <w:t xml:space="preserve"> </w:t>
      </w:r>
      <w:hyperlink w:anchor="eq:vdw">
        <w:r>
          <w:rPr>
            <w:rStyle w:val="Hyperlink"/>
          </w:rPr>
          <w:t xml:space="preserve">[eq:vdw]</w:t>
        </w:r>
      </w:hyperlink>
      <w:r>
        <w:t xml:space="preserve"> </w:t>
      </w:r>
      <w:r>
        <w:t xml:space="preserve">enforces, 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r>
        <w:t xml:space="preserve"> </w:t>
      </w:r>
      <w:bookmarkStart w:id="26" w:name="eq:link"/>
      <w:bookmarkEnd w:id="26"/>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7"/>
    <w:bookmarkStart w:id="31" w:name="sec:oneline"/>
    <w:p>
      <w:pPr>
        <w:pStyle w:val="Heading2"/>
      </w:pPr>
      <w:r>
        <w:rPr>
          <w:smallCaps/>
        </w:rPr>
        <w:t xml:space="preserve">tact</w:t>
      </w:r>
      <w:r>
        <w:t xml:space="preserve"> </w:t>
      </w:r>
      <w:r>
        <w:t xml:space="preserve">in one expression</w:t>
      </w:r>
    </w:p>
    <w:p>
      <w:pPr>
        <w:pStyle w:val="FirstParagraph"/>
      </w:pPr>
      <w:r>
        <w:t xml:space="preserve">Two simplifications collapse the pipeline. Factoring</w:t>
      </w:r>
      <w:r>
        <w:t xml:space="preserve"> </w:t>
      </w:r>
      <m:oMath>
        <m:acc>
          <m:accPr>
            <m:chr m:val="̂"/>
          </m:accPr>
          <m:e>
            <m:r>
              <m:t>D</m:t>
            </m:r>
          </m:e>
        </m:acc>
      </m:oMath>
      <w:r>
        <w:t xml:space="preserve"> </w:t>
      </w:r>
      <w:r>
        <w:t xml:space="preserve">out of</w:t>
      </w:r>
      <w:r>
        <w:t xml:space="preserve"> </w:t>
      </w:r>
      <w:hyperlink w:anchor="eq:js">
        <w:r>
          <w:rPr>
            <w:rStyle w:val="Hyperlink"/>
          </w:rPr>
          <w:t xml:space="preserve">[eq:js]</w:t>
        </w:r>
      </w:hyperlink>
      <w:r>
        <w:t xml:space="preserve"> </w:t>
      </w:r>
      <w:r>
        <w:t xml:space="preserve">makes the shrinkage a multiplicative gain in the pooled</w:t>
      </w:r>
      <w:r>
        <w:t xml:space="preserve"> </w:t>
      </w:r>
      <m:oMath>
        <m:r>
          <m:t>z</m:t>
        </m:r>
      </m:oMath>
      <w:r>
        <w:t xml:space="preserve">-statistic</w:t>
      </w:r>
      <w:r>
        <w:t xml:space="preserve"> </w:t>
      </w:r>
      <m:oMath>
        <m:r>
          <m:t>ζ</m:t>
        </m:r>
        <m:r>
          <m:rPr>
            <m:sty m:val="p"/>
          </m:rPr>
          <m:t>=</m:t>
        </m:r>
        <m:acc>
          <m:accPr>
            <m:chr m:val="̂"/>
          </m:accPr>
          <m:e>
            <m:r>
              <m:t>D</m:t>
            </m:r>
          </m:e>
        </m:acc>
        <m:r>
          <m:rPr>
            <m:sty m:val="p"/>
          </m:rPr>
          <m:t>/</m:t>
        </m:r>
        <m:r>
          <m:rPr>
            <m:sty m:val="p"/>
          </m:rPr>
          <m:t>S</m:t>
        </m:r>
        <m:r>
          <m:rPr>
            <m:sty m:val="p"/>
          </m:rPr>
          <m:t>E</m:t>
        </m:r>
      </m:oMath>
      <w:r>
        <w:t xml:space="preserve"> </w:t>
      </w:r>
      <w:r>
        <w:t xml:space="preserve">alone, and substituting</w:t>
      </w:r>
      <w:r>
        <w:t xml:space="preserve"> </w:t>
      </w:r>
      <m:oMath>
        <m:r>
          <m:t>u</m:t>
        </m:r>
        <m:r>
          <m:rPr>
            <m:sty m:val="p"/>
          </m:rPr>
          <m:t>=</m:t>
        </m:r>
        <m:rad>
          <m:radPr>
            <m:degHide m:val="on"/>
          </m:radPr>
          <m:deg/>
          <m:e>
            <m:r>
              <m:t>2</m:t>
            </m:r>
          </m:e>
        </m:rad>
        <m:r>
          <m:t> </m:t>
        </m:r>
        <m:r>
          <m:t>z</m:t>
        </m:r>
      </m:oMath>
      <w:r>
        <w:t xml:space="preserve"> </w:t>
      </w:r>
      <w:r>
        <w:t xml:space="preserve">with</w:t>
      </w:r>
      <w:r>
        <w:t xml:space="preserve"> </w:t>
      </w:r>
      <m:oMath>
        <m:r>
          <m:t>z</m:t>
        </m:r>
        <m:r>
          <m:rPr>
            <m:sty m:val="p"/>
          </m:rPr>
          <m:t>=</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into</w:t>
      </w:r>
      <w:r>
        <w:t xml:space="preserve"> </w:t>
      </w:r>
      <w:hyperlink w:anchor="eq:link">
        <w:r>
          <w:rPr>
            <w:rStyle w:val="Hyperlink"/>
          </w:rPr>
          <w:t xml:space="preserve">[eq:link]</w:t>
        </w:r>
      </w:hyperlink>
      <w:r>
        <w:t xml:space="preserve"> </w:t>
      </w:r>
      <w:r>
        <w:t xml:space="preserve">removes the nested radical.</w:t>
      </w:r>
      <w:r>
        <w:t xml:space="preserve"> </w:t>
      </w:r>
      <w:r>
        <w:rPr>
          <w:smallCaps/>
        </w:rPr>
        <w:t xml:space="preserve">tact</w:t>
      </w:r>
      <w:r>
        <w:t xml:space="preserve"> </w:t>
      </w:r>
      <w:r>
        <w:t xml:space="preserve">is then</w:t>
      </w:r>
      <w:r>
        <w:t xml:space="preserve"> </w:t>
      </w:r>
      <w:bookmarkStart w:id="28" w:name="eq:oneline"/>
      <w:bookmarkEnd w:id="28"/>
    </w:p>
    <w:p>
      <w:pPr>
        <w:pStyle w:val="BodyText"/>
      </w:pPr>
      <m:oMathPara>
        <m:oMathParaPr>
          <m:jc m:val="center"/>
        </m:oMathParaPr>
        <m:oMath>
          <m:borderBox>
            <m:e>
              <m:r>
                <m:t> </m:t>
              </m:r>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r>
                <m:rPr>
                  <m:sty m:val="p"/>
                </m:rPr>
                <m:t>,</m:t>
              </m:r>
              <m:r>
                <m:t> </m:t>
              </m:r>
            </m:e>
          </m:borderBox>
        </m:oMath>
      </m:oMathPara>
    </w:p>
    <w:p>
      <w:pPr>
        <w:pStyle w:val="FirstParagraph"/>
      </w:pPr>
      <w:bookmarkStart w:id="29" w:name="eq:oneline2"/>
      <w:bookmarkEnd w:id="29"/>
    </w:p>
    <w:p>
      <w:pPr>
        <w:pStyle w:val="BodyText"/>
      </w:pPr>
      <m:oMathPara>
        <m:oMathParaPr>
          <m:jc m:val="center"/>
        </m:oMathParaPr>
        <m:oMath>
          <m:r>
            <m:t>z</m:t>
          </m:r>
          <m:r>
            <m:rPr>
              <m:sty m:val="p"/>
            </m:rPr>
            <m:t>=</m:t>
          </m:r>
          <m:sSup>
            <m:e>
              <m:r>
                <m:rPr>
                  <m:sty m:val="p"/>
                </m:rPr>
                <m:t>Φ</m:t>
              </m:r>
            </m:e>
            <m:sup>
              <m:r>
                <m:rPr>
                  <m:sty m:val="p"/>
                </m:rPr>
                <m:t>−</m:t>
              </m:r>
              <m:r>
                <m:t>1</m:t>
              </m:r>
            </m:sup>
          </m:sSup>
          <m:r>
            <m:t>​</m:t>
          </m:r>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t> </m:t>
                  </m:r>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with</w:t>
      </w:r>
      <w:r>
        <w:t xml:space="preserve"> </w:t>
      </w:r>
      <m:oMath>
        <m:acc>
          <m:accPr>
            <m:chr m:val="̂"/>
          </m:accPr>
          <m:e>
            <m:r>
              <m:t>D</m:t>
            </m:r>
          </m:e>
        </m:acc>
      </m:oMath>
      <w:r>
        <w:t xml:space="preserve"> </w:t>
      </w:r>
      <w:r>
        <w:t xml:space="preserve">from</w:t>
      </w:r>
      <w:r>
        <w:t xml:space="preserve"> </w:t>
      </w:r>
      <w:hyperlink w:anchor="eq:pooled">
        <w:r>
          <w:rPr>
            <w:rStyle w:val="Hyperlink"/>
          </w:rPr>
          <w:t xml:space="preserve">[eq:pooled]</w:t>
        </w:r>
      </w:hyperlink>
      <w:r>
        <w:t xml:space="preserve"> </w:t>
      </w:r>
      <w:r>
        <w:t xml:space="preserve">and</w:t>
      </w:r>
      <w:r>
        <w:t xml:space="preserve"> </w:t>
      </w:r>
      <m:oMath>
        <m:r>
          <m:t>φ</m:t>
        </m:r>
      </m:oMath>
      <w:r>
        <w:t xml:space="preserve"> </w:t>
      </w:r>
      <w:r>
        <w:t xml:space="preserve">from</w:t>
      </w:r>
      <w:r>
        <w:t xml:space="preserve"> </w:t>
      </w:r>
      <w:hyperlink w:anchor="eq:vdw">
        <w:r>
          <w:rPr>
            <w:rStyle w:val="Hyperlink"/>
          </w:rPr>
          <w:t xml:space="preserve">[eq:vdw]</w:t>
        </w:r>
      </w:hyperlink>
      <w:r>
        <w:t xml:space="preserve">. At the</w:t>
      </w:r>
      <w:r>
        <w:t xml:space="preserve"> </w:t>
      </w:r>
      <w:r>
        <w:t xml:space="preserve">default</w:t>
      </w:r>
      <w:r>
        <w:t xml:space="preserve"> </w:t>
      </w:r>
      <m:oMath>
        <m:acc>
          <m:accPr>
            <m:chr m:val="‾"/>
          </m:accPr>
          <m:e>
            <m:r>
              <m:t>p</m:t>
            </m:r>
          </m:e>
        </m:acc>
        <m:r>
          <m:rPr>
            <m:sty m:val="p"/>
          </m:rPr>
          <m:t>=</m:t>
        </m:r>
        <m:f>
          <m:fPr>
            <m:type m:val="lin"/>
          </m:fPr>
          <m:num>
            <m:r>
              <m:t>1</m:t>
            </m:r>
          </m:num>
          <m:den>
            <m:r>
              <m:t>2</m:t>
            </m:r>
          </m:den>
        </m:f>
      </m:oMath>
      <w:r>
        <w:t xml:space="preserve"> </w:t>
      </w:r>
      <w:r>
        <w:t xml:space="preserve">the exponent is exactly</w:t>
      </w:r>
      <w:r>
        <w:t xml:space="preserve"> </w:t>
      </w:r>
      <w:bookmarkStart w:id="30" w:name="eq:half"/>
      <w:bookmarkEnd w:id="30"/>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r>
            <m:rPr>
              <m:sty m:val="p"/>
            </m:rPr>
            <m:t>,</m:t>
          </m:r>
        </m:oMath>
      </m:oMathPara>
    </w:p>
    <w:p>
      <w:pPr>
        <w:pStyle w:val="FirstParagraph"/>
      </w:pPr>
      <w:r>
        <w:t xml:space="preserve">one probit and one square root. Nothing in it is fitted to outcomes:</w:t>
      </w:r>
      <w:r>
        <w:t xml:space="preserve"> </w:t>
      </w:r>
      <m:oMath>
        <m:r>
          <m:t>ν</m:t>
        </m:r>
      </m:oMath>
      <w:r>
        <w:t xml:space="preserve"> </w:t>
      </w:r>
      <w:r>
        <w:t xml:space="preserve">is a</w:t>
      </w:r>
      <w:r>
        <w:t xml:space="preserve"> </w:t>
      </w:r>
      <w:r>
        <w:t xml:space="preserve">significance level and</w:t>
      </w:r>
      <w:r>
        <w:t xml:space="preserve"> </w:t>
      </w:r>
      <m:oMath>
        <m:sSub>
          <m:e>
            <m:r>
              <m:t>γ</m:t>
            </m:r>
          </m:e>
          <m:sub>
            <m:r>
              <m:rPr>
                <m:sty m:val="p"/>
              </m:rPr>
              <m:t>max</m:t>
            </m:r>
          </m:sub>
        </m:sSub>
      </m:oMath>
      <w:r>
        <w:t xml:space="preserve"> </w:t>
      </w:r>
      <w:r>
        <w:t xml:space="preserve">a clip, both fixed before any data is</w:t>
      </w:r>
      <w:r>
        <w:t xml:space="preserve"> </w:t>
      </w:r>
      <w:r>
        <w:t xml:space="preserve">seen. The clip is not cosmetic, though. Where</w:t>
      </w:r>
      <w:r>
        <w:t xml:space="preserve"> </w:t>
      </w:r>
      <m:oMath>
        <m:acc>
          <m:accPr>
            <m:chr m:val="̂"/>
          </m:accPr>
          <m:e>
            <m:r>
              <m:t>D</m:t>
            </m:r>
          </m:e>
        </m:acc>
      </m:oMath>
      <w:r>
        <w:t xml:space="preserve"> </w:t>
      </w:r>
      <w:r>
        <w:t xml:space="preserve">saturates it binds, and</w:t>
      </w:r>
      <w:r>
        <w:t xml:space="preserve"> </w:t>
      </w:r>
      <w:r>
        <w:t xml:space="preserve">the vote then sees</w:t>
      </w:r>
      <w:r>
        <w:t xml:space="preserve"> </w:t>
      </w:r>
      <m:oMath>
        <m:sSub>
          <m:e>
            <m:r>
              <m:t>γ</m:t>
            </m:r>
          </m:e>
          <m:sub>
            <m:r>
              <m:rPr>
                <m:sty m:val="p"/>
              </m:rPr>
              <m:t>max</m:t>
            </m:r>
          </m:sub>
        </m:sSub>
      </m:oMath>
      <w:r>
        <w:t xml:space="preserve"> </w:t>
      </w:r>
      <w:r>
        <w:t xml:space="preserve">rather than the derived magnitude</w:t>
      </w:r>
      <w:r>
        <w:t xml:space="preserve"> </w:t>
      </w:r>
      <w:r>
        <w:t xml:space="preserve">(Section </w:t>
      </w:r>
      <w:hyperlink w:anchor="sec:results">
        <w:r>
          <w:rPr>
            <w:rStyle w:val="Hyperlink"/>
          </w:rPr>
          <w:t xml:space="preserve">8</w:t>
        </w:r>
      </w:hyperlink>
      <w:r>
        <w:t xml:space="preserve">). The dead zone is now visible as a single condition,</w:t>
      </w:r>
      <w:r>
        <w:t xml:space="preserve"> </w:t>
      </w:r>
      <m:oMath>
        <m:r>
          <m:rPr>
            <m:sty m:val="p"/>
          </m:rPr>
          <m:t>|</m:t>
        </m:r>
        <m:r>
          <m:t>ζ</m:t>
        </m:r>
        <m:r>
          <m:rPr>
            <m:sty m:val="p"/>
          </m:rPr>
          <m:t>|</m:t>
        </m:r>
        <m:r>
          <m:rPr>
            <m:sty m:val="p"/>
          </m:rPr>
          <m:t>≤</m:t>
        </m:r>
        <m:r>
          <m:t>ν</m:t>
        </m:r>
      </m:oMath>
      <w:r>
        <w:t xml:space="preserve">, on which</w:t>
      </w:r>
      <w:r>
        <w:t xml:space="preserve"> </w:t>
      </w:r>
      <m:oMath>
        <m:r>
          <m:t>γ</m:t>
        </m:r>
      </m:oMath>
      <w:r>
        <w:t xml:space="preserve"> </w:t>
      </w:r>
      <w:r>
        <w:t xml:space="preserve">is identically zero and</w:t>
      </w:r>
      <w:r>
        <w:t xml:space="preserve"> </w:t>
      </w:r>
      <w:hyperlink w:anchor="eq:oneline">
        <w:r>
          <w:rPr>
            <w:rStyle w:val="Hyperlink"/>
          </w:rPr>
          <w:t xml:space="preserve">[eq:oneline]</w:t>
        </w:r>
      </w:hyperlink>
      <w:r>
        <w:t xml:space="preserve"> </w:t>
      </w:r>
      <w:r>
        <w:t xml:space="preserve">is bitwise</w:t>
      </w:r>
      <w:r>
        <w:t xml:space="preserve"> </w:t>
      </w:r>
      <w:r>
        <w:rPr>
          <w:smallCaps/>
        </w:rPr>
        <w:t xml:space="preserve">sc</w:t>
      </w:r>
      <w:r>
        <w:t xml:space="preserve"> </w:t>
      </w:r>
      <w:r>
        <w:t xml:space="preserve">by Proposition </w:t>
      </w:r>
      <w:hyperlink w:anchor="prop:sc">
        <w:r>
          <w:rPr>
            <w:rStyle w:val="Hyperlink"/>
          </w:rPr>
          <w:t xml:space="preserve">1</w:t>
        </w:r>
      </w:hyperlink>
      <w:r>
        <w:t xml:space="preserve">. Equations</w:t>
      </w:r>
      <w:r>
        <w:t xml:space="preserve"> </w:t>
      </w:r>
      <w:hyperlink w:anchor="eq:oneline">
        <w:r>
          <w:rPr>
            <w:rStyle w:val="Hyperlink"/>
          </w:rPr>
          <w:t xml:space="preserve">[eq:oneline]</w:t>
        </w:r>
      </w:hyperlink>
      <w:r>
        <w:t xml:space="preserve">–</w:t>
      </w:r>
      <w:hyperlink w:anchor="eq:half">
        <w:r>
          <w:rPr>
            <w:rStyle w:val="Hyperlink"/>
          </w:rPr>
          <w:t xml:space="preserve">[eq:half]</w:t>
        </w:r>
      </w:hyperlink>
      <w:r>
        <w:t xml:space="preserve"> </w:t>
      </w:r>
      <w:r>
        <w:t xml:space="preserve">are verified equivalent to the shipped</w:t>
      </w:r>
      <w:r>
        <w:t xml:space="preserve"> </w:t>
      </w:r>
      <w:r>
        <w:t xml:space="preserve">implementation over randomised inputs including every boundary</w:t>
      </w:r>
      <w:r>
        <w:t xml:space="preserve"> </w:t>
      </w:r>
      <w:r>
        <w:t xml:space="preserve">(</w:t>
      </w:r>
      <w:r>
        <w:rPr>
          <w:rStyle w:val="VerbatimChar"/>
        </w:rPr>
        <w:t xml:space="preserve">tests/test_formula.py</w:t>
      </w:r>
      <w:r>
        <w:t xml:space="preserve">).</w:t>
      </w:r>
    </w:p>
    <w:bookmarkEnd w:id="31"/>
    <w:bookmarkStart w:id="35" w:name="anchor-properties"/>
    <w:p>
      <w:pPr>
        <w:pStyle w:val="Heading2"/>
      </w:pPr>
      <w:r>
        <w:t xml:space="preserve">Anchor properties</w:t>
      </w:r>
    </w:p>
    <w:bookmarkStart w:id="3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32"/>
    <w:bookmarkStart w:id="3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33"/>
    <w:bookmarkStart w:id="3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34"/>
    <w:p>
      <w:pPr>
        <w:pStyle w:val="BodyText"/>
      </w:pPr>
      <w:r>
        <w:t xml:space="preserve">Proofs are elementary and pinned by unit tests in the released code (98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35"/>
    <w:bookmarkEnd w:id="36"/>
    <w:bookmarkStart w:id="41" w:name="sec:lf"/>
    <w:p>
      <w:pPr>
        <w:pStyle w:val="Heading1"/>
      </w:pPr>
      <w:r>
        <w:t xml:space="preserve">Label-Free Estimation</w:t>
      </w:r>
    </w:p>
    <w:bookmarkStart w:id="3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37"/>
    <w:bookmarkStart w:id="39" w:name="sign-consistency-and-its-boundary"/>
    <w:p>
      <w:pPr>
        <w:pStyle w:val="Heading2"/>
      </w:pPr>
      <w:r>
        <w:t xml:space="preserve">Sign consistency and its boundary</w:t>
      </w:r>
    </w:p>
    <w:bookmarkStart w:id="3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38"/>
    <w:p>
      <w:pPr>
        <w:pStyle w:val="BodyText"/>
      </w:pPr>
      <w:r>
        <w:t xml:space="preserve">The identity fails when the flip is</w:t>
      </w:r>
      <w:r>
        <w:t xml:space="preserve"> </w:t>
      </w:r>
      <w:r>
        <w:rPr>
          <w:i/>
          <w:iCs/>
        </w:rPr>
        <w:t xml:space="preserve">caused</w:t>
      </w:r>
      <w:r>
        <w:t xml:space="preserve"> </w:t>
      </w:r>
      <w:r>
        <w:t xml:space="preserve">by confidence, that is, under 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 [</w:t>
      </w:r>
      <w:hyperlink w:anchor="bib:parisi2014ranking">
        <w:r>
          <w:rPr>
            <w:rStyle w:val="Hyperlink"/>
          </w:rPr>
          <w:t xml:space="preserve">10</w:t>
        </w:r>
      </w:hyperlink>
      <w:r>
        <w:t xml:space="preserve">] restated for a single channel), so any label-free guarantee is necessarily conditional; it is stated as such rather than papered over.</w:t>
      </w:r>
    </w:p>
    <w:bookmarkEnd w:id="39"/>
    <w:bookmarkStart w:id="4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40"/>
    <w:bookmarkEnd w:id="41"/>
    <w:bookmarkStart w:id="47" w:name="sec:hetero"/>
    <w:p>
      <w:pPr>
        <w:pStyle w:val="Heading1"/>
      </w:pPr>
      <w:r>
        <w:t xml:space="preserve">Heterogeneity: Impossibility and Escape</w:t>
      </w:r>
    </w:p>
    <w:bookmarkStart w:id="4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4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42"/>
    <w:bookmarkStart w:id="4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 the items where a flip could win, 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43"/>
    <w:bookmarkStart w:id="4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44"/>
    <w:p>
      <w:pPr>
        <w:pStyle w:val="BodyText"/>
      </w:pPr>
      <w:r>
        <w:t xml:space="preserve">Consequently the per-item oracle (</w:t>
      </w:r>
      <m:oMath>
        <m:r>
          <m:t>0.983</m:t>
        </m:r>
      </m:oMath>
      <w:r>
        <w:t xml:space="preserve"> </w:t>
      </w:r>
      <w:r>
        <w:t xml:space="preserve">in this harness) is unreachable, and the honest behaviour is to fall back to the global estimate, which</w:t>
      </w:r>
      <w:r>
        <w:t xml:space="preserve"> </w:t>
      </w:r>
      <w:r>
        <w:rPr>
          <w:smallCaps/>
        </w:rPr>
        <w:t xml:space="preserve">tact</w:t>
      </w:r>
      <w:r>
        <w:t xml:space="preserve">’s dead zone does: in the i.i.d. cell every variant returns bitwise</w:t>
      </w:r>
      <w:r>
        <w:t xml:space="preserve"> </w:t>
      </w:r>
      <w:r>
        <w:rPr>
          <w:smallCaps/>
        </w:rPr>
        <w:t xml:space="preserve">sc</w:t>
      </w:r>
      <w:r>
        <w:t xml:space="preserve"> </w:t>
      </w:r>
      <w:r>
        <w:t xml:space="preserve">(zero discordant pairs).</w:t>
      </w:r>
    </w:p>
    <w:bookmarkEnd w:id="45"/>
    <w:bookmarkStart w:id="4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46"/>
    <w:bookmarkEnd w:id="47"/>
    <w:bookmarkStart w:id="5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 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4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48"/>
    <w:bookmarkStart w:id="52" w:name="fig:sweep"/>
    <w:p>
      <w:pPr>
        <w:pStyle w:val="CaptionedFigure"/>
      </w:pPr>
      <w:r>
        <w:drawing>
          <wp:inline>
            <wp:extent cx="5334000" cy="3225209"/>
            <wp:effectExtent b="0" l="0" r="0" t="0"/>
            <wp:docPr descr="" title="" id="50" name="Picture"/>
            <a:graphic>
              <a:graphicData uri="http://schemas.openxmlformats.org/drawingml/2006/picture">
                <pic:pic>
                  <pic:nvPicPr>
                    <pic:cNvPr descr="figs/tact_sweep.png" id="51" name="Picture"/>
                    <pic:cNvPicPr>
                      <a:picLocks noChangeArrowheads="1" noChangeAspect="1"/>
                    </pic:cNvPicPr>
                  </pic:nvPicPr>
                  <pic:blipFill>
                    <a:blip r:embed="rId4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52"/>
    <w:bookmarkEnd w:id="53"/>
    <w:bookmarkStart w:id="75" w:name="sec:results"/>
    <w:p>
      <w:pPr>
        <w:pStyle w:val="Heading1"/>
      </w:pPr>
      <w:r>
        <w:t xml:space="preserve">Results</w:t>
      </w:r>
    </w:p>
    <w:bookmarkStart w:id="5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5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54"/>
    <w:p>
      <w:pPr>
        <w:pStyle w:val="BodyText"/>
      </w:pPr>
      <w:r>
        <w:rPr>
          <w:b/>
          <w:bCs/>
        </w:rPr>
        <w:t xml:space="preserve">Where the derived exponent actually operates.</w:t>
      </w:r>
      <w:r>
        <w:t xml:space="preserve"> </w:t>
      </w:r>
      <w:r>
        <w:t xml:space="preserve">The four cells that</w:t>
      </w:r>
      <w:r>
        <w:t xml:space="preserve"> </w:t>
      </w:r>
      <w:r>
        <w:t xml:space="preserve">carry the headline</w:t>
      </w:r>
      <w:r>
        <w:t xml:space="preserve"> </w:t>
      </w:r>
      <m:oMath>
        <m:r>
          <m:t>1.000</m:t>
        </m:r>
      </m:oMath>
      <w:r>
        <w:t xml:space="preserve"> </w:t>
      </w:r>
      <w:r>
        <w:t xml:space="preserve">(</w:t>
      </w:r>
      <m:oMath>
        <m:r>
          <m:t>κ</m:t>
        </m:r>
        <m:r>
          <m:rPr>
            <m:sty m:val="p"/>
          </m:rPr>
          <m:t>=</m:t>
        </m:r>
        <m:r>
          <m:rPr>
            <m:sty m:val="p"/>
          </m:rPr>
          <m:t>±</m:t>
        </m:r>
        <m:r>
          <m:t>0.4</m:t>
        </m:r>
        <m:r>
          <m:rPr>
            <m:sty m:val="p"/>
          </m:rPr>
          <m:t>,</m:t>
        </m:r>
        <m:r>
          <m:rPr>
            <m:sty m:val="p"/>
          </m:rPr>
          <m:t>±</m:t>
        </m:r>
        <m:r>
          <m:t>0.6</m:t>
        </m:r>
      </m:oMath>
      <w:r>
        <w:t xml:space="preserve">) are cells where</w:t>
      </w:r>
      <w:r>
        <w:t xml:space="preserve"> </w:t>
      </w:r>
      <m:oMath>
        <m:acc>
          <m:accPr>
            <m:chr m:val="̂"/>
          </m:accPr>
          <m:e>
            <m:r>
              <m:t>D</m:t>
            </m:r>
          </m:e>
        </m:acc>
      </m:oMath>
      <w:r>
        <w:t xml:space="preserve"> </w:t>
      </w:r>
      <w:r>
        <w:t xml:space="preserve">saturates at</w:t>
      </w:r>
      <w:r>
        <w:t xml:space="preserve"> </w:t>
      </w:r>
      <m:oMath>
        <m:r>
          <m:rPr>
            <m:sty m:val="p"/>
          </m:rPr>
          <m:t>±</m:t>
        </m:r>
        <m:r>
          <m:t>1</m:t>
        </m:r>
      </m:oMath>
      <w:r>
        <w:t xml:space="preserve">, so the link returns</w:t>
      </w:r>
      <w:r>
        <w:t xml:space="preserve"> </w:t>
      </w:r>
      <m:oMath>
        <m:sSup>
          <m:e>
            <m:r>
              <m:t>γ</m:t>
            </m:r>
          </m:e>
          <m:sup>
            <m:r>
              <m:rPr>
                <m:sty m:val="p"/>
              </m:rPr>
              <m:t>*</m:t>
            </m:r>
          </m:sup>
        </m:sSup>
        <m:r>
          <m:rPr>
            <m:sty m:val="p"/>
          </m:rPr>
          <m:t>≈</m:t>
        </m:r>
        <m:r>
          <m:rPr>
            <m:sty m:val="p"/>
          </m:rPr>
          <m:t>±</m:t>
        </m:r>
        <m:r>
          <m:t>38</m:t>
        </m:r>
      </m:oMath>
      <w:r>
        <w:t xml:space="preserve"> </w:t>
      </w:r>
      <w:r>
        <w:t xml:space="preserve">and the cap</w:t>
      </w:r>
      <w:r>
        <w:t xml:space="preserve"> </w:t>
      </w:r>
      <m:oMath>
        <m:sSub>
          <m:e>
            <m:r>
              <m:t>γ</m:t>
            </m:r>
          </m:e>
          <m:sub>
            <m:r>
              <m:rPr>
                <m:sty m:val="p"/>
              </m:rPr>
              <m:t>max</m:t>
            </m:r>
          </m:sub>
        </m:sSub>
      </m:oMath>
      <w:r>
        <w:t xml:space="preserve"> </w:t>
      </w:r>
      <w:r>
        <w:t xml:space="preserve">is what the vote sees; the derived magnitude is not doing the</w:t>
      </w:r>
      <w:r>
        <w:t xml:space="preserve"> </w:t>
      </w:r>
      <w:r>
        <w:t xml:space="preserve">work there, the sign is. Conversely, at</w:t>
      </w:r>
      <w:r>
        <w:t xml:space="preserve"> </w:t>
      </w:r>
      <m:oMath>
        <m:r>
          <m:t>κ</m:t>
        </m:r>
        <m:r>
          <m:rPr>
            <m:sty m:val="p"/>
          </m:rPr>
          <m:t>=</m:t>
        </m:r>
        <m:r>
          <m:rPr>
            <m:sty m:val="p"/>
          </m:rPr>
          <m:t>±</m:t>
        </m:r>
        <m:r>
          <m:t>0.1</m:t>
        </m:r>
        <m:r>
          <m:rPr>
            <m:sty m:val="p"/>
          </m:rPr>
          <m:t>,</m:t>
        </m:r>
        <m:r>
          <m:rPr>
            <m:sty m:val="p"/>
          </m:rPr>
          <m:t>±</m:t>
        </m:r>
        <m:r>
          <m:t>0.2</m:t>
        </m:r>
      </m:oMath>
      <w:r>
        <w:t xml:space="preserve">, where the</w:t>
      </w:r>
      <w:r>
        <w:t xml:space="preserve"> </w:t>
      </w:r>
      <w:r>
        <w:t xml:space="preserve">derived value lands strictly inside the cap (</w:t>
      </w:r>
      <m:oMath>
        <m:r>
          <m:rPr>
            <m:sty m:val="p"/>
          </m:rPr>
          <m:t>±</m:t>
        </m:r>
        <m:r>
          <m:t>1.06</m:t>
        </m:r>
      </m:oMath>
      <w:r>
        <w:t xml:space="preserve"> </w:t>
      </w:r>
      <w:r>
        <w:t xml:space="preserve">to</w:t>
      </w:r>
      <w:r>
        <w:t xml:space="preserve"> </w:t>
      </w:r>
      <m:oMath>
        <m:r>
          <m:rPr>
            <m:sty m:val="p"/>
          </m:rPr>
          <m:t>±</m:t>
        </m:r>
        <m:r>
          <m:t>2.80</m:t>
        </m:r>
      </m:oMath>
      <w:r>
        <w:t xml:space="preserve">),</w:t>
      </w:r>
      <w:r>
        <w:t xml:space="preserve"> </w:t>
      </w:r>
      <w:r>
        <w:rPr>
          <w:smallCaps/>
        </w:rPr>
        <w:t xml:space="preserve">tact</w:t>
      </w:r>
      <w:r>
        <w:t xml:space="preserve">-dev trails the dev-picked signed grid on all four cells (</w:t>
      </w:r>
      <m:oMath>
        <m:r>
          <m:t>0.880</m:t>
        </m:r>
      </m:oMath>
      <w:r>
        <w:t xml:space="preserve"> </w:t>
      </w:r>
      <w:r>
        <w:t xml:space="preserve">vs. </w:t>
      </w:r>
      <m:oMath>
        <m:r>
          <m:t>0.892</m:t>
        </m:r>
      </m:oMath>
      <w:r>
        <w:t xml:space="preserve">;</w:t>
      </w:r>
      <w:r>
        <w:t xml:space="preserve"> </w:t>
      </w:r>
      <m:oMath>
        <m:r>
          <m:t>0.902</m:t>
        </m:r>
      </m:oMath>
      <w:r>
        <w:t xml:space="preserve"> </w:t>
      </w:r>
      <w:r>
        <w:t xml:space="preserve">vs. </w:t>
      </w:r>
      <m:oMath>
        <m:r>
          <m:t>0.917</m:t>
        </m:r>
      </m:oMath>
      <w:r>
        <w:t xml:space="preserve">;</w:t>
      </w:r>
      <w:r>
        <w:t xml:space="preserve"> </w:t>
      </w:r>
      <m:oMath>
        <m:r>
          <m:t>0.978</m:t>
        </m:r>
      </m:oMath>
      <w:r>
        <w:t xml:space="preserve"> </w:t>
      </w:r>
      <w:r>
        <w:t xml:space="preserve">vs. </w:t>
      </w:r>
      <m:oMath>
        <m:r>
          <m:t>0.993</m:t>
        </m:r>
      </m:oMath>
      <w:r>
        <w:t xml:space="preserve">;</w:t>
      </w:r>
      <w:r>
        <w:t xml:space="preserve"> </w:t>
      </w:r>
      <m:oMath>
        <m:r>
          <m:t>0.988</m:t>
        </m:r>
      </m:oMath>
      <w:r>
        <w:t xml:space="preserve"> </w:t>
      </w:r>
      <w:r>
        <w:t xml:space="preserve">vs. </w:t>
      </w:r>
      <m:oMath>
        <m:r>
          <m:t>0.993</m:t>
        </m:r>
      </m:oMath>
      <w:r>
        <w:t xml:space="preserve">).</w:t>
      </w:r>
      <w:r>
        <w:t xml:space="preserve"> </w:t>
      </w:r>
      <w:r>
        <w:t xml:space="preserve">Read together: against the</w:t>
      </w:r>
      <w:r>
        <w:t xml:space="preserve"> </w:t>
      </w:r>
      <w:r>
        <w:rPr>
          <w:i/>
          <w:iCs/>
        </w:rPr>
        <w:t xml:space="preserve">published</w:t>
      </w:r>
      <w:r>
        <w:t xml:space="preserve"> </w:t>
      </w:r>
      <w:r>
        <w:t xml:space="preserve">protocols the advantage is large</w:t>
      </w:r>
      <w:r>
        <w:t xml:space="preserve"> </w:t>
      </w:r>
      <w:r>
        <w:t xml:space="preserve">and comes from representing the sign at all, whereas against a signed grid the</w:t>
      </w:r>
      <w:r>
        <w:t xml:space="preserve"> </w:t>
      </w:r>
      <w:r>
        <w:t xml:space="preserve">analytic map is not better at choosing a magnitude on these cells. Its</w:t>
      </w:r>
      <w:r>
        <w:t xml:space="preserve"> </w:t>
      </w:r>
      <w:r>
        <w:t xml:space="preserve">advantage over the grid is elsewhere, in the three cells named in C4, and the</w:t>
      </w:r>
      <w:r>
        <w:t xml:space="preserve"> </w:t>
      </w:r>
      <w:r>
        <w:t xml:space="preserve">one place the interpolation itself pays is confident echo, where</w:t>
      </w:r>
      <w:r>
        <w:t xml:space="preserve"> </w:t>
      </w:r>
      <m:oMath>
        <m:r>
          <m:t>γ</m:t>
        </m:r>
        <m:r>
          <m:rPr>
            <m:sty m:val="p"/>
          </m:rPr>
          <m:t>=</m:t>
        </m:r>
        <m:r>
          <m:rPr>
            <m:sty m:val="p"/>
          </m:rPr>
          <m:t>−</m:t>
        </m:r>
        <m:r>
          <m:t>1.198</m:t>
        </m:r>
      </m:oMath>
      <w:r>
        <w:t xml:space="preserve"> </w:t>
      </w:r>
      <w:r>
        <w:t xml:space="preserve">falls between grid points and beats the grid optimum</w:t>
      </w:r>
      <w:r>
        <w:t xml:space="preserve"> </w:t>
      </w:r>
      <m:oMath>
        <m:r>
          <m:t>γ</m:t>
        </m:r>
        <m:r>
          <m:rPr>
            <m:sty m:val="p"/>
          </m:rPr>
          <m:t>=</m:t>
        </m:r>
        <m:r>
          <m:rPr>
            <m:sty m:val="p"/>
          </m:rPr>
          <m:t>−</m:t>
        </m:r>
        <m:r>
          <m:t>1</m:t>
        </m:r>
      </m:oMath>
      <w:r>
        <w:t xml:space="preserve"> </w:t>
      </w:r>
      <w:r>
        <w:t xml:space="preserve">(</w:t>
      </w:r>
      <m:oMath>
        <m:r>
          <m:t>0.585</m:t>
        </m:r>
      </m:oMath>
      <w:r>
        <w:t xml:space="preserve"> </w:t>
      </w:r>
      <w:r>
        <w:t xml:space="preserve">vs. </w:t>
      </w:r>
      <m:oMath>
        <m:r>
          <m:t>0.550</m:t>
        </m:r>
      </m:oMath>
      <w:r>
        <w:t xml:space="preserve">).</w:t>
      </w:r>
    </w:p>
    <w:bookmarkEnd w:id="55"/>
    <w:bookmarkStart w:id="6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59" w:name="fig:adv"/>
    <w:p>
      <w:pPr>
        <w:pStyle w:val="CaptionedFigure"/>
      </w:pPr>
      <w:r>
        <w:drawing>
          <wp:inline>
            <wp:extent cx="5334000" cy="2726266"/>
            <wp:effectExtent b="0" l="0" r="0" t="0"/>
            <wp:docPr descr="" title="" id="57" name="Picture"/>
            <a:graphic>
              <a:graphicData uri="http://schemas.openxmlformats.org/drawingml/2006/picture">
                <pic:pic>
                  <pic:nvPicPr>
                    <pic:cNvPr descr="figs/tact_adversarial.png" id="58" name="Picture"/>
                    <pic:cNvPicPr>
                      <a:picLocks noChangeArrowheads="1" noChangeAspect="1"/>
                    </pic:cNvPicPr>
                  </pic:nvPicPr>
                  <pic:blipFill>
                    <a:blip r:embed="rId5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59"/>
    <w:bookmarkEnd w:id="60"/>
    <w:bookmarkStart w:id="6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 (dev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6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61"/>
    <w:bookmarkStart w:id="65" w:name="fig:group"/>
    <w:p>
      <w:pPr>
        <w:pStyle w:val="CaptionedFigure"/>
      </w:pPr>
      <w:r>
        <w:drawing>
          <wp:inline>
            <wp:extent cx="5334000" cy="2133600"/>
            <wp:effectExtent b="0" l="0" r="0" t="0"/>
            <wp:docPr descr="" title="" id="63" name="Picture"/>
            <a:graphic>
              <a:graphicData uri="http://schemas.openxmlformats.org/drawingml/2006/picture">
                <pic:pic>
                  <pic:nvPicPr>
                    <pic:cNvPr descr="figs/group_eval.png" id="64" name="Picture"/>
                    <pic:cNvPicPr>
                      <a:picLocks noChangeArrowheads="1" noChangeAspect="1"/>
                    </pic:cNvPicPr>
                  </pic:nvPicPr>
                  <pic:blipFill>
                    <a:blip r:embed="rId6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65"/>
    <w:bookmarkEnd w:id="66"/>
    <w:bookmarkStart w:id="6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67"/>
    <w:bookmarkStart w:id="6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98 tests covering</w:t>
      </w:r>
      <w:r>
        <w:t xml:space="preserve"> </w:t>
      </w:r>
      <w:r>
        <w:rPr>
          <w:smallCaps/>
        </w:rPr>
        <w:t xml:space="preserve">tact</w:t>
      </w:r>
      <w:r>
        <w:t xml:space="preserve"> </w:t>
      </w:r>
      <w:r>
        <w:t xml:space="preserve">and the</w:t>
      </w:r>
      <w:r>
        <w:t xml:space="preserve"> </w:t>
      </w:r>
      <w:r>
        <w:t xml:space="preserve">follow-on work, and runs in 82 seconds. Table </w:t>
      </w:r>
      <w:hyperlink w:anchor="tab:tests">
        <w:r>
          <w:rPr>
            <w:rStyle w:val="Hyperlink"/>
          </w:rPr>
          <w:t xml:space="preserve">4</w:t>
        </w:r>
      </w:hyperlink>
      <w:r>
        <w:t xml:space="preserve"> </w:t>
      </w:r>
      <w:r>
        <w:t xml:space="preserve">maps propositions to the tests that would fail if they stopped holding.</w:t>
      </w:r>
    </w:p>
    <w:bookmarkStart w:id="6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6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69"/>
    <w:bookmarkStart w:id="7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 [</w:t>
      </w:r>
      <w:hyperlink w:anchor="bib:gsm8k2021">
        <w:r>
          <w:rPr>
            <w:rStyle w:val="Hyperlink"/>
          </w:rPr>
          <w:t xml:space="preserve">23</w:t>
        </w:r>
      </w:hyperlink>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of this first campaign: one model, two benchmarks,</w:t>
      </w:r>
      <w:r>
        <w:t xml:space="preserve"> </w:t>
      </w:r>
      <m:oMath>
        <m:r>
          <m:t>K</m:t>
        </m:r>
        <m:r>
          <m:rPr>
            <m:sty m:val="p"/>
          </m:rPr>
          <m:t>=</m:t>
        </m:r>
        <m:r>
          <m:t>12</m:t>
        </m:r>
      </m:oMath>
      <w:r>
        <w:t xml:space="preserve">. It confirms</w:t>
      </w:r>
      <w:r>
        <w:t xml:space="preserve"> </w:t>
      </w:r>
      <w:r>
        <w:t xml:space="preserve">the null-direction prediction and the calibration–discrimination argument, and</w:t>
      </w:r>
      <w:r>
        <w:t xml:space="preserve"> </w:t>
      </w:r>
      <w:r>
        <w:t xml:space="preserve">it is not evidence that</w:t>
      </w:r>
      <w:r>
        <w:t xml:space="preserve"> </w:t>
      </w:r>
      <w:r>
        <w:rPr>
          <w:smallCaps/>
        </w:rPr>
        <w:t xml:space="preserve">tact</w:t>
      </w:r>
      <w:r>
        <w:t xml:space="preserve"> </w:t>
      </w:r>
      <w:r>
        <w:t xml:space="preserve">improves accuracy, since the channel carried no</w:t>
      </w:r>
      <w:r>
        <w:t xml:space="preserve"> </w:t>
      </w:r>
      <w:r>
        <w:t xml:space="preserve">signal to exploit. Finding (c) predicts what to do about that, and</w:t>
      </w:r>
      <w:r>
        <w:t xml:space="preserve"> </w:t>
      </w:r>
      <w:r>
        <w:t xml:space="preserve">Section </w:t>
      </w:r>
      <w:hyperlink w:anchor="sec:hard">
        <w:r>
          <w:rPr>
            <w:rStyle w:val="Hyperlink"/>
          </w:rPr>
          <w:t xml:space="preserve">8.7</w:t>
        </w:r>
      </w:hyperlink>
      <w:r>
        <w:t xml:space="preserve"> </w:t>
      </w:r>
      <w:r>
        <w:t xml:space="preserve">does it.</w:t>
      </w:r>
    </w:p>
    <w:bookmarkEnd w:id="70"/>
    <w:bookmarkStart w:id="72" w:name="sec:hard"/>
    <w:p>
      <w:pPr>
        <w:pStyle w:val="Heading2"/>
      </w:pPr>
      <w:r>
        <w:t xml:space="preserve">Confirmatory campaign on harder items</w:t>
      </w:r>
    </w:p>
    <w:p>
      <w:pPr>
        <w:pStyle w:val="FirstParagraph"/>
      </w:pPr>
      <w:r>
        <w:t xml:space="preserve">Finding (c) predicts that a channel measured as null on saturated benchmarks</w:t>
      </w:r>
      <w:r>
        <w:t xml:space="preserve"> </w:t>
      </w:r>
      <w:r>
        <w:t xml:space="preserve">should become measurable on items the model finds genuinely uncertain. A</w:t>
      </w:r>
      <w:r>
        <w:t xml:space="preserve"> </w:t>
      </w:r>
      <w:r>
        <w:t xml:space="preserve">pre-registered follow-up tests that prediction:</w:t>
      </w:r>
      <w:r>
        <w:t xml:space="preserve"> </w:t>
      </w:r>
      <m:oMath>
        <m:r>
          <m:t>119</m:t>
        </m:r>
      </m:oMath>
      <w:r>
        <w:t xml:space="preserve"> </w:t>
      </w:r>
      <w:r>
        <w:t xml:space="preserve">MATH level-5 problems</w:t>
      </w:r>
      <w:r>
        <w:t xml:space="preserve"> </w:t>
      </w:r>
      <w:r>
        <w:t xml:space="preserve">[</w:t>
      </w:r>
      <w:hyperlink w:anchor="bib:math500">
        <w:r>
          <w:rPr>
            <w:rStyle w:val="Hyperlink"/>
          </w:rPr>
          <w:t xml:space="preserve">24</w:t>
        </w:r>
      </w:hyperlink>
      <w:r>
        <w:t xml:space="preserve">,</w:t>
      </w:r>
      <w:hyperlink w:anchor="bib:lightman2024verify">
        <w:r>
          <w:rPr>
            <w:rStyle w:val="Hyperlink"/>
          </w:rPr>
          <w:t xml:space="preserve">25</w:t>
        </w:r>
      </w:hyperlink>
      <w:r>
        <w:t xml:space="preserve">],</w:t>
      </w:r>
      <w:r>
        <w:t xml:space="preserve"> </w:t>
      </w:r>
      <m:oMath>
        <m:r>
          <m:t>16</m:t>
        </m:r>
      </m:oMath>
      <w:r>
        <w:t xml:space="preserve"> </w:t>
      </w:r>
      <w:r>
        <w:t xml:space="preserve">traces each from the same frozen</w:t>
      </w:r>
      <w:r>
        <w:t xml:space="preserve"> </w:t>
      </w:r>
      <w:r>
        <w:t xml:space="preserve">model, a</w:t>
      </w:r>
      <w:r>
        <w:t xml:space="preserve"> </w:t>
      </w:r>
      <m:oMath>
        <m:r>
          <m:t>30</m:t>
        </m:r>
      </m:oMath>
      <w:r>
        <w:t xml:space="preserve">-item sign set and an</w:t>
      </w:r>
      <w:r>
        <w:t xml:space="preserve"> </w:t>
      </w:r>
      <m:oMath>
        <m:r>
          <m:t>89</m:t>
        </m:r>
      </m:oMath>
      <w:r>
        <w:t xml:space="preserve">-item evaluation set drawn from the</w:t>
      </w:r>
      <w:r>
        <w:t xml:space="preserve"> </w:t>
      </w:r>
      <w:r>
        <w:t xml:space="preserve">registered list before any trace was collected, and five hypotheses (H1–H5)</w:t>
      </w:r>
      <w:r>
        <w:t xml:space="preserve"> </w:t>
      </w:r>
      <w:r>
        <w:t xml:space="preserve">fixed in advance.</w:t>
      </w:r>
    </w:p>
    <w:p>
      <w:pPr>
        <w:pStyle w:val="BodyText"/>
      </w:pPr>
      <w:r>
        <w:rPr>
          <w:i/>
          <w:iCs/>
        </w:rPr>
        <w:t xml:space="preserve">The channel is real.</w:t>
      </w:r>
      <w:r>
        <w:t xml:space="preserve"> </w:t>
      </w:r>
      <w:r>
        <w:t xml:space="preserve">On the evaluation set the pooled statistic is</w:t>
      </w:r>
      <w:r>
        <w:t xml:space="preserve"> </w:t>
      </w:r>
      <m:oMath>
        <m:acc>
          <m:accPr>
            <m:chr m:val="̂"/>
          </m:accPr>
          <m:e>
            <m:r>
              <m:t>D</m:t>
            </m:r>
          </m:e>
        </m:acc>
        <m:r>
          <m:rPr>
            <m:sty m:val="p"/>
          </m:rPr>
          <m:t>=</m:t>
        </m:r>
        <m:r>
          <m:rPr>
            <m:sty m:val="p"/>
          </m:rPr>
          <m:t>+</m:t>
        </m:r>
        <m:r>
          <m:t>0.250</m:t>
        </m:r>
      </m:oMath>
      <w:r>
        <w:t xml:space="preserve"> </w:t>
      </w:r>
      <w:r>
        <w:t xml:space="preserve">with</w:t>
      </w:r>
      <w:r>
        <w:t xml:space="preserve"> </w:t>
      </w:r>
      <m:oMath>
        <m:r>
          <m:rPr>
            <m:sty m:val="p"/>
          </m:rPr>
          <m:t>S</m:t>
        </m:r>
        <m:r>
          <m:rPr>
            <m:sty m:val="p"/>
          </m:rPr>
          <m:t>E</m:t>
        </m:r>
        <m:r>
          <m:rPr>
            <m:sty m:val="p"/>
          </m:rPr>
          <m:t>=</m:t>
        </m:r>
        <m:r>
          <m:t>0.098</m:t>
        </m:r>
      </m:oMath>
      <w:r>
        <w:t xml:space="preserve">, so</w:t>
      </w:r>
      <w:r>
        <w:t xml:space="preserve"> </w:t>
      </w:r>
      <m:oMath>
        <m:r>
          <m:t>z</m:t>
        </m:r>
        <m:r>
          <m:rPr>
            <m:sty m:val="p"/>
          </m:rPr>
          <m:t>=</m:t>
        </m:r>
        <m:r>
          <m:rPr>
            <m:sty m:val="p"/>
          </m:rPr>
          <m:t>+</m:t>
        </m:r>
        <m:r>
          <m:t>2.54</m:t>
        </m:r>
      </m:oMath>
      <w:r>
        <w:t xml:space="preserve"> </w:t>
      </w:r>
      <w:r>
        <w:t xml:space="preserve">and H1 passes. This is</w:t>
      </w:r>
      <w:r>
        <w:t xml:space="preserve"> </w:t>
      </w:r>
      <w:r>
        <w:t xml:space="preserve">the first real-trace evidence that verbalized confidence carries positive</w:t>
      </w:r>
      <w:r>
        <w:t xml:space="preserve"> </w:t>
      </w:r>
      <w:r>
        <w:t xml:space="preserve">within-item discrimination; the same measurement on GSM8K/CommonsenseQA gave</w:t>
      </w:r>
      <w:r>
        <w:t xml:space="preserve"> </w:t>
      </w:r>
      <m:oMath>
        <m:r>
          <m:rPr>
            <m:sty m:val="p"/>
          </m:rPr>
          <m:t>−</m:t>
        </m:r>
        <m:r>
          <m:t>0.219</m:t>
        </m:r>
      </m:oMath>
      <w:r>
        <w:t xml:space="preserve"> </w:t>
      </w:r>
      <w:r>
        <w:t xml:space="preserve">(</w:t>
      </w:r>
      <m:oMath>
        <m:r>
          <m:t>z</m:t>
        </m:r>
        <m:r>
          <m:rPr>
            <m:sty m:val="p"/>
          </m:rPr>
          <m:t>=</m:t>
        </m:r>
        <m:r>
          <m:rPr>
            <m:sty m:val="p"/>
          </m:rPr>
          <m:t>−</m:t>
        </m:r>
        <m:r>
          <m:t>1.24</m:t>
        </m:r>
      </m:oMath>
      <w:r>
        <w:t xml:space="preserve">).</w:t>
      </w:r>
    </w:p>
    <w:p>
      <w:pPr>
        <w:pStyle w:val="BodyText"/>
      </w:pPr>
      <w:r>
        <w:rPr>
          <w:i/>
          <w:iCs/>
        </w:rPr>
        <w:t xml:space="preserve">The endpoint was unpassable for any method.</w:t>
      </w:r>
      <w:r>
        <w:t xml:space="preserve"> </w:t>
      </w:r>
      <w:r>
        <w:t xml:space="preserve">The realized substrate</w:t>
      </w:r>
      <w:r>
        <w:t xml:space="preserve"> </w:t>
      </w:r>
      <w:r>
        <w:t xml:space="preserve">saturated again: per-trace accuracy</w:t>
      </w:r>
      <w:r>
        <w:t xml:space="preserve"> </w:t>
      </w:r>
      <m:oMath>
        <m:r>
          <m:t>0.819</m:t>
        </m:r>
      </m:oMath>
      <w:r>
        <w:t xml:space="preserve">,</w:t>
      </w:r>
      <w:r>
        <w:t xml:space="preserve"> </w:t>
      </w:r>
      <w:r>
        <w:rPr>
          <w:smallCaps/>
        </w:rPr>
        <w:t xml:space="preserve">sc</w:t>
      </w:r>
      <w:r>
        <w:t xml:space="preserve"> </w:t>
      </w:r>
      <m:oMath>
        <m:r>
          <m:t>0.888</m:t>
        </m:r>
      </m:oMath>
      <w:r>
        <w:t xml:space="preserve">, a decisive</w:t>
      </w:r>
      <w:r>
        <w:t xml:space="preserve"> </w:t>
      </w:r>
      <w:r>
        <w:t xml:space="preserve">stratum of</w:t>
      </w:r>
      <w:r>
        <w:t xml:space="preserve"> </w:t>
      </w:r>
      <m:oMath>
        <m:r>
          <m:t>10</m:t>
        </m:r>
      </m:oMath>
      <w:r>
        <w:t xml:space="preserve"> </w:t>
      </w:r>
      <w:r>
        <w:t xml:space="preserve">of</w:t>
      </w:r>
      <w:r>
        <w:t xml:space="preserve"> </w:t>
      </w:r>
      <m:oMath>
        <m:r>
          <m:t>89</m:t>
        </m:r>
      </m:oMath>
      <w:r>
        <w:t xml:space="preserve"> </w:t>
      </w:r>
      <w:r>
        <w:t xml:space="preserve">items, and the correct answer present in the pool on</w:t>
      </w:r>
      <w:r>
        <w:t xml:space="preserve"> </w:t>
      </w:r>
      <w:r>
        <w:t xml:space="preserve">only</w:t>
      </w:r>
      <w:r>
        <w:t xml:space="preserve"> </w:t>
      </w:r>
      <m:oMath>
        <m:r>
          <m:t>4</m:t>
        </m:r>
      </m:oMath>
      <w:r>
        <w:t xml:space="preserve"> </w:t>
      </w:r>
      <w:r>
        <w:t xml:space="preserve">of those. The in-pool</w:t>
      </w:r>
      <w:r>
        <w:t xml:space="preserve"> </w:t>
      </w:r>
      <w:r>
        <w:rPr>
          <w:i/>
          <w:iCs/>
        </w:rPr>
        <w:t xml:space="preserve">oracle</w:t>
      </w:r>
      <w:r>
        <w:t xml:space="preserve"> </w:t>
      </w:r>
      <w:r>
        <w:t xml:space="preserve">therefore tops out at</w:t>
      </w:r>
      <w:r>
        <w:t xml:space="preserve"> </w:t>
      </w:r>
      <m:oMath>
        <m:r>
          <m:rPr>
            <m:sty m:val="p"/>
          </m:rPr>
          <m:t>+</m:t>
        </m:r>
        <m:r>
          <m:t>4</m:t>
        </m:r>
        <m:r>
          <m:rPr>
            <m:sty m:val="p"/>
          </m:rPr>
          <m:t>/</m:t>
        </m:r>
        <m:r>
          <m:rPr>
            <m:sty m:val="p"/>
          </m:rPr>
          <m:t>−</m:t>
        </m:r>
        <m:r>
          <m:t>0</m:t>
        </m:r>
      </m:oMath>
      <w:r>
        <w:t xml:space="preserve">,</w:t>
      </w:r>
      <w:r>
        <w:t xml:space="preserve"> </w:t>
      </w:r>
      <w:r>
        <w:t xml:space="preserve">exact one-sided</w:t>
      </w:r>
      <w:r>
        <w:t xml:space="preserve"> </w:t>
      </w:r>
      <m:oMath>
        <m:r>
          <m:t>p</m:t>
        </m:r>
        <m:r>
          <m:rPr>
            <m:sty m:val="p"/>
          </m:rPr>
          <m:t>=</m:t>
        </m:r>
        <m:r>
          <m:t>0.0625</m:t>
        </m:r>
      </m:oMath>
      <w:r>
        <w:t xml:space="preserve">. H2 fails, but it fails for every conceivable</w:t>
      </w:r>
      <w:r>
        <w:t xml:space="preserve"> </w:t>
      </w:r>
      <w:r>
        <w:t xml:space="preserve">aggregation method including a perfect one, so the failure is a property of</w:t>
      </w:r>
      <w:r>
        <w:t xml:space="preserve"> </w:t>
      </w:r>
      <w:r>
        <w:t xml:space="preserve">the substrate rather than of the estimator.</w:t>
      </w:r>
    </w:p>
    <w:p>
      <w:pPr>
        <w:pStyle w:val="BodyText"/>
      </w:pPr>
      <w:r>
        <w:rPr>
          <w:i/>
          <w:iCs/>
        </w:rPr>
        <w:t xml:space="preserve">Abstention behaved as designed.</w:t>
      </w:r>
      <w:r>
        <w:t xml:space="preserve"> </w:t>
      </w:r>
      <w:r>
        <w:rPr>
          <w:smallCaps/>
        </w:rPr>
        <w:t xml:space="preserve">tact</w:t>
      </w:r>
      <w:r>
        <w:t xml:space="preserve"> </w:t>
      </w:r>
      <w:r>
        <w:t xml:space="preserve">returned</w:t>
      </w:r>
      <w:r>
        <w:t xml:space="preserve"> </w:t>
      </w:r>
      <m:oMath>
        <m:r>
          <m:t>γ</m:t>
        </m:r>
        <m:r>
          <m:rPr>
            <m:sty m:val="p"/>
          </m:rPr>
          <m:t>=</m:t>
        </m:r>
        <m:r>
          <m:t>0</m:t>
        </m:r>
      </m:oMath>
      <w:r>
        <w:t xml:space="preserve">, with</w:t>
      </w:r>
      <w:r>
        <w:t xml:space="preserve"> </w:t>
      </w:r>
      <w:r>
        <w:t xml:space="preserve">alarms E4 and E2 firing on the label-free path and the sign set holding too</w:t>
      </w:r>
      <w:r>
        <w:t xml:space="preserve"> </w:t>
      </w:r>
      <w:r>
        <w:t xml:space="preserve">few informative items to supply a semi-label-free sign. The vote is therefore</w:t>
      </w:r>
      <w:r>
        <w:t xml:space="preserve"> </w:t>
      </w:r>
      <w:r>
        <w:t xml:space="preserve">bit-identical to</w:t>
      </w:r>
      <w:r>
        <w:t xml:space="preserve"> </w:t>
      </w:r>
      <w:r>
        <w:rPr>
          <w:smallCaps/>
        </w:rPr>
        <w:t xml:space="preserve">sc</w:t>
      </w:r>
      <w:r>
        <w:t xml:space="preserve"> </w:t>
      </w:r>
      <w:r>
        <w:t xml:space="preserve">at</w:t>
      </w:r>
      <w:r>
        <w:t xml:space="preserve"> </w:t>
      </w:r>
      <m:oMath>
        <m:r>
          <m:t>0.888</m:t>
        </m:r>
      </m:oMath>
      <w:r>
        <w:t xml:space="preserve"> </w:t>
      </w:r>
      <w:r>
        <w:t xml:space="preserve">(H3, H4 pass). The cost of acting anyway is</w:t>
      </w:r>
      <w:r>
        <w:t xml:space="preserve"> </w:t>
      </w:r>
      <w:r>
        <w:t xml:space="preserve">visible in the same table: best-single-confidence, the trivial baseline that</w:t>
      </w:r>
      <w:r>
        <w:t xml:space="preserve"> </w:t>
      </w:r>
      <w:r>
        <w:t xml:space="preserve">always trusts the channel, loses</w:t>
      </w:r>
      <w:r>
        <w:t xml:space="preserve"> </w:t>
      </w:r>
      <m:oMath>
        <m:r>
          <m:t>4.5</m:t>
        </m:r>
      </m:oMath>
      <w:r>
        <w:t xml:space="preserve"> </w:t>
      </w:r>
      <w:r>
        <w:t xml:space="preserve">points at</w:t>
      </w:r>
      <w:r>
        <w:t xml:space="preserve"> </w:t>
      </w:r>
      <m:oMath>
        <m:r>
          <m:t>0.843</m:t>
        </m:r>
      </m:oMath>
      <w:r>
        <w:t xml:space="preserve">.</w:t>
      </w:r>
    </w:p>
    <w:bookmarkStart w:id="71" w:name="tab:hard"/>
    <w:p>
      <w:pPr>
        <w:pStyle w:val="TableCaption"/>
      </w:pPr>
      <w:r>
        <w:t xml:space="preserve">Confirmatory campaign, MATH level-5 evaluation set (</w:t>
      </w:r>
      <m:oMath>
        <m:r>
          <m:t>89</m:t>
        </m:r>
      </m:oMath>
      <w:r>
        <w:t xml:space="preserve"> </w:t>
      </w:r>
      <w:r>
        <w:t xml:space="preserve">items,</w:t>
      </w:r>
      <w:r>
        <w:t xml:space="preserve"> </w:t>
      </w:r>
      <m:oMath>
        <m:r>
          <m:t>K</m:t>
        </m:r>
        <m:r>
          <m:rPr>
            <m:sty m:val="p"/>
          </m:rPr>
          <m:t>=</m:t>
        </m:r>
        <m:r>
          <m:t>16</m:t>
        </m:r>
      </m:oMath>
      <w:r>
        <w:t xml:space="preserve">). Every method replays the same cached pools. The duplication</w:t>
      </w:r>
      <w:r>
        <w:t xml:space="preserve"> </w:t>
      </w:r>
      <w:r>
        <w:t xml:space="preserve">channel is inert because no reasoning text was collected, so dedup-</w:t>
      </w:r>
      <w:r>
        <w:rPr>
          <w:smallCaps/>
        </w:rPr>
        <w:t xml:space="preserve">sc</w:t>
      </w:r>
      <w:r>
        <w:t xml:space="preserve"> </w:t>
      </w:r>
      <w:r>
        <w:t xml:space="preserve">coincides with</w:t>
      </w:r>
      <w:r>
        <w:t xml:space="preserve"> </w:t>
      </w:r>
      <w:r>
        <w:rPr>
          <w:smallCaps/>
        </w:rPr>
        <w:t xml:space="preserve">sc</w:t>
      </w:r>
      <w:r>
        <w:t xml:space="preserve"> </w:t>
      </w:r>
      <w:r>
        <w:t xml:space="preserve">by construction.</w:t>
      </w:r>
    </w:p>
    <w:tbl>
      <w:tblPr>
        <w:tblStyle w:val="Table"/>
        <w:tblW w:type="auto" w:w="0"/>
        <w:tblLook w:firstRow="1" w:lastRow="0" w:firstColumn="0" w:lastColumn="0" w:noHBand="0" w:noVBand="0" w:val="0020"/>
        <w:tblCaption w:val="Confirmatory campaign, MATH level-5 evaluation set (89 items, K{=}16). Every method replays the same cached pools. The duplication channel is inert because no reasoning text was collected, so dedup-sc coincides with sc by construction."/>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Accuracy</w:t>
            </w:r>
          </w:p>
        </w:tc>
        <w:tc>
          <w:tcPr/>
          <w:p>
            <w:pPr>
              <w:pStyle w:val="Compact"/>
              <w:jc w:val="center"/>
            </w:pPr>
            <w:r>
              <w:t xml:space="preserve">net vs. </w:t>
            </w:r>
            <w:r>
              <w:rPr>
                <w:smallCaps/>
              </w:rPr>
              <w:t xml:space="preserve">sc</w:t>
            </w:r>
          </w:p>
        </w:tc>
      </w:tr>
      <w:tr>
        <w:tc>
          <w:tcPr/>
          <w:p>
            <w:pPr>
              <w:pStyle w:val="Compact"/>
              <w:jc w:val="left"/>
            </w:pPr>
            <w:r>
              <w:rPr>
                <w:smallCaps/>
              </w:rPr>
              <w:t xml:space="preserve">sc</w:t>
            </w:r>
            <w:r>
              <w:t xml:space="preserve"> </w:t>
            </w:r>
            <w:r>
              <w:t xml:space="preserve">/ dedup-</w:t>
            </w:r>
            <w:r>
              <w:rPr>
                <w:smallCaps/>
              </w:rPr>
              <w:t xml:space="preserve">sc</w:t>
            </w:r>
            <w:r>
              <w:t xml:space="preserve"> </w:t>
            </w:r>
            <w:r>
              <w:t xml:space="preserve">/ CISC-linear</w:t>
            </w:r>
          </w:p>
        </w:tc>
        <w:tc>
          <w:tcPr/>
          <w:p>
            <w:pPr>
              <w:pStyle w:val="Compact"/>
              <w:jc w:val="center"/>
            </w:pPr>
            <m:oMath>
              <m:r>
                <m:t>0.888</m:t>
              </m:r>
            </m:oMath>
          </w:p>
        </w:tc>
        <w:tc>
          <w:tcPr/>
          <w:p>
            <w:pPr>
              <w:pStyle w:val="Compact"/>
              <w:jc w:val="center"/>
            </w:pPr>
            <w:r>
              <w:t xml:space="preserve">—</w:t>
            </w:r>
          </w:p>
        </w:tc>
      </w:tr>
      <w:tr>
        <w:tc>
          <w:tcPr/>
          <w:p>
            <w:pPr>
              <w:pStyle w:val="Compact"/>
              <w:jc w:val="left"/>
            </w:pPr>
            <w:r>
              <w:rPr>
                <w:smallCaps/>
              </w:rPr>
              <w:t xml:space="preserve">tact</w:t>
            </w:r>
            <w:r>
              <w:t xml:space="preserve">-LF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rPr>
                <w:smallCaps/>
              </w:rPr>
              <w:t xml:space="preserve">tact</w:t>
            </w:r>
            <w:r>
              <w:t xml:space="preserve">-semi-LF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t xml:space="preserve">best-single-confidence</w:t>
            </w:r>
          </w:p>
        </w:tc>
        <w:tc>
          <w:tcPr/>
          <w:p>
            <w:pPr>
              <w:pStyle w:val="Compact"/>
              <w:jc w:val="center"/>
            </w:pPr>
            <m:oMath>
              <m:r>
                <m:t>0.843</m:t>
              </m:r>
            </m:oMath>
          </w:p>
        </w:tc>
        <w:tc>
          <w:tcPr/>
          <w:p>
            <w:pPr>
              <w:pStyle w:val="Compact"/>
              <w:jc w:val="center"/>
            </w:pPr>
            <m:oMath>
              <m:r>
                <m:rPr>
                  <m:sty m:val="p"/>
                </m:rPr>
                <m:t>+</m:t>
              </m:r>
              <m:r>
                <m:t>1</m:t>
              </m:r>
              <m:r>
                <m:rPr>
                  <m:sty m:val="p"/>
                </m:rPr>
                <m:t>/</m:t>
              </m:r>
              <m:r>
                <m:rPr>
                  <m:sty m:val="p"/>
                </m:rPr>
                <m:t>−</m:t>
              </m:r>
              <m:r>
                <m:t>5</m:t>
              </m:r>
            </m:oMath>
          </w:p>
        </w:tc>
      </w:tr>
      <w:tr>
        <w:tc>
          <w:tcPr/>
          <w:p>
            <w:pPr>
              <w:pStyle w:val="Compact"/>
              <w:jc w:val="left"/>
            </w:pPr>
            <w:r>
              <w:t xml:space="preserve">in-pool oracle (ceiling)</w:t>
            </w:r>
          </w:p>
        </w:tc>
        <w:tc>
          <w:tcPr/>
          <w:p>
            <w:pPr>
              <w:pStyle w:val="Compact"/>
              <w:jc w:val="center"/>
            </w:pPr>
            <m:oMath>
              <m:r>
                <m:t>0.933</m:t>
              </m:r>
            </m:oMath>
          </w:p>
        </w:tc>
        <w:tc>
          <w:tcPr/>
          <w:p>
            <w:pPr>
              <w:pStyle w:val="Compact"/>
              <w:jc w:val="center"/>
            </w:pPr>
            <m:oMath>
              <m:r>
                <m:rPr>
                  <m:sty m:val="p"/>
                </m:rPr>
                <m:t>+</m:t>
              </m:r>
              <m:r>
                <m:t>4</m:t>
              </m:r>
              <m:r>
                <m:rPr>
                  <m:sty m:val="p"/>
                </m:rPr>
                <m:t>/</m:t>
              </m:r>
              <m:r>
                <m:rPr>
                  <m:sty m:val="p"/>
                </m:rPr>
                <m:t>−</m:t>
              </m:r>
              <m:r>
                <m:t>0</m:t>
              </m:r>
            </m:oMath>
          </w:p>
        </w:tc>
      </w:tr>
    </w:tbl>
    <w:bookmarkEnd w:id="71"/>
    <w:p>
      <w:pPr>
        <w:pStyle w:val="BodyText"/>
      </w:pPr>
      <w:r>
        <w:t xml:space="preserve">One caveat from this campaign transfers beyond</w:t>
      </w:r>
      <w:r>
        <w:t xml:space="preserve"> </w:t>
      </w:r>
      <w:r>
        <w:rPr>
          <w:smallCaps/>
        </w:rPr>
        <w:t xml:space="preserve">tact</w:t>
      </w:r>
      <w:r>
        <w:t xml:space="preserve">. Measured difficulty</w:t>
      </w:r>
      <w:r>
        <w:t xml:space="preserve"> </w:t>
      </w:r>
      <w:r>
        <w:t xml:space="preserve">depended on the collection protocol: a</w:t>
      </w:r>
      <w:r>
        <w:t xml:space="preserve"> </w:t>
      </w:r>
      <m:oMath>
        <m:r>
          <m:t>30</m:t>
        </m:r>
      </m:oMath>
      <w:r>
        <w:t xml:space="preserve">-problem-per-call probe put</w:t>
      </w:r>
      <w:r>
        <w:t xml:space="preserve"> </w:t>
      </w:r>
      <w:r>
        <w:t xml:space="preserve">level-5 plurality accuracy at</w:t>
      </w:r>
      <w:r>
        <w:t xml:space="preserve"> </w:t>
      </w:r>
      <m:oMath>
        <m:r>
          <m:t>0.40</m:t>
        </m:r>
      </m:oMath>
      <w:r>
        <w:t xml:space="preserve">, while the</w:t>
      </w:r>
      <w:r>
        <w:t xml:space="preserve"> </w:t>
      </w:r>
      <m:oMath>
        <m:r>
          <m:t>15</m:t>
        </m:r>
      </m:oMath>
      <w:r>
        <w:t xml:space="preserve">-problem-per-call</w:t>
      </w:r>
      <w:r>
        <w:t xml:space="preserve"> </w:t>
      </w:r>
      <w:r>
        <w:t xml:space="preserve">confirmatory run yielded</w:t>
      </w:r>
      <w:r>
        <w:t xml:space="preserve"> </w:t>
      </w:r>
      <m:oMath>
        <m:r>
          <m:t>0.888</m:t>
        </m:r>
      </m:oMath>
      <w:r>
        <w:t xml:space="preserve"> </w:t>
      </w:r>
      <w:r>
        <w:t xml:space="preserve">on the same stratum. Batch size belongs in</w:t>
      </w:r>
      <w:r>
        <w:t xml:space="preserve"> </w:t>
      </w:r>
      <w:r>
        <w:t xml:space="preserve">the experimental record whenever traces are collected in batches.</w:t>
      </w:r>
    </w:p>
    <w:bookmarkEnd w:id="72"/>
    <w:bookmarkStart w:id="74" w:name="sec:window"/>
    <w:p>
      <w:pPr>
        <w:pStyle w:val="Heading2"/>
      </w:pPr>
      <w:r>
        <w:t xml:space="preserve">How wide is the addressable stratum?</w:t>
      </w:r>
    </w:p>
    <w:p>
      <w:pPr>
        <w:pStyle w:val="FirstParagraph"/>
      </w:pPr>
      <w:r>
        <w:t xml:space="preserve">Both campaigns failed their endpoint for the same reason, which suggests</w:t>
      </w:r>
      <w:r>
        <w:t xml:space="preserve"> </w:t>
      </w:r>
      <w:r>
        <w:t xml:space="preserve">measuring that reason directly. Define the</w:t>
      </w:r>
      <w:r>
        <w:t xml:space="preserve"> </w:t>
      </w:r>
      <w:r>
        <w:rPr>
          <w:i/>
          <w:iCs/>
        </w:rPr>
        <w:t xml:space="preserve">window</w:t>
      </w:r>
      <w:r>
        <w:t xml:space="preserve"> </w:t>
      </w:r>
      <w:r>
        <w:t xml:space="preserve">as the fraction of</w:t>
      </w:r>
      <w:r>
        <w:t xml:space="preserve"> </w:t>
      </w:r>
      <w:r>
        <w:t xml:space="preserve">items where the plurality is wrong</w:t>
      </w:r>
      <w:r>
        <w:t xml:space="preserve"> </w:t>
      </w:r>
      <w:r>
        <w:rPr>
          <w:i/>
          <w:iCs/>
        </w:rPr>
        <w:t xml:space="preserve">and</w:t>
      </w:r>
      <w:r>
        <w:t xml:space="preserve"> </w:t>
      </w:r>
      <w:r>
        <w:t xml:space="preserve">the correct answer is present</w:t>
      </w:r>
      <w:r>
        <w:t xml:space="preserve"> </w:t>
      </w:r>
      <w:r>
        <w:t xml:space="preserve">in the pool: the ceiling for any label-free aggregation method, since nothing</w:t>
      </w:r>
      <w:r>
        <w:t xml:space="preserve"> </w:t>
      </w:r>
      <w:r>
        <w:t xml:space="preserve">outside it can be changed.</w:t>
      </w:r>
    </w:p>
    <w:p>
      <w:pPr>
        <w:pStyle w:val="BodyText"/>
      </w:pPr>
      <w:r>
        <w:t xml:space="preserve">The window was measured on five substrates spanning two domains</w:t>
      </w:r>
      <w:r>
        <w:t xml:space="preserve"> </w:t>
      </w:r>
      <w:r>
        <w:t xml:space="preserve">(Table </w:t>
      </w:r>
      <w:hyperlink w:anchor="tab:window">
        <w:r>
          <w:rPr>
            <w:rStyle w:val="Hyperlink"/>
          </w:rPr>
          <w:t xml:space="preserve">6</w:t>
        </w:r>
      </w:hyperlink>
      <w:r>
        <w:t xml:space="preserve">). For code generation, where an executable test suite</w:t>
      </w:r>
      <w:r>
        <w:t xml:space="preserve"> </w:t>
      </w:r>
      <w:r>
        <w:t xml:space="preserve">supplies per-sample ground truth and the window might reasonably be expected</w:t>
      </w:r>
      <w:r>
        <w:t xml:space="preserve"> </w:t>
      </w:r>
      <w:r>
        <w:t xml:space="preserve">to widen,</w:t>
      </w:r>
      <w:r>
        <w:t xml:space="preserve"> </w:t>
      </w:r>
      <m:oMath>
        <m:r>
          <m:t>40</m:t>
        </m:r>
      </m:oMath>
      <w:r>
        <w:t xml:space="preserve"> </w:t>
      </w:r>
      <w:r>
        <w:t xml:space="preserve">LeetCode Medium/Hard problems [</w:t>
      </w:r>
      <w:hyperlink w:anchor="bib:leetcodedataset">
        <w:r>
          <w:rPr>
            <w:rStyle w:val="Hyperlink"/>
          </w:rPr>
          <w:t xml:space="preserve">26</w:t>
        </w:r>
      </w:hyperlink>
      <w:r>
        <w:t xml:space="preserve">] were</w:t>
      </w:r>
      <w:r>
        <w:t xml:space="preserve"> </w:t>
      </w:r>
      <w:r>
        <w:t xml:space="preserve">solved</w:t>
      </w:r>
      <w:r>
        <w:t xml:space="preserve"> </w:t>
      </w:r>
      <m:oMath>
        <m:r>
          <m:t>8</m:t>
        </m:r>
      </m:oMath>
      <w:r>
        <w:t xml:space="preserve"> </w:t>
      </w:r>
      <w:r>
        <w:t xml:space="preserve">times each and graded against the benchmark’s hidden suites, with</w:t>
      </w:r>
      <w:r>
        <w:t xml:space="preserve"> </w:t>
      </w:r>
      <w:r>
        <w:t xml:space="preserve">the baseline taken as the largest behavioural cluster over probe inputs</w:t>
      </w:r>
      <w:r>
        <w:t xml:space="preserve"> </w:t>
      </w:r>
      <w:r>
        <w:t xml:space="preserve">(never expected outputs). The window is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wider than label-free QA, but the same order, and the</w:t>
      </w:r>
      <w:r>
        <w:t xml:space="preserve"> </w:t>
      </w:r>
      <w:r>
        <w:t xml:space="preserve">composition is the same shape at</w:t>
      </w:r>
      <w:r>
        <w:t xml:space="preserve"> </w:t>
      </w:r>
      <m:oMath>
        <m:r>
          <m:t>30</m:t>
        </m:r>
      </m:oMath>
      <w:r>
        <w:t xml:space="preserve"> </w:t>
      </w:r>
      <w:r>
        <w:t xml:space="preserve">saturated,</w:t>
      </w:r>
      <w:r>
        <w:t xml:space="preserve"> </w:t>
      </w:r>
      <m:oMath>
        <m:r>
          <m:t>7</m:t>
        </m:r>
      </m:oMath>
      <w:r>
        <w:t xml:space="preserve"> </w:t>
      </w:r>
      <w:r>
        <w:t xml:space="preserve">capability wall and</w:t>
      </w:r>
      <w:r>
        <w:t xml:space="preserve"> </w:t>
      </w:r>
      <m:oMath>
        <m:r>
          <m:t>3</m:t>
        </m:r>
      </m:oMath>
      <w:r>
        <w:t xml:space="preserve"> </w:t>
      </w:r>
      <w:r>
        <w:t xml:space="preserve">rescuable, i.e. </w:t>
      </w:r>
      <m:oMath>
        <m:r>
          <m:t>75</m:t>
        </m:r>
        <m:r>
          <m:rPr>
            <m:sty m:val="p"/>
          </m:rPr>
          <m:t>/</m:t>
        </m:r>
        <m:r>
          <m:t>17.5</m:t>
        </m:r>
        <m:r>
          <m:rPr>
            <m:sty m:val="p"/>
          </m:rPr>
          <m:t>/</m:t>
        </m:r>
        <m:r>
          <m:t>7.5</m:t>
        </m:r>
        <m:r>
          <m:rPr>
            <m:sty m:val="p"/>
          </m:rPr>
          <m:t>%</m:t>
        </m:r>
      </m:oMath>
      <w:r>
        <w:t xml:space="preserve">. Nor does budget open it. The seven capability-wall problems</w:t>
      </w:r>
      <w:r>
        <w:t xml:space="preserve"> </w:t>
      </w:r>
      <w:r>
        <w:t xml:space="preserve">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 and extrapolating oracle@</w:t>
      </w:r>
      <m:oMath>
        <m:r>
          <m:t>N</m:t>
        </m:r>
      </m:oMath>
      <w:r>
        <w:t xml:space="preserve"> </w:t>
      </w:r>
      <w:r>
        <w:t xml:space="preserve">shows the</w:t>
      </w:r>
      <w:r>
        <w:t xml:space="preserve"> </w:t>
      </w:r>
      <w:r>
        <w:t xml:space="preserve">window saturating by</w:t>
      </w:r>
      <w:r>
        <w:t xml:space="preserve"> </w:t>
      </w:r>
      <m:oMath>
        <m:r>
          <m:t>N</m:t>
        </m:r>
        <m:r>
          <m:rPr>
            <m:sty m:val="p"/>
          </m:rPr>
          <m:t>=</m:t>
        </m:r>
        <m:r>
          <m:t>32</m:t>
        </m:r>
      </m:oMath>
      <w:r>
        <w:t xml:space="preserve">.</w:t>
      </w:r>
    </w:p>
    <w:bookmarkStart w:id="73" w:name="tab:window"/>
    <w:p>
      <w:pPr>
        <w:pStyle w:val="TableCaption"/>
      </w:pPr>
      <w:r>
        <w:t xml:space="preserve">The addressable stratum across substrates. Rows marked</w:t>
      </w:r>
      <w:r>
        <w:t xml:space="preserve"> </w:t>
      </w:r>
      <m:oMath>
        <m:r>
          <m:rPr>
            <m:sty m:val="p"/>
          </m:rPr>
          <m:t>†</m:t>
        </m:r>
      </m:oMath>
      <w:r>
        <w:t xml:space="preserve"> </w:t>
      </w:r>
      <w:r>
        <w:t xml:space="preserve">are</w:t>
      </w:r>
      <w:r>
        <w:t xml:space="preserve"> </w:t>
      </w:r>
      <w:r>
        <w:t xml:space="preserve">measured here; HumanEval+/MBPP+ is recomputed from published oracle-minus-</w:t>
      </w:r>
      <w:r>
        <w:t xml:space="preserve"> </w:t>
      </w:r>
      <w:r>
        <w:t xml:space="preserve">selector tables. As items harden they pass from saturated to</w:t>
      </w:r>
      <w:r>
        <w:t xml:space="preserve"> </w:t>
      </w:r>
      <w:r>
        <w:t xml:space="preserve">capability-limited without the window widening.</w:t>
      </w:r>
    </w:p>
    <w:tbl>
      <w:tblPr>
        <w:tblStyle w:val="Table"/>
        <w:tblW w:type="auto" w:w="0"/>
        <w:tblLook w:firstRow="1" w:lastRow="0" w:firstColumn="0" w:lastColumn="0" w:noHBand="0" w:noVBand="0" w:val="0020"/>
        <w:tblCaption w:val="The addressable stratum across substrates. Rows marked \dagger are measured here; HumanEval+/MBPP+ is recomputed from published oracle-minus- selector tables. As items harden they pass from saturated to capability-limited without the window widening."/>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Substrate</w:t>
            </w:r>
          </w:p>
        </w:tc>
        <w:tc>
          <w:tcPr/>
          <w:p>
            <w:pPr>
              <w:pStyle w:val="Compact"/>
              <w:jc w:val="center"/>
            </w:pPr>
            <w:r>
              <w:t xml:space="preserve">Window</w:t>
            </w:r>
          </w:p>
        </w:tc>
      </w:tr>
      <w:tr>
        <w:tc>
          <w:tcPr/>
          <w:p>
            <w:pPr>
              <w:pStyle w:val="Compact"/>
              <w:jc w:val="left"/>
            </w:pPr>
            <w:r>
              <w:t xml:space="preserve">QA, label-free</w:t>
            </w:r>
          </w:p>
        </w:tc>
        <w:tc>
          <w:tcPr/>
          <w:p>
            <w:pPr>
              <w:pStyle w:val="Compact"/>
              <w:jc w:val="left"/>
            </w:pPr>
            <w:r>
              <w:t xml:space="preserve">GSM8K / CommonsenseQA</w:t>
            </w:r>
            <m:oMath>
              <m:sSup>
                <m:e>
                  <m:r>
                    <m:t>​</m:t>
                  </m:r>
                </m:e>
                <m:sup>
                  <m:r>
                    <m:rPr>
                      <m:sty m:val="p"/>
                    </m:rPr>
                    <m:t>†</m:t>
                  </m:r>
                </m:sup>
              </m:sSup>
            </m:oMath>
          </w:p>
        </w:tc>
        <w:tc>
          <w:tcPr/>
          <w:p>
            <w:pPr>
              <w:pStyle w:val="Compact"/>
              <w:jc w:val="center"/>
            </w:pPr>
            <m:oMath>
              <m:r>
                <m:t>12</m:t>
              </m:r>
              <m:r>
                <m:rPr>
                  <m:sty m:val="p"/>
                </m:rPr>
                <m:t>%</m:t>
              </m:r>
            </m:oMath>
            <w:r>
              <w:t xml:space="preserve"> </w:t>
            </w:r>
            <w:r>
              <w:t xml:space="preserve">informative,</w:t>
            </w:r>
            <w:r>
              <w:t xml:space="preserve"> </w:t>
            </w:r>
            <m:oMath>
              <m:r>
                <m:t>9</m:t>
              </m:r>
              <m:r>
                <m:rPr>
                  <m:sty m:val="p"/>
                </m:rPr>
                <m:t>%</m:t>
              </m:r>
            </m:oMath>
            <w:r>
              <w:t xml:space="preserve"> </w:t>
            </w:r>
            <w:r>
              <w:t xml:space="preserve">decisive</w:t>
            </w:r>
          </w:p>
        </w:tc>
      </w:tr>
      <w:tr>
        <w:tc>
          <w:tcPr/>
          <w:p>
            <w:pPr>
              <w:pStyle w:val="Compact"/>
              <w:jc w:val="left"/>
            </w:pPr>
            <w:r>
              <w:t xml:space="preserve">QA, label-free</w:t>
            </w:r>
          </w:p>
        </w:tc>
        <w:tc>
          <w:tcPr/>
          <w:p>
            <w:pPr>
              <w:pStyle w:val="Compact"/>
              <w:jc w:val="left"/>
            </w:pPr>
            <w:r>
              <w:t xml:space="preserve">MATH level-5</w:t>
            </w:r>
            <m:oMath>
              <m:sSup>
                <m:e>
                  <m:r>
                    <m:t>​</m:t>
                  </m:r>
                </m:e>
                <m:sup>
                  <m:r>
                    <m:rPr>
                      <m:sty m:val="p"/>
                    </m:rPr>
                    <m:t>†</m:t>
                  </m:r>
                </m:sup>
              </m:sSup>
            </m:oMath>
          </w:p>
        </w:tc>
        <w:tc>
          <w:tcPr/>
          <w:p>
            <w:pPr>
              <w:pStyle w:val="Compact"/>
              <w:jc w:val="center"/>
            </w:pPr>
            <m:oMath>
              <m:r>
                <m:t>11</m:t>
              </m:r>
              <m:r>
                <m:rPr>
                  <m:sty m:val="p"/>
                </m:rPr>
                <m:t>%</m:t>
              </m:r>
            </m:oMath>
            <w:r>
              <w:t xml:space="preserve"> </w:t>
            </w:r>
            <w:r>
              <w:t xml:space="preserve">decisive,</w:t>
            </w:r>
            <w:r>
              <w:t xml:space="preserve"> </w:t>
            </w:r>
            <m:oMath>
              <m:r>
                <m:t>4</m:t>
              </m:r>
              <m:r>
                <m:rPr>
                  <m:sty m:val="p"/>
                </m:rPr>
                <m:t>%</m:t>
              </m:r>
            </m:oMath>
            <w:r>
              <w:t xml:space="preserve"> </w:t>
            </w:r>
            <w:r>
              <w:t xml:space="preserve">rescuable</w:t>
            </w:r>
          </w:p>
        </w:tc>
      </w:tr>
      <w:tr>
        <w:tc>
          <w:tcPr/>
          <w:p>
            <w:pPr>
              <w:pStyle w:val="Compact"/>
              <w:jc w:val="left"/>
            </w:pPr>
            <w:r>
              <w:t xml:space="preserve">QA, label-free</w:t>
            </w:r>
          </w:p>
        </w:tc>
        <w:tc>
          <w:tcPr/>
          <w:p>
            <w:pPr>
              <w:pStyle w:val="Compact"/>
              <w:jc w:val="left"/>
            </w:pPr>
            <w:r>
              <w:t xml:space="preserve">AIME / AMC</w:t>
            </w:r>
            <m:oMath>
              <m:sSup>
                <m:e>
                  <m:r>
                    <m:t>​</m:t>
                  </m:r>
                </m:e>
                <m:sup>
                  <m:r>
                    <m:rPr>
                      <m:sty m:val="p"/>
                    </m:rPr>
                    <m:t>†</m:t>
                  </m:r>
                </m:sup>
              </m:sSup>
            </m:oMath>
          </w:p>
        </w:tc>
        <w:tc>
          <w:tcPr/>
          <w:p>
            <w:pPr>
              <w:pStyle w:val="Compact"/>
              <w:jc w:val="center"/>
            </w:pPr>
            <m:oMath>
              <m:r>
                <m:t>23</m:t>
              </m:r>
              <m:r>
                <m:rPr>
                  <m:sty m:val="p"/>
                </m:rPr>
                <m:t>%</m:t>
              </m:r>
            </m:oMath>
            <w:r>
              <w:t xml:space="preserve"> </w:t>
            </w:r>
            <w:r>
              <w:t xml:space="preserve">decisive,</w:t>
            </w:r>
            <w:r>
              <w:t xml:space="preserve"> </w:t>
            </w:r>
            <m:oMath>
              <m:r>
                <m:t>3</m:t>
              </m:r>
              <m:r>
                <m:rPr>
                  <m:sty m:val="p"/>
                </m:rPr>
                <m:t>%</m:t>
              </m:r>
            </m:oMath>
            <w:r>
              <w:t xml:space="preserve"> </w:t>
            </w:r>
            <w:r>
              <w:t xml:space="preserve">rescuable</w:t>
            </w:r>
          </w:p>
        </w:tc>
      </w:tr>
      <w:tr>
        <w:tc>
          <w:tcPr/>
          <w:p>
            <w:pPr>
              <w:pStyle w:val="Compact"/>
              <w:jc w:val="left"/>
            </w:pPr>
            <w:r>
              <w:t xml:space="preserve">Code, executable</w:t>
            </w:r>
          </w:p>
        </w:tc>
        <w:tc>
          <w:tcPr/>
          <w:p>
            <w:pPr>
              <w:pStyle w:val="Compact"/>
              <w:jc w:val="left"/>
            </w:pPr>
            <w:r>
              <w:t xml:space="preserve">HumanEval+ / MBPP+</w:t>
            </w:r>
          </w:p>
        </w:tc>
        <w:tc>
          <w:tcPr/>
          <w:p>
            <w:pPr>
              <w:pStyle w:val="Compact"/>
              <w:jc w:val="center"/>
            </w:pPr>
            <m:oMath>
              <m:r>
                <m:t>3.56</m:t>
              </m:r>
              <m:r>
                <m:rPr>
                  <m:sty m:val="p"/>
                </m:rPr>
                <m:t>%</m:t>
              </m:r>
            </m:oMath>
          </w:p>
        </w:tc>
      </w:tr>
      <w:tr>
        <w:tc>
          <w:tcPr/>
          <w:p>
            <w:pPr>
              <w:pStyle w:val="Compact"/>
              <w:jc w:val="left"/>
            </w:pPr>
            <w:r>
              <w:t xml:space="preserve">Code, executable</w:t>
            </w:r>
          </w:p>
        </w:tc>
        <w:tc>
          <w:tcPr/>
          <w:p>
            <w:pPr>
              <w:pStyle w:val="Compact"/>
              <w:jc w:val="left"/>
            </w:pPr>
            <w:r>
              <w:t xml:space="preserve">LeetCode Med/Hard</w:t>
            </w:r>
            <m:oMath>
              <m:sSup>
                <m:e>
                  <m:r>
                    <m:t>​</m:t>
                  </m:r>
                </m:e>
                <m:sup>
                  <m:r>
                    <m:rPr>
                      <m:sty m:val="p"/>
                    </m:rPr>
                    <m:t>†</m:t>
                  </m:r>
                </m:sup>
              </m:sSup>
            </m:oMath>
          </w:p>
        </w:tc>
        <w:tc>
          <w:tcPr/>
          <w:p>
            <w:pPr>
              <w:pStyle w:val="Compact"/>
              <w:jc w:val="center"/>
            </w:pPr>
            <m:oMath>
              <m:r>
                <m:t>7.5</m:t>
              </m:r>
              <m:r>
                <m:rPr>
                  <m:sty m:val="p"/>
                </m:rPr>
                <m:t>%</m:t>
              </m:r>
            </m:oMath>
          </w:p>
        </w:tc>
      </w:tr>
    </w:tbl>
    <w:bookmarkEnd w:id="73"/>
    <w:p>
      <w:pPr>
        <w:pStyle w:val="BodyText"/>
      </w:pPr>
      <w:r>
        <w:t xml:space="preserve">One precaution belongs with these numbers, because omitting it would have</w:t>
      </w:r>
      <w:r>
        <w:t xml:space="preserve"> </w:t>
      </w:r>
      <w:r>
        <w:t xml:space="preserve">inverted them. The grading harness was validated against the benchmark’s own</w:t>
      </w:r>
      <w:r>
        <w:t xml:space="preserve"> </w:t>
      </w:r>
      <w:r>
        <w:t xml:space="preserve">reference solutions before any candidate was scored:</w:t>
      </w:r>
      <w:r>
        <w:t xml:space="preserve"> </w:t>
      </w:r>
      <m:oMath>
        <m:r>
          <m:t>178</m:t>
        </m:r>
      </m:oMath>
      <w:r>
        <w:t xml:space="preserve"> </w:t>
      </w:r>
      <w:r>
        <w:t xml:space="preserve">of</w:t>
      </w:r>
      <w:r>
        <w:t xml:space="preserve"> </w:t>
      </w:r>
      <m:oMath>
        <m:r>
          <m:t>180</m:t>
        </m:r>
      </m:oMath>
      <w:r>
        <w:t xml:space="preserve"> </w:t>
      </w:r>
      <w:r>
        <w:t xml:space="preserve">pass</w:t>
      </w:r>
      <w:r>
        <w:t xml:space="preserve"> </w:t>
      </w:r>
      <w:r>
        <w:t xml:space="preserve">under the sandbox’s resource limits. An earlier version of the same harness</w:t>
      </w:r>
      <w:r>
        <w:t xml:space="preserve"> </w:t>
      </w:r>
      <w:r>
        <w:t xml:space="preserve">failed</w:t>
      </w:r>
      <w:r>
        <w:t xml:space="preserve"> </w:t>
      </w:r>
      <m:oMath>
        <m:r>
          <m:t>100</m:t>
        </m:r>
        <m:r>
          <m:rPr>
            <m:sty m:val="p"/>
          </m:rPr>
          <m:t>%</m:t>
        </m:r>
      </m:oMath>
      <w:r>
        <w:t xml:space="preserve"> </w:t>
      </w:r>
      <w:r>
        <w:t xml:space="preserve">of executions because the host rejects one of the requested</w:t>
      </w:r>
      <w:r>
        <w:t xml:space="preserve"> </w:t>
      </w:r>
      <w:r>
        <w:t xml:space="preserve">limits outright, and that condition presents as a candidate failure rather</w:t>
      </w:r>
      <w:r>
        <w:t xml:space="preserve"> </w:t>
      </w:r>
      <w:r>
        <w:t xml:space="preserve">than as an error. Studies that grade by execution should report their</w:t>
      </w:r>
      <w:r>
        <w:t xml:space="preserve"> </w:t>
      </w:r>
      <w:r>
        <w:t xml:space="preserve">reference-solution pass rate for the same reason a calibration curve is</w:t>
      </w:r>
      <w:r>
        <w:t xml:space="preserve"> </w:t>
      </w:r>
      <w:r>
        <w:t xml:space="preserve">reported: without it, a broken harness and a capability wall look identical.</w:t>
      </w:r>
    </w:p>
    <w:bookmarkEnd w:id="74"/>
    <w:bookmarkEnd w:id="75"/>
    <w:bookmarkStart w:id="76"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The</w:t>
      </w:r>
      <w:r>
        <w:t xml:space="preserve"> </w:t>
      </w:r>
      <w:r>
        <w:rPr>
          <w:i/>
          <w:iCs/>
        </w:rPr>
        <w:t xml:space="preserve">accuracy</w:t>
      </w:r>
      <w:r>
        <w:t xml:space="preserve"> </w:t>
      </w:r>
      <w:r>
        <w:t xml:space="preserve">claims are all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The real-trace campaigns of Sections </w:t>
      </w:r>
      <w:hyperlink w:anchor="sec:real">
        <w:r>
          <w:rPr>
            <w:rStyle w:val="Hyperlink"/>
          </w:rPr>
          <w:t xml:space="preserve">8.6</w:t>
        </w:r>
      </w:hyperlink>
      <w:r>
        <w:t xml:space="preserve"> </w:t>
      </w:r>
      <w:r>
        <w:t xml:space="preserve">and </w:t>
      </w:r>
      <w:hyperlink w:anchor="sec:hard">
        <w:r>
          <w:rPr>
            <w:rStyle w:val="Hyperlink"/>
          </w:rPr>
          <w:t xml:space="preserve">8.7</w:t>
        </w:r>
      </w:hyperlink>
      <w:r>
        <w:t xml:space="preserve"> </w:t>
      </w:r>
      <w:r>
        <w:t xml:space="preserve">test the</w:t>
      </w:r>
      <w:r>
        <w:t xml:space="preserve"> </w:t>
      </w:r>
      <w:r>
        <w:rPr>
          <w:i/>
          <w:iCs/>
        </w:rPr>
        <w:t xml:space="preserve">premise</w:t>
      </w:r>
      <w:r>
        <w:t xml:space="preserve"> </w:t>
      </w:r>
      <w:r>
        <w:t xml:space="preserve">and the</w:t>
      </w:r>
      <w:r>
        <w:t xml:space="preserve"> </w:t>
      </w:r>
      <w:r>
        <w:rPr>
          <w:i/>
          <w:iCs/>
        </w:rPr>
        <w:t xml:space="preserve">abstention behaviour</w:t>
      </w:r>
      <w:r>
        <w:t xml:space="preserve">, and both predictions held: the channel is null on saturated benchmarks and positive on competition mathematics, and the dead zone kept the vote bit-identical to</w:t>
      </w:r>
      <w:r>
        <w:t xml:space="preserve"> </w:t>
      </w:r>
      <w:r>
        <w:rPr>
          <w:smallCaps/>
        </w:rPr>
        <w:t xml:space="preserve">sc</w:t>
      </w:r>
      <w:r>
        <w:t xml:space="preserve"> </w:t>
      </w:r>
      <w:r>
        <w:t xml:space="preserve">in each case. They do not test the accuracy claim, because on neither substrate was the addressable stratum large enough for any method to demonstrate a gain (Section </w:t>
      </w:r>
      <w:hyperlink w:anchor="sec:window">
        <w:r>
          <w:rPr>
            <w:rStyle w:val="Hyperlink"/>
          </w:rPr>
          <w:t xml:space="preserve">8.8</w:t>
        </w:r>
      </w:hyperlink>
      <w:r>
        <w:t xml:space="preserv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 (a dominant</w:t>
      </w:r>
      <w:r>
        <w:t xml:space="preserve"> </w:t>
      </w:r>
      <w:r>
        <w:t xml:space="preserve">wrong cluster that is semantically tight but carries no verbatim signature, so</w:t>
      </w:r>
      <w:r>
        <w:t xml:space="preserve"> </w:t>
      </w:r>
      <w:r>
        <w:t xml:space="preserve">deduplication has nothing to collapse) 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Section </w:t>
      </w:r>
      <w:hyperlink w:anchor="sec:window">
        <w:r>
          <w:rPr>
            <w:rStyle w:val="Hyperlink"/>
          </w:rPr>
          <w:t xml:space="preserve">8.8</w:t>
        </w:r>
      </w:hyperlink>
      <w:r>
        <w:t xml:space="preserve"> </w:t>
      </w:r>
      <w:r>
        <w:t xml:space="preserve">measures the stratum this</w:t>
      </w:r>
      <w:r>
        <w:t xml:space="preserve"> </w:t>
      </w:r>
      <w:r>
        <w:t xml:space="preserve">whole family of methods can act on at</w:t>
      </w:r>
      <w:r>
        <w:t xml:space="preserve"> </w:t>
      </w:r>
      <m:oMath>
        <m:r>
          <m:t>3</m:t>
        </m:r>
      </m:oMath>
      <w:r>
        <w:t xml:space="preserve">–</w:t>
      </w:r>
      <m:oMath>
        <m:r>
          <m:t>7.5</m:t>
        </m:r>
        <m:r>
          <m:rPr>
            <m:sty m:val="p"/>
          </m:rPr>
          <m:t>%</m:t>
        </m:r>
      </m:oMath>
      <w:r>
        <w:t xml:space="preserve"> </w:t>
      </w:r>
      <w:r>
        <w:t xml:space="preserve">of items on every substrate</w:t>
      </w:r>
      <w:r>
        <w:t xml:space="preserve"> </w:t>
      </w:r>
      <w:r>
        <w:t xml:space="preserve">tried, in two domains, with no widening as items harden: they pass from</w:t>
      </w:r>
      <w:r>
        <w:t xml:space="preserve"> </w:t>
      </w:r>
      <w:r>
        <w:t xml:space="preserve">saturated straight to capability-limited. Two consequences follow for the</w:t>
      </w:r>
      <w:r>
        <w:t xml:space="preserve"> </w:t>
      </w:r>
      <w:r>
        <w:t xml:space="preserve">method proposed here. First, abstention is not a conservative compromise but</w:t>
      </w:r>
      <w:r>
        <w:t xml:space="preserve"> </w:t>
      </w:r>
      <w:r>
        <w:t xml:space="preserve">the only correct default, and the measured cost of acting anyway was negative</w:t>
      </w:r>
      <w:r>
        <w:t xml:space="preserve"> </w:t>
      </w:r>
      <w:r>
        <w:t xml:space="preserve">on both real substrates (best-single-confidence loses</w:t>
      </w:r>
      <w:r>
        <w:t xml:space="preserve"> </w:t>
      </w:r>
      <m:oMath>
        <m:r>
          <m:t>4.5</m:t>
        </m:r>
      </m:oMath>
      <w:r>
        <w:t xml:space="preserve"> </w:t>
      </w:r>
      <w:r>
        <w:t xml:space="preserve">points in</w:t>
      </w:r>
      <w:r>
        <w:t xml:space="preserve"> </w:t>
      </w:r>
      <w:r>
        <w:t xml:space="preserve">Table </w:t>
      </w:r>
      <w:hyperlink w:anchor="tab:hard">
        <w:r>
          <w:rPr>
            <w:rStyle w:val="Hyperlink"/>
          </w:rPr>
          <w:t xml:space="preserve">5</w:t>
        </w:r>
      </w:hyperlink>
      <w:r>
        <w:t xml:space="preserve"> </w:t>
      </w:r>
      <w:r>
        <w:t xml:space="preserve">where the dead zone holds</w:t>
      </w:r>
      <w:r>
        <w:t xml:space="preserve"> </w:t>
      </w:r>
      <w:r>
        <w:rPr>
          <w:smallCaps/>
        </w:rPr>
        <w:t xml:space="preserve">tact</w:t>
      </w:r>
      <w:r>
        <w:t xml:space="preserve"> </w:t>
      </w:r>
      <w:r>
        <w:t xml:space="preserve">at the</w:t>
      </w:r>
      <w:r>
        <w:t xml:space="preserve"> </w:t>
      </w:r>
      <w:r>
        <w:rPr>
          <w:smallCaps/>
        </w:rPr>
        <w:t xml:space="preserve">sc</w:t>
      </w:r>
      <w:r>
        <w:t xml:space="preserve"> </w:t>
      </w:r>
      <w:r>
        <w:t xml:space="preserve">floor).</w:t>
      </w:r>
      <w:r>
        <w:t xml:space="preserve"> </w:t>
      </w:r>
      <w:r>
        <w:t xml:space="preserve">Second, an aggregation gain of the size reported on the synthetic harness is</w:t>
      </w:r>
      <w:r>
        <w:t xml:space="preserve"> </w:t>
      </w:r>
      <w:r>
        <w:t xml:space="preserve">not measurable on a benchmark of a few hundred items at these window widths,</w:t>
      </w:r>
      <w:r>
        <w:t xml:space="preserve"> </w:t>
      </w:r>
      <w:r>
        <w:t xml:space="preserve">which is why the real-trace claim in this paper is confined to the premise</w:t>
      </w:r>
      <w:r>
        <w:t xml:space="preserve"> </w:t>
      </w:r>
      <w:r>
        <w:t xml:space="preserve">(the channel exists and is signed) and to the abstention behaviour, and does</w:t>
      </w:r>
      <w:r>
        <w:t xml:space="preserve"> </w:t>
      </w:r>
      <w:r>
        <w:t xml:space="preserve">not extend to accuracy. Demonstrating the gain needs a (model, benchmark)</w:t>
      </w:r>
      <w:r>
        <w:t xml:space="preserve"> </w:t>
      </w:r>
      <w:r>
        <w:t xml:space="preserve">pair whose plurality is wrong on</w:t>
      </w:r>
      <w:r>
        <w:t xml:space="preserve"> </w:t>
      </w:r>
      <m:oMath>
        <m:r>
          <m:t>30</m:t>
        </m:r>
      </m:oMath>
      <w:r>
        <w:t xml:space="preserve">–</w:t>
      </w:r>
      <m:oMath>
        <m:r>
          <m:t>60</m:t>
        </m:r>
        <m:r>
          <m:rPr>
            <m:sty m:val="p"/>
          </m:rPr>
          <m:t>%</m:t>
        </m:r>
      </m:oMath>
      <w:r>
        <w:t xml:space="preserve"> </w:t>
      </w:r>
      <w:r>
        <w:t xml:space="preserve">of items with the correct answer</w:t>
      </w:r>
      <w:r>
        <w:t xml:space="preserve"> </w:t>
      </w:r>
      <w:r>
        <w:t xml:space="preserve">still reachable, and no pair tried here satisfies both.</w:t>
      </w:r>
    </w:p>
    <w:bookmarkEnd w:id="76"/>
    <w:bookmarkStart w:id="77"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an exact fallback at one end, plain self-consistency whenever the evidence is absent, and an exact correspondence to CISC-power at the other under the log-value feature map (the shipped default uses van der Waerden scores, so that correspondence is a property of the family, not of the shipped configuration), 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77"/>
    <w:bookmarkStart w:id="128" w:name="references"/>
    <w:p>
      <w:pPr>
        <w:pStyle w:val="Heading1"/>
      </w:pPr>
      <w:r>
        <w:t xml:space="preserve">References</w:t>
      </w:r>
    </w:p>
    <w:p>
      <w:pPr>
        <w:pStyle w:val="FirstParagraph"/>
      </w:pPr>
      <w:r>
        <w:t xml:space="preserve">99</w:t>
      </w:r>
    </w:p>
    <w:p>
      <w:pPr>
        <w:pStyle w:val="BodyText"/>
      </w:pPr>
      <w:bookmarkStart w:id="78" w:name="bib:wang2023selfconsistency"/>
      <w:bookmarkEnd w:id="78"/>
      <w:r>
        <w:t xml:space="preserve"> </w:t>
      </w: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 </w:t>
      </w:r>
      <w:hyperlink r:id="rId79">
        <w:r>
          <w:rPr>
            <w:rStyle w:val="Hyperlink"/>
          </w:rPr>
          <w:t xml:space="preserve">https://arxiv.org/pdf/2203.11171</w:t>
        </w:r>
      </w:hyperlink>
    </w:p>
    <w:p>
      <w:pPr>
        <w:pStyle w:val="BodyText"/>
      </w:pPr>
      <w:bookmarkStart w:id="80" w:name="bib:tian2023just"/>
      <w:bookmarkEnd w:id="80"/>
      <w:r>
        <w:t xml:space="preserve"> </w:t>
      </w: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 </w:t>
      </w:r>
      <w:hyperlink r:id="rId81">
        <w:r>
          <w:rPr>
            <w:rStyle w:val="Hyperlink"/>
          </w:rPr>
          <w:t xml:space="preserve">https://aclanthology.org/2023.emnlp-main.330.pdf</w:t>
        </w:r>
      </w:hyperlink>
    </w:p>
    <w:p>
      <w:pPr>
        <w:pStyle w:val="BodyText"/>
      </w:pPr>
      <w:bookmarkStart w:id="82" w:name="bib:xiong2024can"/>
      <w:bookmarkEnd w:id="82"/>
      <w:r>
        <w:t xml:space="preserve"> </w:t>
      </w: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 </w:t>
      </w:r>
      <w:hyperlink r:id="rId83">
        <w:r>
          <w:rPr>
            <w:rStyle w:val="Hyperlink"/>
          </w:rPr>
          <w:t xml:space="preserve">https://openreview.net/pdf?id=gjeQKFxFpZ</w:t>
        </w:r>
      </w:hyperlink>
    </w:p>
    <w:p>
      <w:pPr>
        <w:pStyle w:val="BodyText"/>
      </w:pPr>
      <w:bookmarkStart w:id="84" w:name="bib:kadavath2022language"/>
      <w:bookmarkEnd w:id="84"/>
      <w:r>
        <w:t xml:space="preserve"> </w:t>
      </w: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 </w:t>
      </w:r>
      <w:hyperlink r:id="rId85">
        <w:r>
          <w:rPr>
            <w:rStyle w:val="Hyperlink"/>
          </w:rPr>
          <w:t xml:space="preserve">https://arxiv.org/pdf/2207.05221</w:t>
        </w:r>
      </w:hyperlink>
    </w:p>
    <w:p>
      <w:pPr>
        <w:pStyle w:val="BodyText"/>
      </w:pPr>
      <w:bookmarkStart w:id="86" w:name="bib:taubenfeld2025cisc"/>
      <w:bookmarkEnd w:id="86"/>
      <w:r>
        <w:t xml:space="preserve"> </w:t>
      </w: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 </w:t>
      </w:r>
      <w:hyperlink r:id="rId87">
        <w:r>
          <w:rPr>
            <w:rStyle w:val="Hyperlink"/>
          </w:rPr>
          <w:t xml:space="preserve">https://aclanthology.org/2025.findings-acl.1030.pdf</w:t>
        </w:r>
      </w:hyperlink>
    </w:p>
    <w:p>
      <w:pPr>
        <w:pStyle w:val="BodyText"/>
      </w:pPr>
      <w:bookmarkStart w:id="88" w:name="bib:reasc2026"/>
      <w:bookmarkEnd w:id="88"/>
      <w:r>
        <w:t xml:space="preserve"> </w:t>
      </w: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 </w:t>
      </w:r>
      <w:hyperlink r:id="rId89">
        <w:r>
          <w:rPr>
            <w:rStyle w:val="Hyperlink"/>
          </w:rPr>
          <w:t xml:space="preserve">https://aclanthology.org/2026.findings-acl.1085.pdf</w:t>
        </w:r>
      </w:hyperlink>
    </w:p>
    <w:p>
      <w:pPr>
        <w:pStyle w:val="BodyText"/>
      </w:pPr>
      <w:bookmarkStart w:id="90" w:name="bib:deepconf2025"/>
      <w:bookmarkEnd w:id="90"/>
      <w:r>
        <w:t xml:space="preserve"> </w:t>
      </w: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 </w:t>
      </w:r>
      <w:hyperlink r:id="rId91">
        <w:r>
          <w:rPr>
            <w:rStyle w:val="Hyperlink"/>
          </w:rPr>
          <w:t xml:space="preserve">https://arxiv.org/pdf/2508.15260</w:t>
        </w:r>
      </w:hyperlink>
    </w:p>
    <w:p>
      <w:pPr>
        <w:pStyle w:val="BodyText"/>
      </w:pPr>
      <w:bookmarkStart w:id="92" w:name="bib:huang2024rankcalibration"/>
      <w:bookmarkEnd w:id="92"/>
      <w:r>
        <w:t xml:space="preserve"> </w:t>
      </w: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 </w:t>
      </w:r>
      <w:hyperlink r:id="rId93">
        <w:r>
          <w:rPr>
            <w:rStyle w:val="Hyperlink"/>
          </w:rPr>
          <w:t xml:space="preserve">https://aclanthology.org/2024.emnlp-main.18.pdf</w:t>
        </w:r>
      </w:hyperlink>
    </w:p>
    <w:p>
      <w:pPr>
        <w:pStyle w:val="BodyText"/>
      </w:pPr>
      <w:bookmarkStart w:id="94" w:name="bib:dawid1979maximum"/>
      <w:bookmarkEnd w:id="94"/>
      <w:r>
        <w:t xml:space="preserve"> </w:t>
      </w: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 </w:t>
      </w:r>
      <w:hyperlink r:id="rId95">
        <w:r>
          <w:rPr>
            <w:rStyle w:val="Hyperlink"/>
          </w:rPr>
          <w:t xml:space="preserve">https://doi.org/10.2307/2346806</w:t>
        </w:r>
      </w:hyperlink>
    </w:p>
    <w:p>
      <w:pPr>
        <w:pStyle w:val="BodyText"/>
      </w:pPr>
      <w:bookmarkStart w:id="96" w:name="bib:parisi2014ranking"/>
      <w:bookmarkEnd w:id="96"/>
      <w:r>
        <w:t xml:space="preserve"> </w:t>
      </w: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 </w:t>
      </w:r>
      <w:hyperlink r:id="rId97">
        <w:r>
          <w:rPr>
            <w:rStyle w:val="Hyperlink"/>
          </w:rPr>
          <w:t xml:space="preserve">https://pmc.ncbi.nlm.nih.gov/articles/PMC3910607/pdf/pnas.201219097.pdf</w:t>
        </w:r>
      </w:hyperlink>
    </w:p>
    <w:p>
      <w:pPr>
        <w:pStyle w:val="BodyText"/>
      </w:pPr>
      <w:bookmarkStart w:id="98" w:name="bib:li2023diverse"/>
      <w:bookmarkEnd w:id="98"/>
      <w:r>
        <w:t xml:space="preserve"> </w:t>
      </w: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 </w:t>
      </w:r>
      <w:hyperlink r:id="rId99">
        <w:r>
          <w:rPr>
            <w:rStyle w:val="Hyperlink"/>
          </w:rPr>
          <w:t xml:space="preserve">https://aclanthology.org/2023.acl-long.291.pdf</w:t>
        </w:r>
      </w:hyperlink>
    </w:p>
    <w:p>
      <w:pPr>
        <w:pStyle w:val="BodyText"/>
      </w:pPr>
      <w:bookmarkStart w:id="100" w:name="bib:borda2025"/>
      <w:bookmarkEnd w:id="100"/>
      <w:r>
        <w:t xml:space="preserve"> </w:t>
      </w: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 </w:t>
      </w:r>
      <w:hyperlink r:id="rId101">
        <w:r>
          <w:rPr>
            <w:rStyle w:val="Hyperlink"/>
          </w:rPr>
          <w:t xml:space="preserve">https://proceedings.neurips.cc/paper_files/paper/2025/file/1c7eff166a8e345f664f0faa8f4e4d2e-Paper-Conference.pdf</w:t>
        </w:r>
      </w:hyperlink>
    </w:p>
    <w:p>
      <w:pPr>
        <w:pStyle w:val="BodyText"/>
      </w:pPr>
      <w:bookmarkStart w:id="102" w:name="bib:aggarwal2023adaptive"/>
      <w:bookmarkEnd w:id="102"/>
      <w:r>
        <w:t xml:space="preserve"> </w:t>
      </w: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 </w:t>
      </w:r>
      <w:hyperlink r:id="rId103">
        <w:r>
          <w:rPr>
            <w:rStyle w:val="Hyperlink"/>
          </w:rPr>
          <w:t xml:space="preserve">https://aclanthology.org/2023.emnlp-main.761.pdf</w:t>
        </w:r>
      </w:hyperlink>
    </w:p>
    <w:p>
      <w:pPr>
        <w:pStyle w:val="BodyText"/>
      </w:pPr>
      <w:bookmarkStart w:id="104" w:name="bib:li2024escape"/>
      <w:bookmarkEnd w:id="104"/>
      <w:r>
        <w:t xml:space="preserve"> </w:t>
      </w: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 </w:t>
      </w:r>
      <w:hyperlink r:id="rId105">
        <w:r>
          <w:rPr>
            <w:rStyle w:val="Hyperlink"/>
          </w:rPr>
          <w:t xml:space="preserve">https://arxiv.org/pdf/2401.10480</w:t>
        </w:r>
      </w:hyperlink>
    </w:p>
    <w:p>
      <w:pPr>
        <w:pStyle w:val="BodyText"/>
      </w:pPr>
      <w:bookmarkStart w:id="106" w:name="bib:whitehill2009whose"/>
      <w:bookmarkEnd w:id="106"/>
      <w:r>
        <w:t xml:space="preserve"> </w:t>
      </w: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 </w:t>
      </w:r>
      <w:hyperlink r:id="rId107">
        <w:r>
          <w:rPr>
            <w:rStyle w:val="Hyperlink"/>
          </w:rPr>
          <w:t xml:space="preserve">https://proceedings.neurips.cc/paper_files/paper/2009/file/f899139df5e1059396431415e770c6dd-Paper.pdf</w:t>
        </w:r>
      </w:hyperlink>
    </w:p>
    <w:p>
      <w:pPr>
        <w:pStyle w:val="BodyText"/>
      </w:pPr>
      <w:bookmarkStart w:id="108" w:name="bib:karger2011iterative"/>
      <w:bookmarkEnd w:id="108"/>
      <w:r>
        <w:t xml:space="preserve"> </w:t>
      </w: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 </w:t>
      </w:r>
      <w:hyperlink r:id="rId109">
        <w:r>
          <w:rPr>
            <w:rStyle w:val="Hyperlink"/>
          </w:rPr>
          <w:t xml:space="preserve">https://proceedings.neurips.cc/paper_files/paper/2011/file/c667d53acd899a97a85de0c201ba99be-Paper.pdf</w:t>
        </w:r>
      </w:hyperlink>
    </w:p>
    <w:p>
      <w:pPr>
        <w:pStyle w:val="BodyText"/>
      </w:pPr>
      <w:bookmarkStart w:id="110" w:name="bib:fuse2026"/>
      <w:bookmarkEnd w:id="110"/>
      <w:r>
        <w:t xml:space="preserve"> </w:t>
      </w:r>
      <w:r>
        <w:t xml:space="preserve">J. Lee, V. Ma, S. Zhao, Y. Nair, A. Spector, R. Cohen, and E. J. Candès,</w:t>
      </w:r>
      <w:r>
        <w:t xml:space="preserve"> </w:t>
      </w:r>
      <w:r>
        <w:t xml:space="preserve">“FUSE: Ensembling verifiers with zero labeled data,”</w:t>
      </w:r>
      <w:r>
        <w:t xml:space="preserve"> </w:t>
      </w:r>
      <w:r>
        <w:t xml:space="preserve">arXiv:2604.18547, 2026. </w:t>
      </w:r>
      <w:hyperlink r:id="rId111">
        <w:r>
          <w:rPr>
            <w:rStyle w:val="Hyperlink"/>
          </w:rPr>
          <w:t xml:space="preserve">https://arxiv.org/pdf/2604.18547</w:t>
        </w:r>
      </w:hyperlink>
    </w:p>
    <w:p>
      <w:pPr>
        <w:pStyle w:val="BodyText"/>
      </w:pPr>
      <w:bookmarkStart w:id="112" w:name="bib:beyondmajority2025"/>
      <w:bookmarkEnd w:id="112"/>
      <w:r>
        <w:t xml:space="preserve"> </w:t>
      </w: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 </w:t>
      </w:r>
      <w:hyperlink r:id="rId113">
        <w:r>
          <w:rPr>
            <w:rStyle w:val="Hyperlink"/>
          </w:rPr>
          <w:t xml:space="preserve">https://arxiv.org/pdf/2510.01499</w:t>
        </w:r>
      </w:hyperlink>
    </w:p>
    <w:p>
      <w:pPr>
        <w:pStyle w:val="BodyText"/>
      </w:pPr>
      <w:bookmarkStart w:id="114" w:name="bib:vanelteren1960"/>
      <w:bookmarkEnd w:id="114"/>
      <w:r>
        <w:t xml:space="preserve"> </w:t>
      </w: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 </w:t>
      </w:r>
      <w:hyperlink r:id="rId115">
        <w:r>
          <w:rPr>
            <w:rStyle w:val="Hyperlink"/>
          </w:rPr>
          <w:t xml:space="preserve">https://catalog.hathitrust.org/Record/008896012</w:t>
        </w:r>
      </w:hyperlink>
    </w:p>
    <w:p>
      <w:pPr>
        <w:pStyle w:val="BodyText"/>
      </w:pPr>
      <w:bookmarkStart w:id="116" w:name="bib:james1961estimation"/>
      <w:bookmarkEnd w:id="116"/>
      <w:r>
        <w:t xml:space="preserve"> </w:t>
      </w: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 </w:t>
      </w:r>
      <w:hyperlink r:id="rId117">
        <w:r>
          <w:rPr>
            <w:rStyle w:val="Hyperlink"/>
          </w:rPr>
          <w:t xml:space="preserve">https://digitalassets.lib.berkeley.edu/math/ucb/text/math_s4_v1_article-19.pdf</w:t>
        </w:r>
      </w:hyperlink>
    </w:p>
    <w:p>
      <w:pPr>
        <w:pStyle w:val="BodyText"/>
      </w:pPr>
      <w:bookmarkStart w:id="118" w:name="bib:kish1965"/>
      <w:bookmarkEnd w:id="118"/>
      <w:r>
        <w:t xml:space="preserve"> </w:t>
      </w:r>
      <w:r>
        <w:t xml:space="preserve">L. Kish,</w:t>
      </w:r>
      <w:r>
        <w:t xml:space="preserve"> </w:t>
      </w:r>
      <w:r>
        <w:rPr>
          <w:i/>
          <w:iCs/>
        </w:rPr>
        <w:t xml:space="preserve">Survey Sampling</w:t>
      </w:r>
      <w:r>
        <w:t xml:space="preserve">. New York, NY, USA: Wiley, 1965. </w:t>
      </w:r>
      <w:hyperlink r:id="rId119">
        <w:r>
          <w:rPr>
            <w:rStyle w:val="Hyperlink"/>
          </w:rPr>
          <w:t xml:space="preserve">https://www.wiley.com/en-us/Survey+Sampling-p-9780471109495</w:t>
        </w:r>
      </w:hyperlink>
    </w:p>
    <w:p>
      <w:pPr>
        <w:pStyle w:val="BodyText"/>
      </w:pPr>
      <w:bookmarkStart w:id="120" w:name="bib:rao1981analysis"/>
      <w:bookmarkEnd w:id="120"/>
      <w:r>
        <w:t xml:space="preserve"> </w:t>
      </w: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 </w:t>
      </w:r>
      <w:hyperlink r:id="rId121">
        <w:r>
          <w:rPr>
            <w:rStyle w:val="Hyperlink"/>
          </w:rPr>
          <w:t xml:space="preserve">https://doi.org/10.1080/01621459.1981.10477633</w:t>
        </w:r>
      </w:hyperlink>
    </w:p>
    <w:p>
      <w:pPr>
        <w:pStyle w:val="BodyText"/>
      </w:pPr>
      <w:bookmarkStart w:id="122" w:name="bib:gsm8k2021"/>
      <w:bookmarkEnd w:id="122"/>
      <w:r>
        <w:t xml:space="preserve"> </w:t>
      </w: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bookmarkStart w:id="123" w:name="bib:math500"/>
      <w:bookmarkEnd w:id="123"/>
      <w:r>
        <w:t xml:space="preserve"> </w:t>
      </w:r>
      <w:r>
        <w:t xml:space="preserve">D. Hendrycks</w:t>
      </w:r>
      <w:r>
        <w:t xml:space="preserve"> </w:t>
      </w:r>
      <w:r>
        <w:rPr>
          <w:i/>
          <w:iCs/>
        </w:rPr>
        <w:t xml:space="preserve">et al.</w:t>
      </w:r>
      <w:r>
        <w:t xml:space="preserve">,</w:t>
      </w:r>
      <w:r>
        <w:t xml:space="preserve"> </w:t>
      </w:r>
      <w:r>
        <w:t xml:space="preserve">“Measuring mathematical problem solving with the MATH dataset,”</w:t>
      </w:r>
      <w:r>
        <w:t xml:space="preserve"> </w:t>
      </w:r>
      <w:r>
        <w:t xml:space="preserve">in</w:t>
      </w:r>
      <w:r>
        <w:t xml:space="preserve"> </w:t>
      </w:r>
      <w:r>
        <w:rPr>
          <w:i/>
          <w:iCs/>
        </w:rPr>
        <w:t xml:space="preserve">Proc. NeurIPS Datasets and Benchmarks</w:t>
      </w:r>
      <w:r>
        <w:t xml:space="preserve">, 2021. </w:t>
      </w:r>
      <w:hyperlink r:id="rId124">
        <w:r>
          <w:rPr>
            <w:rStyle w:val="Hyperlink"/>
          </w:rPr>
          <w:t xml:space="preserve">https://datasets-benchmarks-proceedings.neurips.cc/paper/2021/file/be83ab3ecd0db773eb2dc1b0a17836a1-Paper-round2.pdf</w:t>
        </w:r>
      </w:hyperlink>
    </w:p>
    <w:p>
      <w:pPr>
        <w:pStyle w:val="BodyText"/>
      </w:pPr>
      <w:bookmarkStart w:id="125" w:name="bib:lightman2024verify"/>
      <w:bookmarkEnd w:id="125"/>
      <w:r>
        <w:t xml:space="preserve"> </w:t>
      </w:r>
      <w:r>
        <w:t xml:space="preserve">H. Lightman</w:t>
      </w:r>
      <w:r>
        <w:t xml:space="preserve"> </w:t>
      </w:r>
      <w:r>
        <w:rPr>
          <w:i/>
          <w:iCs/>
        </w:rPr>
        <w:t xml:space="preserve">et al.</w:t>
      </w:r>
      <w:r>
        <w:t xml:space="preserve">,</w:t>
      </w:r>
      <w:r>
        <w:t xml:space="preserve"> </w:t>
      </w:r>
      <w:r>
        <w:t xml:space="preserve">“Let’s verify step by step,”</w:t>
      </w:r>
      <w:r>
        <w:t xml:space="preserve"> </w:t>
      </w:r>
      <w:r>
        <w:t xml:space="preserve">in</w:t>
      </w:r>
      <w:r>
        <w:t xml:space="preserve"> </w:t>
      </w:r>
      <w:r>
        <w:rPr>
          <w:i/>
          <w:iCs/>
        </w:rPr>
        <w:t xml:space="preserve">Proc. ICLR</w:t>
      </w:r>
      <w:r>
        <w:t xml:space="preserve">, 2024. (MATH-500 test subset.)</w:t>
      </w:r>
    </w:p>
    <w:p>
      <w:pPr>
        <w:pStyle w:val="BodyText"/>
      </w:pPr>
      <w:bookmarkStart w:id="126" w:name="bib:leetcodedataset"/>
      <w:bookmarkEnd w:id="126"/>
      <w:r>
        <w:t xml:space="preserve"> </w:t>
      </w:r>
      <w:r>
        <w:t xml:space="preserve">Y. Xia</w:t>
      </w:r>
      <w:r>
        <w:t xml:space="preserve"> </w:t>
      </w:r>
      <w:r>
        <w:rPr>
          <w:i/>
          <w:iCs/>
        </w:rPr>
        <w:t xml:space="preserve">et al.</w:t>
      </w:r>
      <w:r>
        <w:t xml:space="preserve">,</w:t>
      </w:r>
      <w:r>
        <w:t xml:space="preserve"> </w:t>
      </w:r>
      <w:r>
        <w:t xml:space="preserve">“LeetCodeDataset: A temporal dataset for robust evaluation and efficient training of code LLMs,”</w:t>
      </w:r>
      <w:r>
        <w:t xml:space="preserve"> </w:t>
      </w:r>
      <w:r>
        <w:t xml:space="preserve">arXiv:2504.14655, 2025. </w:t>
      </w:r>
      <w:hyperlink r:id="rId127">
        <w:r>
          <w:rPr>
            <w:rStyle w:val="Hyperlink"/>
          </w:rPr>
          <w:t xml:space="preserve">https://arxiv.org/pdf/2504.14655</w:t>
        </w:r>
      </w:hyperlink>
    </w:p>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99" Target="https://aclanthology.org/2023.acl-long.291.pdf" TargetMode="External" /><Relationship Type="http://schemas.openxmlformats.org/officeDocument/2006/relationships/hyperlink" Id="rId81" Target="https://aclanthology.org/2023.emnlp-main.330.pdf" TargetMode="External" /><Relationship Type="http://schemas.openxmlformats.org/officeDocument/2006/relationships/hyperlink" Id="rId103" Target="https://aclanthology.org/2023.emnlp-main.761.pdf" TargetMode="External" /><Relationship Type="http://schemas.openxmlformats.org/officeDocument/2006/relationships/hyperlink" Id="rId93" Target="https://aclanthology.org/2024.emnlp-main.18.pdf" TargetMode="External" /><Relationship Type="http://schemas.openxmlformats.org/officeDocument/2006/relationships/hyperlink" Id="rId87" Target="https://aclanthology.org/2025.findings-acl.1030.pdf" TargetMode="External" /><Relationship Type="http://schemas.openxmlformats.org/officeDocument/2006/relationships/hyperlink" Id="rId89" Target="https://aclanthology.org/2026.findings-acl.1085.pdf" TargetMode="External" /><Relationship Type="http://schemas.openxmlformats.org/officeDocument/2006/relationships/hyperlink" Id="rId79" Target="https://arxiv.org/pdf/2203.11171" TargetMode="External" /><Relationship Type="http://schemas.openxmlformats.org/officeDocument/2006/relationships/hyperlink" Id="rId85" Target="https://arxiv.org/pdf/2207.05221" TargetMode="External" /><Relationship Type="http://schemas.openxmlformats.org/officeDocument/2006/relationships/hyperlink" Id="rId105" Target="https://arxiv.org/pdf/2401.10480" TargetMode="External" /><Relationship Type="http://schemas.openxmlformats.org/officeDocument/2006/relationships/hyperlink" Id="rId127" Target="https://arxiv.org/pdf/2504.14655" TargetMode="External" /><Relationship Type="http://schemas.openxmlformats.org/officeDocument/2006/relationships/hyperlink" Id="rId91" Target="https://arxiv.org/pdf/2508.15260" TargetMode="External" /><Relationship Type="http://schemas.openxmlformats.org/officeDocument/2006/relationships/hyperlink" Id="rId113" Target="https://arxiv.org/pdf/2510.01499" TargetMode="External" /><Relationship Type="http://schemas.openxmlformats.org/officeDocument/2006/relationships/hyperlink" Id="rId111" Target="https://arxiv.org/pdf/2604.18547" TargetMode="External" /><Relationship Type="http://schemas.openxmlformats.org/officeDocument/2006/relationships/hyperlink" Id="rId115" Target="https://catalog.hathitrust.org/Record/008896012" TargetMode="External" /><Relationship Type="http://schemas.openxmlformats.org/officeDocument/2006/relationships/hyperlink" Id="rId124" Target="https://datasets-benchmarks-proceedings.neurips.cc/paper/2021/file/be83ab3ecd0db773eb2dc1b0a17836a1-Paper-round2.pdf" TargetMode="External" /><Relationship Type="http://schemas.openxmlformats.org/officeDocument/2006/relationships/hyperlink" Id="rId117" Target="https://digitalassets.lib.berkeley.edu/math/ucb/text/math_s4_v1_article-19.pdf" TargetMode="External" /><Relationship Type="http://schemas.openxmlformats.org/officeDocument/2006/relationships/hyperlink" Id="rId121" Target="https://doi.org/10.1080/01621459.1981.10477633" TargetMode="External" /><Relationship Type="http://schemas.openxmlformats.org/officeDocument/2006/relationships/hyperlink" Id="rId95" Target="https://doi.org/10.2307/2346806" TargetMode="External" /><Relationship Type="http://schemas.openxmlformats.org/officeDocument/2006/relationships/hyperlink" Id="rId83" Target="https://openreview.net/pdf?id=gjeQKFxFpZ" TargetMode="External" /><Relationship Type="http://schemas.openxmlformats.org/officeDocument/2006/relationships/hyperlink" Id="rId97" Target="https://pmc.ncbi.nlm.nih.gov/articles/PMC3910607/pdf/pnas.201219097.pdf" TargetMode="External" /><Relationship Type="http://schemas.openxmlformats.org/officeDocument/2006/relationships/hyperlink" Id="rId107" Target="https://proceedings.neurips.cc/paper_files/paper/2009/file/f899139df5e1059396431415e770c6dd-Paper.pdf" TargetMode="External" /><Relationship Type="http://schemas.openxmlformats.org/officeDocument/2006/relationships/hyperlink" Id="rId109" Target="https://proceedings.neurips.cc/paper_files/paper/2011/file/c667d53acd899a97a85de0c201ba99be-Paper.pdf" TargetMode="External" /><Relationship Type="http://schemas.openxmlformats.org/officeDocument/2006/relationships/hyperlink" Id="rId101" Target="https://proceedings.neurips.cc/paper_files/paper/2025/file/1c7eff166a8e345f664f0faa8f4e4d2e-Paper-Conference.pdf" TargetMode="External" /><Relationship Type="http://schemas.openxmlformats.org/officeDocument/2006/relationships/hyperlink" Id="rId119" Target="https://www.wiley.com/en-us/Survey+Sampling-p-9780471109495" TargetMode="External" /></Relationships>
</file>

<file path=word/_rels/footnotes.xml.rels><?xml version="1.0" encoding="UTF-8"?><Relationships xmlns="http://schemas.openxmlformats.org/package/2006/relationships"><Relationship Type="http://schemas.openxmlformats.org/officeDocument/2006/relationships/hyperlink" Id="rId99" Target="https://aclanthology.org/2023.acl-long.291.pdf" TargetMode="External" /><Relationship Type="http://schemas.openxmlformats.org/officeDocument/2006/relationships/hyperlink" Id="rId81" Target="https://aclanthology.org/2023.emnlp-main.330.pdf" TargetMode="External" /><Relationship Type="http://schemas.openxmlformats.org/officeDocument/2006/relationships/hyperlink" Id="rId103" Target="https://aclanthology.org/2023.emnlp-main.761.pdf" TargetMode="External" /><Relationship Type="http://schemas.openxmlformats.org/officeDocument/2006/relationships/hyperlink" Id="rId93" Target="https://aclanthology.org/2024.emnlp-main.18.pdf" TargetMode="External" /><Relationship Type="http://schemas.openxmlformats.org/officeDocument/2006/relationships/hyperlink" Id="rId87" Target="https://aclanthology.org/2025.findings-acl.1030.pdf" TargetMode="External" /><Relationship Type="http://schemas.openxmlformats.org/officeDocument/2006/relationships/hyperlink" Id="rId89" Target="https://aclanthology.org/2026.findings-acl.1085.pdf" TargetMode="External" /><Relationship Type="http://schemas.openxmlformats.org/officeDocument/2006/relationships/hyperlink" Id="rId79" Target="https://arxiv.org/pdf/2203.11171" TargetMode="External" /><Relationship Type="http://schemas.openxmlformats.org/officeDocument/2006/relationships/hyperlink" Id="rId85" Target="https://arxiv.org/pdf/2207.05221" TargetMode="External" /><Relationship Type="http://schemas.openxmlformats.org/officeDocument/2006/relationships/hyperlink" Id="rId105" Target="https://arxiv.org/pdf/2401.10480" TargetMode="External" /><Relationship Type="http://schemas.openxmlformats.org/officeDocument/2006/relationships/hyperlink" Id="rId127" Target="https://arxiv.org/pdf/2504.14655" TargetMode="External" /><Relationship Type="http://schemas.openxmlformats.org/officeDocument/2006/relationships/hyperlink" Id="rId91" Target="https://arxiv.org/pdf/2508.15260" TargetMode="External" /><Relationship Type="http://schemas.openxmlformats.org/officeDocument/2006/relationships/hyperlink" Id="rId113" Target="https://arxiv.org/pdf/2510.01499" TargetMode="External" /><Relationship Type="http://schemas.openxmlformats.org/officeDocument/2006/relationships/hyperlink" Id="rId111" Target="https://arxiv.org/pdf/2604.18547" TargetMode="External" /><Relationship Type="http://schemas.openxmlformats.org/officeDocument/2006/relationships/hyperlink" Id="rId115" Target="https://catalog.hathitrust.org/Record/008896012" TargetMode="External" /><Relationship Type="http://schemas.openxmlformats.org/officeDocument/2006/relationships/hyperlink" Id="rId124" Target="https://datasets-benchmarks-proceedings.neurips.cc/paper/2021/file/be83ab3ecd0db773eb2dc1b0a17836a1-Paper-round2.pdf" TargetMode="External" /><Relationship Type="http://schemas.openxmlformats.org/officeDocument/2006/relationships/hyperlink" Id="rId117" Target="https://digitalassets.lib.berkeley.edu/math/ucb/text/math_s4_v1_article-19.pdf" TargetMode="External" /><Relationship Type="http://schemas.openxmlformats.org/officeDocument/2006/relationships/hyperlink" Id="rId121" Target="https://doi.org/10.1080/01621459.1981.10477633" TargetMode="External" /><Relationship Type="http://schemas.openxmlformats.org/officeDocument/2006/relationships/hyperlink" Id="rId95" Target="https://doi.org/10.2307/2346806" TargetMode="External" /><Relationship Type="http://schemas.openxmlformats.org/officeDocument/2006/relationships/hyperlink" Id="rId83" Target="https://openreview.net/pdf?id=gjeQKFxFpZ" TargetMode="External" /><Relationship Type="http://schemas.openxmlformats.org/officeDocument/2006/relationships/hyperlink" Id="rId97" Target="https://pmc.ncbi.nlm.nih.gov/articles/PMC3910607/pdf/pnas.201219097.pdf" TargetMode="External" /><Relationship Type="http://schemas.openxmlformats.org/officeDocument/2006/relationships/hyperlink" Id="rId107" Target="https://proceedings.neurips.cc/paper_files/paper/2009/file/f899139df5e1059396431415e770c6dd-Paper.pdf" TargetMode="External" /><Relationship Type="http://schemas.openxmlformats.org/officeDocument/2006/relationships/hyperlink" Id="rId109" Target="https://proceedings.neurips.cc/paper_files/paper/2011/file/c667d53acd899a97a85de0c201ba99be-Paper.pdf" TargetMode="External" /><Relationship Type="http://schemas.openxmlformats.org/officeDocument/2006/relationships/hyperlink" Id="rId101" Target="https://proceedings.neurips.cc/paper_files/paper/2025/file/1c7eff166a8e345f664f0faa8f4e4d2e-Paper-Conference.pdf" TargetMode="External" /><Relationship Type="http://schemas.openxmlformats.org/officeDocument/2006/relationships/hyperlink" Id="rId119" Target="https://www.wiley.com/en-us/Survey+Sampling-p-97804711094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2026-08-01T16:58:10Z</dcterms:created>
  <dcterms:modified xsi:type="dcterms:W3CDTF">2026-08-01T16:58:10Z</dcterms:modified>
</cp:coreProperties>
</file>

<file path=docProps/custom.xml><?xml version="1.0" encoding="utf-8"?>
<Properties xmlns="http://schemas.openxmlformats.org/officeDocument/2006/custom-properties" xmlns:vt="http://schemas.openxmlformats.org/officeDocument/2006/docPropsVTypes"/>
</file>