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4.png" ContentType="image/png"/>
  <Override PartName="/word/media/rId5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weighted voting,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author’s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where a flip could help,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,</w:t>
      </w:r>
      <w:hyperlink w:anchor="bib:borda2025">
        <w:r>
          <w:rPr>
            <w:rStyle w:val="Hyperlink"/>
          </w:rPr>
          <w:t xml:space="preserve">12</w:t>
        </w:r>
      </w:hyperlink>
      <w:r>
        <w:t xml:space="preserve">] and early-stopping families [</w:t>
      </w:r>
      <w:hyperlink w:anchor="bib:aggarwal2023adaptive">
        <w:r>
          <w:rPr>
            <w:rStyle w:val="Hyperlink"/>
          </w:rPr>
          <w:t xml:space="preserve">13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14</w:t>
        </w:r>
      </w:hyperlink>
      <w:r>
        <w:t xml:space="preserve">] refine the budget;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by the author (RLEV-VoI, redundancy-discounted voting with value-of-information stopping) 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 dominated everywhere by a simple deduplication baseline, and is reported as a negative result. Its post-mortem isolated the confidence dilemma studied 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A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  <m:r>
                    <m:t> </m:t>
                  </m:r>
                  <m:sSub>
                    <m:e>
                      <m:r>
                        <m:t>φ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sub>
                <m:sup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1" w:name="sec:lf"/>
    <w:p>
      <w:pPr>
        <w:pStyle w:val="Heading1"/>
      </w:pPr>
      <w:r>
        <w:t xml:space="preserve">Label-Free Estimation</w:t>
      </w:r>
    </w:p>
    <w:bookmarkStart w:id="37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sign-consistency-and-its-boundary"/>
    <w:p>
      <w:pPr>
        <w:pStyle w:val="Heading2"/>
      </w:pPr>
      <w:r>
        <w:t xml:space="preserve">Sign consistency and its boundary</w:t>
      </w:r>
    </w:p>
    <w:bookmarkStart w:id="38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38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39"/>
    <w:bookmarkStart w:id="40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the author hit, diagnosed, and fixed, and which the released tests pin.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0"/>
    <w:bookmarkEnd w:id="41"/>
    <w:bookmarkStart w:id="47" w:name="sec:hetero"/>
    <w:p>
      <w:pPr>
        <w:pStyle w:val="Heading1"/>
      </w:pPr>
      <w:r>
        <w:t xml:space="preserve">Heterogeneity: Impossibility and Escape</w:t>
      </w:r>
    </w:p>
    <w:bookmarkStart w:id="45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2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 Empirically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End w:id="42"/>
    <w:bookmarkStart w:id="43" w:name="prop:curse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3"/>
    <w:bookmarkStart w:id="44" w:name="prop:twoworld"/>
    <w:p>
      <w:pPr>
        <w:pStyle w:val="BodyText"/>
      </w:pPr>
      <w:r>
        <w:rPr>
          <w:b/>
          <w:bCs/>
        </w:rPr>
        <w:t xml:space="preserve">Proposition 7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4"/>
    <w:p>
      <w:pPr>
        <w:pStyle w:val="BodyText"/>
      </w:pPr>
      <w:r>
        <w:t xml:space="preserve">Consequently the per-item oracle (</w:t>
      </w:r>
      <m:oMath>
        <m:r>
          <m:t>0.983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5"/>
    <w:bookmarkStart w:id="46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show is the only defensible default.</w:t>
      </w:r>
    </w:p>
    <w:bookmarkEnd w:id="46"/>
    <w:bookmarkEnd w:id="47"/>
    <w:bookmarkStart w:id="53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48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48"/>
    <w:bookmarkStart w:id="52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tact_swee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2"/>
    <w:bookmarkEnd w:id="53"/>
    <w:bookmarkStart w:id="77" w:name="sec:results"/>
    <w:p>
      <w:pPr>
        <w:pStyle w:val="Heading1"/>
      </w:pPr>
      <w:r>
        <w:t xml:space="preserve">Results</w:t>
      </w:r>
    </w:p>
    <w:bookmarkStart w:id="55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4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alarm fires and the method refuses to leave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—the conditional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w:r>
              <w:t xml:space="preserve">guarantee of 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working as stated.</w:t>
            </w:r>
          </w:p>
        </w:tc>
      </w:tr>
    </w:tbl>
    <w:bookmarkEnd w:id="54"/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±</m:t>
        </m:r>
        <m:r>
          <m:t>1.06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±</m:t>
        </m:r>
        <m:r>
          <m:t>2.80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0.880</m:t>
        </m:r>
      </m:oMath>
      <w:r>
        <w:t xml:space="preserve"> </w:t>
      </w:r>
      <w:r>
        <w:t xml:space="preserve">vs. </w:t>
      </w:r>
      <m:oMath>
        <m:r>
          <m:t>0.892</m:t>
        </m:r>
      </m:oMath>
      <w:r>
        <w:t xml:space="preserve">;</w:t>
      </w:r>
      <w:r>
        <w:t xml:space="preserve"> </w:t>
      </w:r>
      <m:oMath>
        <m:r>
          <m:t>0.902</m:t>
        </m:r>
      </m:oMath>
      <w:r>
        <w:t xml:space="preserve"> </w:t>
      </w:r>
      <w:r>
        <w:t xml:space="preserve">vs. </w:t>
      </w:r>
      <m:oMath>
        <m:r>
          <m:t>0.917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;</w:t>
      </w:r>
      <w:r>
        <w:t xml:space="preserve"> </w:t>
      </w:r>
      <m:oMath>
        <m:r>
          <m:t>0.988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5"/>
    <w:bookmarkStart w:id="60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59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tact_adversaria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59"/>
    <w:bookmarkEnd w:id="60"/>
    <w:bookmarkStart w:id="66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legitimate method sits at the floor with zero discordant pairs, and the naive self-referential control lands slightly below it—the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. One observation is reported as-is rather than tuned for: the label-free variant outperforms the dev variant in the grouped cell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0.927</m:t>
        </m:r>
      </m:oMath>
      <w:r>
        <w:t xml:space="preserve">) because its lower exponent cap (</w:t>
      </w:r>
      <m:oMath>
        <m:r>
          <m:t>2</m:t>
        </m:r>
      </m:oMath>
      <w:r>
        <w:t xml:space="preserve"> </w:t>
      </w:r>
      <w:r>
        <w:t xml:space="preserve">vs. </w:t>
      </w:r>
      <m:oMath>
        <m:r>
          <m:t>4</m:t>
        </m:r>
      </m:oMath>
      <w:r>
        <w:t xml:space="preserve">) regularizes better when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</m:t>
        </m:r>
      </m:oMath>
      <w:r>
        <w:t xml:space="preserve">; cap robustness is left as an ablation.</w:t>
      </w:r>
    </w:p>
    <w:bookmarkStart w:id="61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.983</w:t>
            </w:r>
          </w:p>
        </w:tc>
      </w:tr>
    </w:tbl>
    <w:bookmarkEnd w:id="61"/>
    <w:bookmarkStart w:id="65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group_ev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legitimate method at the floor; the negative control slightly below it.</w:t>
      </w:r>
    </w:p>
    <w:bookmarkEnd w:id="65"/>
    <w:bookmarkEnd w:id="66"/>
    <w:bookmarkStart w:id="67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0.947</m:t>
        </m:r>
      </m:oMath>
      <w:r>
        <w:t xml:space="preserve"> </w:t>
      </w:r>
      <w:r>
        <w:t xml:space="preserve">vs. </w:t>
      </w:r>
      <m:oMath>
        <m:r>
          <m:t>0.760</m:t>
        </m:r>
      </m:oMath>
      <w:r>
        <w:t xml:space="preserve">), and F4 (both grid baselines trail by</w:t>
      </w:r>
      <w:r>
        <w:t xml:space="preserve"> </w:t>
      </w:r>
      <m:oMath>
        <m:r>
          <m:t>0.032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0.048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0.005</m:t>
        </m:r>
      </m:oMath>
      <w:r>
        <w:t xml:space="preserve">–</w:t>
      </w:r>
      <m:oMath>
        <m:r>
          <m:t>0.015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7"/>
    <w:bookmarkStart w:id="69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work, and runs in 199 seconds.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68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68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69"/>
    <w:bookmarkStart w:id="70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0.768</m:t>
        </m:r>
      </m:oMath>
      <w:r>
        <w:t xml:space="preserve"> </w:t>
      </w:r>
      <w:r>
        <w:t xml:space="preserve">for both: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0"/>
    <w:bookmarkStart w:id="71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1"/>
    <w:bookmarkStart w:id="73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2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2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3"/>
    <w:bookmarkStart w:id="75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4" w:name="tab:window"/>
    <w:p>
      <w:pPr>
        <w:pStyle w:val="TableCaption"/>
      </w:pPr>
      <w:r>
        <w:t xml:space="preserve">The addressable stratum across substrates.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measured here; HumanEval+/MBPP+ is recomputed from published oracle-minus-</w:t>
      </w:r>
      <w:r>
        <w:t xml:space="preserve"> </w:t>
      </w:r>
      <w:r>
        <w:t xml:space="preserve">selector tables. As items harden they pass from saturated to</w:t>
      </w:r>
      <w:r>
        <w:t xml:space="preserve"> </w:t>
      </w:r>
      <w:r>
        <w:t xml:space="preserve">capability-limited without the window widening.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. Rows marked \dagger are measured here; HumanEval+/MBPP+ is recomputed from published oracle-minus- selector tables. As items harden they pass from saturated to capability-limited without the window widen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CommonsenseQA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informative,</w:t>
            </w:r>
            <w: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level-5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decisive,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rescuable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label-free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decisive,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rescuable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Code, executable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Code, executable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budget-constrained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level-5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11.8</m:t>
              </m:r>
              <m:r>
                <m:rPr>
                  <m:sty m:val="p"/>
                </m:rPr>
                <m:t>%</m:t>
              </m:r>
            </m:oMath>
          </w:p>
        </w:tc>
      </w:tr>
    </w:tbl>
    <w:bookmarkEnd w:id="74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An earlier version of the same harness</w:t>
      </w:r>
      <w:r>
        <w:t xml:space="preserve"> </w:t>
      </w:r>
      <w:r>
        <w:t xml:space="preserve">failed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 because the host rejects one of the requested</w:t>
      </w:r>
      <w:r>
        <w:t xml:space="preserve"> </w:t>
      </w:r>
      <w:r>
        <w:t xml:space="preserve">limits outright, and that condition presents as a candidate failure rather</w:t>
      </w:r>
      <w:r>
        <w:t xml:space="preserve"> </w:t>
      </w:r>
      <w:r>
        <w:t xml:space="preserve">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5"/>
    <w:bookmarkStart w:id="76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6"/>
    <w:bookmarkEnd w:id="77"/>
    <w:bookmarkStart w:id="78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circularity: the adversarial regimes (distortions, heterogeneity, echo) lie outside the estimator’s working model;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78"/>
    <w:bookmarkStart w:id="7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79"/>
    <w:bookmarkStart w:id="81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0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1"/>
    <w:bookmarkStart w:id="13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2" w:name="bib:wang2023selfconsistency"/>
      <w:bookmarkEnd w:id="82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3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4" w:name="bib:tian2023just"/>
      <w:bookmarkEnd w:id="84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5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6" w:name="bib:xiong2024can"/>
      <w:bookmarkEnd w:id="86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7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88" w:name="bib:kadavath2022language"/>
      <w:bookmarkEnd w:id="88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89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0" w:name="bib:taubenfeld2025cisc"/>
      <w:bookmarkEnd w:id="90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1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2" w:name="bib:reasc2026"/>
      <w:bookmarkEnd w:id="92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3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4" w:name="bib:deepconf2025"/>
      <w:bookmarkEnd w:id="94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5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6" w:name="bib:huang2024rankcalibration"/>
      <w:bookmarkEnd w:id="96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7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98" w:name="bib:dawid1979maximum"/>
      <w:bookmarkEnd w:id="98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99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0" w:name="bib:parisi2014ranking"/>
      <w:bookmarkEnd w:id="100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1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2" w:name="bib:li2023diverse"/>
      <w:bookmarkEnd w:id="102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3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4" w:name="bib:borda2025"/>
      <w:bookmarkEnd w:id="104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0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whitehill2009whose"/>
      <w:bookmarkEnd w:id="110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1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2" w:name="bib:karger2011iterative"/>
      <w:bookmarkEnd w:id="112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3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4" w:name="bib:fuse2026"/>
      <w:bookmarkEnd w:id="114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5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6" w:name="bib:beyondmajority2025"/>
      <w:bookmarkEnd w:id="116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7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18" w:name="bib:vanelteren1960"/>
      <w:bookmarkEnd w:id="118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19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0" w:name="bib:james1961estimation"/>
      <w:bookmarkEnd w:id="120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1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2" w:name="bib:kish1965"/>
      <w:bookmarkEnd w:id="122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3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4" w:name="bib:rao1981analysis"/>
      <w:bookmarkEnd w:id="124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5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6" w:name="bib:gsm8k2021"/>
      <w:bookmarkEnd w:id="126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7" w:name="bib:math500"/>
      <w:bookmarkEnd w:id="127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28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29" w:name="bib:lightman2024verify"/>
      <w:bookmarkEnd w:id="129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0" w:name="bib:leetcodedataset"/>
      <w:bookmarkEnd w:id="130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1">
        <w:r>
          <w:rPr>
            <w:rStyle w:val="Hyperlink"/>
          </w:rPr>
          <w:t xml:space="preserve">https://arxiv.org/pdf/2504.14655</w:t>
        </w:r>
      </w:hyperlink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5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5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2026-08-01T18:19:25Z</dcterms:created>
  <dcterms:modified xsi:type="dcterms:W3CDTF">2026-08-01T18:19:25Z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