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14.png" ContentType="image/png"/>
  <Override PartName="/word/media/rId60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</w:t>
      </w:r>
      <w:r>
        <w:t xml:space="preserve"> </w:t>
      </w:r>
      <w:r>
        <w:rPr>
          <w:i/>
          <w:iCs/>
        </w:rPr>
        <w:t xml:space="preserve">directionally</w:t>
      </w:r>
      <w:r>
        <w:t xml:space="preserve"> </w:t>
      </w:r>
      <w:r>
        <w:t xml:space="preserve">calibrated.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channel’s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collapsing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Assuming class-conditional noise, a label-free variant preserves the estimate’s sign below a</w:t>
      </w:r>
      <w:r>
        <w:t xml:space="preserve"> </w:t>
      </w:r>
      <w:r>
        <w:t xml:space="preserve">pair-weighted plurality-error rate of one half; beyond it,</w:t>
      </w:r>
      <w:r>
        <w:t xml:space="preserve"> </w:t>
      </w:r>
      <w:r>
        <w:t xml:space="preserve">experiments show sign reversal. On a synthetic oracle it recovers channels pinning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benchmarks,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Unless the pooled evidence clears its pre-specified threshold, the dead zone</w:t>
      </w:r>
      <w:r>
        <w:t xml:space="preserve"> </w:t>
      </w:r>
      <w:r>
        <w:t xml:space="preserve">leaves the vote unchanged.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identify discrimination as the confidence property relevant to voting, independently of calibration.</w:t>
      </w:r>
    </w:p>
    <w:p>
      <w:pPr>
        <w:pStyle w:val="BodyText"/>
      </w:pPr>
      <w:r>
        <w:t xml:space="preserve">The methods surveyed here leave one structural case untreated. Their weighting</w:t>
      </w:r>
      <w:r>
        <w:t xml:space="preserve"> </w:t>
      </w:r>
      <w:r>
        <w:t xml:space="preserve">rules are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</w:t>
      </w:r>
      <w:r>
        <w:t xml:space="preserve"> </w:t>
      </w:r>
      <w:r>
        <w:t xml:space="preserve">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</w:t>
      </w:r>
      <w:r>
        <w:t xml:space="preserve"> </w:t>
      </w:r>
      <w:r>
        <w:t xml:space="preserve">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They tune the magnitude of</w:t>
      </w:r>
      <w:r>
        <w:t xml:space="preserve"> </w:t>
      </w:r>
      <w:r>
        <w:t xml:space="preserve">positive weighting without searching for an anti-correlated channel. Such</w:t>
      </w:r>
      <w:r>
        <w:t xml:space="preserve"> </w:t>
      </w:r>
      <w:r>
        <w:t xml:space="preserve">direction errors can arise when reinforcement fine-tuning distorts verbalized</w:t>
      </w:r>
      <w:r>
        <w:t xml:space="preserve"> </w:t>
      </w:r>
      <w:r>
        <w:t xml:space="preserve">confidence or distribution shift reverses an in-domain signal. In the</w:t>
      </w:r>
      <w:r>
        <w:t xml:space="preserve"> </w:t>
      </w:r>
      <w:r>
        <w:t xml:space="preserve">experiments reported here,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</w:t>
      </w:r>
      <w:r>
        <w:t xml:space="preserve"> </w:t>
      </w:r>
      <w:r>
        <w:t xml:space="preserve">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</w:t>
      </w:r>
      <w:r>
        <w:t xml:space="preserve"> </w:t>
      </w:r>
      <w:r>
        <w:t xml:space="preserve">accuracy to far below the majority-vote floor, while signed weighting recovers</w:t>
      </w:r>
      <w:r>
        <w:t xml:space="preserve"> </w:t>
      </w:r>
      <w:r>
        <w:t xml:space="preserve">the signal. A binary dev-set gate that disables the channel when calibration</w:t>
      </w:r>
      <w:r>
        <w:t xml:space="preserve"> </w:t>
      </w:r>
      <w:r>
        <w:t xml:space="preserve">error is high survives the inversion but discards discriminative information:</w:t>
      </w:r>
      <w:r>
        <w:t xml:space="preserve"> </w:t>
      </w:r>
      <w:r>
        <w:t xml:space="preserve">a systematically under-confident yet perfectly ranked channel fails an ECE</w:t>
      </w:r>
      <w:r>
        <w:t xml:space="preserve"> </w:t>
      </w:r>
      <w:r>
        <w:t xml:space="preserve">gate for reasons unrelated to voting utility</w:t>
      </w:r>
      <w:r>
        <w:t xml:space="preserve"> </w:t>
      </w:r>
      <w:r>
        <w:t xml:space="preserve">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</w:t>
      </w:r>
    </w:p>
    <w:p>
      <w:pPr>
        <w:pStyle w:val="BodyText"/>
      </w:pPr>
      <w:r>
        <w:rPr>
          <w:b/>
          <w:bCs/>
        </w:rPr>
        <w:t xml:space="preserve">Signed confidence tempering.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midrank. The exponent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derived from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). Because that optimum sits at the</w:t>
      </w:r>
      <w:r>
        <w:t xml:space="preserve"> </w:t>
      </w:r>
      <w:r>
        <w:t xml:space="preserve">largest exponent tried, the comparison applies only to the reported grid.</w:t>
      </w:r>
    </w:p>
    <w:p>
      <w:pPr>
        <w:pStyle w:val="BodyText"/>
      </w:pPr>
      <w:r>
        <w:rPr>
          <w:b/>
          <w:bCs/>
        </w:rPr>
        <w:t xml:space="preserve">Label-free estimation and its boundary.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. For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expected estimate preserves the sign and attenuates its</w:t>
      </w:r>
      <w:r>
        <w:t xml:space="preserve"> </w:t>
      </w:r>
      <w:r>
        <w:t xml:space="preserve">magnitude.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the reversal</w:t>
      </w:r>
      <w:r>
        <w:t xml:space="preserve"> </w:t>
      </w:r>
      <w:r>
        <w:t xml:space="preserve">that occurs after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crosses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Identifiability under heterogeneity.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Falsification and measurement on real traces.</w:t>
      </w:r>
      <w:r>
        <w:t xml:space="preserve"> </w:t>
      </w:r>
      <w:r>
        <w:t xml:space="preserve">Four rejection criteria</w:t>
      </w:r>
      <w:r>
        <w:t xml:space="preserve"> </w:t>
      </w:r>
      <w:r>
        <w:t xml:space="preserve">were fixed before implementation. The strongest comparisons were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grid. The signed grid is stronger on the homogeneous sweep: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 it</w:t>
      </w:r>
      <w:r>
        <w:t xml:space="preserve"> </w:t>
      </w:r>
      <w:r>
        <w:t xml:space="preserve">in the mid-range, while its advantages occur under distortion, confident echo,</w:t>
      </w:r>
      <w:r>
        <w:t xml:space="preserve"> </w:t>
      </w:r>
      <w:r>
        <w:t xml:space="preserve">and label-free operation. Two real-trace campaigns and a five-substrate window</w:t>
      </w:r>
      <w:r>
        <w:t xml:space="preserve"> </w:t>
      </w:r>
      <w:r>
        <w:t xml:space="preserve">measurement then bound the scope of label-free aggregation.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remains below the pre-registered</w:t>
      </w:r>
      <w:r>
        <w:t xml:space="preserve"> </w:t>
      </w:r>
      <w:r>
        <w:t xml:space="preserve">endpoint, and the dead zone therefore leaves the observed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decisions intact.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exponent. The</w:t>
      </w:r>
      <w:r>
        <w:t xml:space="preserve"> </w:t>
      </w:r>
      <w:r>
        <w:t xml:space="preserve">weight family can represent negative trust, but the published hyperparameter</w:t>
      </w:r>
      <w:r>
        <w:t xml:space="preserve"> </w:t>
      </w:r>
      <w:r>
        <w:t xml:space="preserve">grids omit its sign. SignGrid-dev demonstrates this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CISC’s tuned temperature already supplies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interpolation.</w:t>
      </w:r>
      <w:r>
        <w:t xml:space="preserve"> </w:t>
      </w:r>
      <w:r>
        <w:rPr>
          <w:smallCaps/>
        </w:rPr>
        <w:t xml:space="preserve">tact</w:t>
      </w:r>
      <w:r>
        <w:t xml:space="preserve">-dev adds signed estimation, rank</w:t>
      </w:r>
      <w:r>
        <w:t xml:space="preserve"> </w:t>
      </w:r>
      <w:r>
        <w:t xml:space="preserve">invariance, and an analytic grid-free map.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has one exchangeable channel from one model and only per-item vote structure. Correlated errors can invalidate agreement proxies in this setting. The proposed estimator therefore combines a quantified attenuation identity with conservative de-attenuation and explicit alarms.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contribution is their combination with exact</w:t>
      </w:r>
      <w:r>
        <w:t xml:space="preserve"> </w:t>
      </w:r>
      <w:r>
        <w:rPr>
          <w:smallCaps/>
        </w:rPr>
        <w:t xml:space="preserve">sc</w:t>
      </w:r>
      <w:r>
        <w:t xml:space="preserve">/CISC anchors and a signed vote exponent.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Every symbol used in the paper is collected in Table </w:t>
      </w:r>
      <w:hyperlink w:anchor="tab:notat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(Appendix </w:t>
      </w:r>
      <w:hyperlink w:anchor="app:notation">
        <w:r>
          <w:rPr>
            <w:rStyle w:val="Hyperlink"/>
          </w:rPr>
          <w:t xml:space="preserve">11</w:t>
        </w:r>
      </w:hyperlink>
      <w:r>
        <w:t xml:space="preserve">), grouped by the section that introduces it.</w:t>
      </w:r>
      <w:r>
        <w:t xml:space="preserve"> </w:t>
      </w: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 xml:space="preserve"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r>
        <w:t xml:space="preserve"> </w:t>
      </w:r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 xml:space="preserve"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 xml:space="preserve"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 xml:space="preserve"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limits prospective gains to monotone confidence distortion, covariate heterogeneity, small dev sets, and label-free operation. The evaluation focuses on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7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r>
        <w:t xml:space="preserve"> </w:t>
      </w:r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 xml:space="preserve"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r>
        <w:t xml:space="preserve"> </w:t>
      </w:r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 xml:space="preserve"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 xml:space="preserve"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 xml:space="preserve"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 xml:space="preserve"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r>
        <w:t xml:space="preserve"> </w:t>
      </w:r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 xml:space="preserve"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 xml:space="preserve"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 xml:space="preserve"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r>
        <w:t xml:space="preserve"> </w:t>
      </w:r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 xml:space="preserve"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 xml:space="preserve"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 xml:space="preserve"> </m:t>
        </m:r>
        <m:r>
          <m:rPr>
            <m:sty m:val="p"/>
          </m:rPr>
          <m:t>|</m:t>
        </m:r>
        <m:r>
          <m:t xml:space="preserve"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 xml:space="preserve"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r>
        <w:t xml:space="preserve"> </w:t>
      </w:r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 xml:space="preserve"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2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 xml:space="preserve"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r>
        <w:t xml:space="preserve"> </w:t>
      </w:r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 xml:space="preserve"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 xml:space="preserve"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 xml:space="preserve"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 xml:space="preserve"> </m:t>
              </m:r>
            </m:e>
          </m:borderBox>
        </m:oMath>
      </m:oMathPara>
    </w:p>
    <w:p>
      <w:pPr>
        <w:pStyle w:val="FirstParagraph"/>
      </w:pPr>
      <w:bookmarkStart w:id="29" w:name="eq:oneline2"/>
      <w:r>
        <w:t xml:space="preserve"> </w:t>
      </w:r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 xml:space="preserve"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 xml:space="preserve"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r>
        <w:t xml:space="preserve"> </w:t>
      </w:r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 xml:space="preserve"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; it is distinct from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The map is not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what reaches the vote is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not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Start w:id="31" w:name="alg:tact"/>
    <w:p>
      <w:pPr>
        <w:pStyle w:val="BodyText"/>
      </w:pPr>
      <w:r>
        <w:t xml:space="preserve"> </w:t>
      </w:r>
    </w:p>
    <w:bookmarkEnd w:id="31"/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 xml:space="preserve"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 xml:space="preserve"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 xml:space="preserve"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 xml:space="preserve"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 xml:space="preserve"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 xml:space="preserve"> </m:t>
        </m:r>
        <m:r>
          <m:t>0.05</m:t>
        </m:r>
        <m:r>
          <m:rPr>
            <m:sty m:val="p"/>
          </m:rPr>
          <m:t>,</m:t>
        </m:r>
        <m:r>
          <m:t xml:space="preserve"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 xml:space="preserve"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 xml:space="preserve"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abstention.</w:t>
      </w:r>
    </w:p>
    <w:bookmarkEnd w:id="32"/>
    <w:bookmarkStart w:id="36" w:name="anchor-properties"/>
    <w:p>
      <w:pPr>
        <w:pStyle w:val="Heading2"/>
      </w:pPr>
      <w:r>
        <w:t xml:space="preserve">Anchor properties</w:t>
      </w:r>
    </w:p>
    <w:bookmarkStart w:id="33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3"/>
    <w:bookmarkStart w:id="34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 xml:space="preserve"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 xml:space="preserve"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4"/>
    <w:bookmarkStart w:id="35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5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6"/>
    <w:bookmarkEnd w:id="37"/>
    <w:bookmarkStart w:id="45" w:name="sec:lf"/>
    <w:p>
      <w:pPr>
        <w:pStyle w:val="Heading1"/>
      </w:pPr>
      <w:r>
        <w:t xml:space="preserve">Label-Free Estimation</w:t>
      </w:r>
    </w:p>
    <w:bookmarkStart w:id="41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Start w:id="38" w:name="alg:tactlf"/>
    <w:p>
      <w:pPr>
        <w:pStyle w:val="BodyText"/>
      </w:pPr>
      <w:r>
        <w:t xml:space="preserve"> </w:t>
      </w:r>
    </w:p>
    <w:bookmarkEnd w:id="38"/>
    <w:bookmarkStart w:id="39" w:name="ln:gate"/>
    <w:p>
      <w:pPr>
        <w:pStyle w:val="BodyText"/>
      </w:pPr>
      <w:r>
        <w:t xml:space="preserve"> </w:t>
      </w:r>
    </w:p>
    <w:bookmarkEnd w:id="39"/>
    <w:bookmarkStart w:id="40" w:name="ln:temper"/>
    <w:p>
      <w:pPr>
        <w:pStyle w:val="BodyText"/>
      </w:pPr>
      <w:r>
        <w:t xml:space="preserve"> </w:t>
      </w:r>
    </w:p>
    <w:bookmarkEnd w:id="40"/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 xml:space="preserve"> </m:t>
        </m:r>
        <m:r>
          <m:rPr>
            <m:sty m:val="p"/>
          </m:rPr>
          <m:t>≥</m:t>
        </m:r>
        <m:r>
          <m:t>2</m:t>
        </m:r>
        <m:r>
          <m:rPr>
            <m:nor/>
          </m:rPr>
          <m:t xml:space="preserve"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 xml:space="preserve"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 xml:space="preserve"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 xml:space="preserve"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 xml:space="preserve"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 xml:space="preserve"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 xml:space="preserve"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 xml:space="preserve"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 xml:space="preserve"> </m:t>
        </m:r>
        <m:r>
          <m:rPr>
            <m:nor/>
          </m:rPr>
          <m:t>discriminant</m:t>
        </m:r>
        <m:r>
          <m:rPr>
            <m:sty m:val="p"/>
          </m:rPr>
          <m:t>&lt;</m:t>
        </m:r>
        <m:r>
          <m:t>0.02</m:t>
        </m:r>
        <m:r>
          <m:t xml:space="preserve"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 xml:space="preserve"> </m:t>
            </m:r>
            <m:r>
              <m:t>0.20</m:t>
            </m:r>
            <m:r>
              <m:rPr>
                <m:sty m:val="p"/>
              </m:rPr>
              <m:t>,</m:t>
            </m:r>
            <m:r>
              <m:t xml:space="preserve"> </m:t>
            </m:r>
            <m:r>
              <m:t>1</m:t>
            </m:r>
          </m:e>
        </m:d>
      </m:oMath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 xml:space="preserve"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 because the required base rate is unavailable without labels;</w:t>
      </w:r>
      <w:r>
        <w:t xml:space="preserve"> </w:t>
      </w:r>
      <w:r>
        <w:t xml:space="preserve">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consequently omitted.</w:t>
      </w:r>
    </w:p>
    <w:bookmarkEnd w:id="41"/>
    <w:bookmarkStart w:id="43" w:name="sign-consistency-and-its-boundary"/>
    <w:p>
      <w:pPr>
        <w:pStyle w:val="Heading2"/>
      </w:pPr>
      <w:r>
        <w:t xml:space="preserve">Sign consistency and its boundary</w:t>
      </w:r>
    </w:p>
    <w:bookmarkStart w:id="42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 xml:space="preserve"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2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conditional, and this paper states the condition.</w:t>
      </w:r>
    </w:p>
    <w:bookmarkEnd w:id="43"/>
    <w:bookmarkStart w:id="44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semantically named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detects duplicate collapse,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checks sign-aware margin decoupling,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marks ambiguity in the split-half quadratic,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marks an insufficient gated set. The margin-decoupling alarm conditions on the estimated trust direction. An earlier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false-alarmed on every benign anti-correlated channel; the released tests cover the corrected implementation.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), whereas tempering uses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the proxy-sign alarm. This removes the two-root ambiguity with a small labeled set.</w:t>
      </w:r>
    </w:p>
    <w:bookmarkEnd w:id="44"/>
    <w:bookmarkEnd w:id="45"/>
    <w:bookmarkStart w:id="51" w:name="sec:hetero"/>
    <w:p>
      <w:pPr>
        <w:pStyle w:val="Heading1"/>
      </w:pPr>
      <w:r>
        <w:t xml:space="preserve">Heterogeneity: Impossibility and Escape</w:t>
      </w:r>
    </w:p>
    <w:bookmarkStart w:id="49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6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6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7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harness, not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7"/>
    <w:bookmarkStart w:id="48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 xml:space="preserve"> </m:t>
        </m:r>
        <m:r>
          <m:rPr>
            <m:nor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 xml:space="preserve"> </m:t>
        </m:r>
        <m:r>
          <m:rPr>
            <m:nor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 xml:space="preserve"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8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9"/>
    <w:bookmarkStart w:id="50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50"/>
    <w:bookmarkEnd w:id="51"/>
    <w:bookmarkStart w:id="56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rejection criteria.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criterion uses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Rejection would occur if</w:t>
      </w:r>
      <w:r>
        <w:t xml:space="preserve"> </w:t>
      </w:r>
      <w:r>
        <w:rPr>
          <w:smallCaps/>
        </w:rPr>
        <w:t xml:space="preserve">tact</w:t>
      </w:r>
      <w:r>
        <w:t xml:space="preserve">-dev fell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below the 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, if either variant</w:t>
      </w:r>
      <w:r>
        <w:t xml:space="preserve"> </w:t>
      </w:r>
      <w:r>
        <w:t xml:space="preserve">fell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anywhere on the sweep, or if</w:t>
      </w:r>
      <w:r>
        <w:t xml:space="preserve"> </w:t>
      </w:r>
      <w:r>
        <w:rPr>
          <w:smallCaps/>
        </w:rPr>
        <w:t xml:space="preserve">tact</w:t>
      </w:r>
      <w:r>
        <w:t xml:space="preserve">-LF failed</w:t>
      </w:r>
      <w:r>
        <w:t xml:space="preserve"> </w:t>
      </w:r>
      <w:r>
        <w:t xml:space="preserve">to beat the ECE gate on sweep average. The strongest criterion asks whether</w:t>
      </w:r>
      <w:r>
        <w:t xml:space="preserve"> </w:t>
      </w:r>
      <w:r>
        <w:t xml:space="preserve">CISC-devT or SignGrid-dev stays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in every distortion,</w:t>
      </w:r>
      <w:r>
        <w:t xml:space="preserve"> </w:t>
      </w:r>
      <w:r>
        <w:t xml:space="preserve">heterogeneity, and small-dev cell. No single-cell comparison with SignGrid-dev</w:t>
      </w:r>
      <w:r>
        <w:t xml:space="preserve"> </w:t>
      </w:r>
      <w:r>
        <w:t xml:space="preserve">rejects equality on the homogeneous sweep (the smallest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). The ten-seed bootstrap nevertheless resolves a systematic</w:t>
      </w:r>
      <w:r>
        <w:t xml:space="preserve"> </w:t>
      </w:r>
      <w:r>
        <w:t xml:space="preserve">mid-range deficit, which a single-seed analysis would have reported as a tie.</w:t>
      </w:r>
    </w:p>
    <w:bookmarkStart w:id="55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tact_sweep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5"/>
    <w:bookmarkEnd w:id="56"/>
    <w:bookmarkStart w:id="81" w:name="sec:results"/>
    <w:p>
      <w:pPr>
        <w:pStyle w:val="Heading1"/>
      </w:pPr>
      <w:r>
        <w:t xml:space="preserve">Results</w:t>
      </w:r>
    </w:p>
    <w:bookmarkStart w:id="57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Start w:id="59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the published protocols remain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because CISC-devT searches</w:t>
      </w:r>
      <w:r>
        <w:t xml:space="preserve"> </w:t>
      </w:r>
      <w:r>
        <w:t xml:space="preserve">only positive exponents and the ECE gate stays closed. Dev ECE ranges from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even though discrimination is perfect at the extremes. The</w:t>
      </w:r>
      <w:r>
        <w:t xml:space="preserve"> </w:t>
      </w:r>
      <w:r>
        <w:t xml:space="preserve">label-free and</w:t>
      </w:r>
      <w:r>
        <w:t xml:space="preserve"> </w:t>
      </w:r>
      <m:oMath>
        <m:r>
          <m:t>200</m:t>
        </m:r>
      </m:oMath>
      <w:r>
        <w:t xml:space="preserve">-label variants are nearly coincident.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, for example, 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reaches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without labels.</w:t>
      </w:r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the dead zone sets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producing the same</w:t>
      </w:r>
      <w:r>
        <w:t xml:space="preserve"> </w:t>
      </w:r>
      <w:r>
        <w:t xml:space="preserve">decisions as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paired item.</w:t>
      </w:r>
    </w:p>
    <w:bookmarkStart w:id="58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8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sees. Performance in those cells depends on recovering the</w:t>
      </w:r>
      <w:r>
        <w:t xml:space="preserve"> </w:t>
      </w:r>
      <w:r>
        <w:t xml:space="preserve">sign.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The large advantage over the published protocols is attributable to signed</w:t>
      </w:r>
      <w:r>
        <w:t xml:space="preserve"> </w:t>
      </w:r>
      <w:r>
        <w:t xml:space="preserve">weighting. On these mid-range cells, the analytic map selects a less effective</w:t>
      </w:r>
      <w:r>
        <w:t xml:space="preserve"> </w:t>
      </w:r>
      <w:r>
        <w:t xml:space="preserve">magnitude than the signed grid. Its</w:t>
      </w:r>
      <w:r>
        <w:t xml:space="preserve"> </w:t>
      </w:r>
      <w:r>
        <w:t xml:space="preserve">advantage over the grid occurs under monotone distortion, confident echo, and</w:t>
      </w:r>
      <w:r>
        <w:t xml:space="preserve"> </w:t>
      </w:r>
      <w:r>
        <w:t xml:space="preserve">label-free operation.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9"/>
    <w:bookmarkStart w:id="64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clustered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was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reached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were unchanged by the distortion and both variants reached</w:t>
      </w:r>
      <w:r>
        <w:t xml:space="preserve"> </w:t>
      </w:r>
      <m:oMath>
        <m:r>
          <m:t>1.000</m:t>
        </m:r>
      </m:oMath>
      <w:r>
        <w:t xml:space="preserve">. Under the confident echo, dev labels showed that high confidence predicted an incorrect trace.</w:t>
      </w:r>
      <w:r>
        <w:t xml:space="preserve"> </w:t>
      </w:r>
      <w:r>
        <w:rPr>
          <w:smallCaps/>
        </w:rPr>
        <w:t xml:space="preserve">tact</w:t>
      </w:r>
      <w:r>
        <w:t xml:space="preserve">-dev responded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t xml:space="preserve">and reached</w:t>
      </w:r>
      <w:r>
        <w:t xml:space="preserve"> </w:t>
      </w:r>
      <m:oMath>
        <m:r>
          <m:t>0.615</m:t>
        </m:r>
      </m:oMath>
      <w:r>
        <w:t xml:space="preserve">, compared with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0.190</m:t>
        </m:r>
      </m:oMath>
      <w:r>
        <w:t xml:space="preserve">. On the label-free path, the duplicate-collapse alarm fired and left the vote at</w:t>
      </w:r>
      <w:r>
        <w:t xml:space="preserve"> </w:t>
      </w:r>
      <w:r>
        <w:rPr>
          <w:smallCaps/>
        </w:rPr>
        <w:t xml:space="preserve">sc</w:t>
      </w:r>
      <w:r>
        <w:t xml:space="preserve">.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explains this result: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items are effectively binary, so their observed pools do not identify the sign.</w:t>
      </w:r>
    </w:p>
    <w:bookmarkStart w:id="63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s/tact_adversarial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3"/>
    <w:bookmarkEnd w:id="64"/>
    <w:bookmarkStart w:id="70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coupling: the dev exponents are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 </w:t>
      </w:r>
      <w:r>
        <w:t xml:space="preserve">and the label-free exponents are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with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inside the dead zone.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and records no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remains at the floor with zero discordant pairs, including the naive self-referential control. That control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in the grouped cell, changing only two items in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despite access to the same covariate used by the per-group estimator. The two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5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5"/>
    <w:bookmarkStart w:id="69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s/group_ev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every method, including the negative control, remains at the floor in the closed i.i.d. cell.</w:t>
      </w:r>
    </w:p>
    <w:bookmarkEnd w:id="69"/>
    <w:bookmarkEnd w:id="70"/>
    <w:bookmarkStart w:id="71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smoothly. The pre-registered rejection criteria remain unmet.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and the best fixed-</w:t>
      </w:r>
      <m:oMath>
        <m:r>
          <m:t>γ</m:t>
        </m:r>
      </m:oMath>
      <w:r>
        <w:t xml:space="preserve"> </w:t>
      </w:r>
      <w:r>
        <w:t xml:space="preserve">CISC both score</w:t>
      </w:r>
      <w:r>
        <w:t xml:space="preserve"> </w:t>
      </w:r>
      <m:oMath>
        <m:r>
          <m:t>1.000</m:t>
        </m:r>
      </m:oMath>
      <w:r>
        <w:t xml:space="preserve">.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bit-identical to</w:t>
      </w:r>
      <w:r>
        <w:t xml:space="preserve"> </w:t>
      </w:r>
      <w:r>
        <w:rPr>
          <w:smallCaps/>
        </w:rPr>
        <w:t xml:space="preserve">sc</w:t>
      </w:r>
      <w:r>
        <w:t xml:space="preserve">, and it stays within the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tolerance everywhere else.</w:t>
      </w:r>
      <w:r>
        <w:t xml:space="preserve"> </w:t>
      </w:r>
      <w:r>
        <w:rPr>
          <w:smallCaps/>
        </w:rPr>
        <w:t xml:space="preserve">tact</w:t>
      </w:r>
      <w:r>
        <w:t xml:space="preserve">-LF has a sweep mean of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0.768</m:t>
        </m:r>
      </m:oMath>
      <w:r>
        <w:t xml:space="preserve"> </w:t>
      </w:r>
      <w:r>
        <w:t xml:space="preserve">for the ECE gate. Both grid baselines trail in the distortion and echo cells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, respectively, and neither operates without labels. On the single seed the paired tests against SignGrid-dev do not reject equality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margin is narrow on the homogeneous sweep.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consistent with the cost of shrinkage. Its net advantages are concentrated in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the grid cannot perform.</w:t>
      </w:r>
    </w:p>
    <w:bookmarkEnd w:id="71"/>
    <w:bookmarkStart w:id="73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The released code gives each mathematical claim in</w:t>
      </w:r>
      <w:r>
        <w:t xml:space="preserve"> </w:t>
      </w:r>
      <w:r>
        <w:t xml:space="preserve">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an executable counterpart; the suite</w:t>
      </w:r>
      <w:r>
        <w:t xml:space="preserve"> </w:t>
      </w:r>
      <w:r>
        <w:t xml:space="preserve">contains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2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 xml:space="preserve"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2"/>
    <w:p>
      <w:pPr>
        <w:pStyle w:val="BodyText"/>
      </w:pPr>
      <w:r>
        <w:t xml:space="preserve">The permutation-invariance test was added after a memoisation key allowed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to 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alternatives: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guarantee. A later change that reinstates either alternative will therefore fail</w:t>
      </w:r>
      <w:r>
        <w:t xml:space="preserve"> </w:t>
      </w:r>
      <w:r>
        <w:t xml:space="preserve">the suite.</w:t>
      </w:r>
    </w:p>
    <w:bookmarkEnd w:id="73"/>
    <w:bookmarkStart w:id="74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violating the registered</w:t>
      </w:r>
      <w:r>
        <w:t xml:space="preserve"> </w:t>
      </w:r>
      <w:r>
        <w:rPr>
          <w:smallCaps/>
        </w:rPr>
        <w:t xml:space="preserve">sc</w:t>
      </w:r>
      <w:r>
        <w:t xml:space="preserve">-safety criterion,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real, not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, where it had</w:t>
      </w:r>
      <w:r>
        <w:t xml:space="preserve"> </w:t>
      </w:r>
      <w:r>
        <w:t xml:space="preserve">been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4"/>
    <w:bookmarkStart w:id="75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The results revealed</w:t>
      </w:r>
      <w:r>
        <w:t xml:space="preserve"> </w:t>
      </w:r>
      <w:r>
        <w:t xml:space="preserve">both a calibration failure and a limitation imposed by the substrate.</w:t>
      </w:r>
    </w:p>
    <w:p>
      <w:pPr>
        <w:pStyle w:val="BodyText"/>
      </w:pPr>
      <w:r>
        <w:rPr>
          <w:i/>
          <w:iCs/>
        </w:rPr>
        <w:t xml:space="preserve">Calibration and discrimination diverge on real data.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The dead zone leaves every decision unchanged.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Saturation limits the usable sample.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The abstention is measurable but fragile in this campaign.</w:t>
      </w:r>
      <w:r>
        <w:t xml:space="preserve"> </w:t>
      </w:r>
      <w:r>
        <w:t xml:space="preserve">A fixed-zero</w:t>
      </w:r>
      <w:r>
        <w:t xml:space="preserve"> </w:t>
      </w:r>
      <w:r>
        <w:t xml:space="preserve">rule reproduces the dead-zone result exactly, so the campaign alone</w:t>
      </w:r>
      <w:r>
        <w:t xml:space="preserve"> </w:t>
      </w:r>
      <w:r>
        <w:t xml:space="preserve">cannot distinguish a working safety mechanism from an absent signal. Replays</w:t>
      </w:r>
      <w:r>
        <w:t xml:space="preserve"> </w:t>
      </w:r>
      <w:r>
        <w:t xml:space="preserve">of the cached pools provide two additional checks. In an item bootstrap, the</w:t>
      </w:r>
      <w:r>
        <w:t xml:space="preserve"> </w:t>
      </w:r>
      <w:r>
        <w:t xml:space="preserve">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resamples. The observed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lies only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, so the abstention is close to the threshold. The</w:t>
      </w:r>
      <w:r>
        <w:t xml:space="preserve"> </w:t>
      </w:r>
      <w:r>
        <w:t xml:space="preserve">label-free significance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resamples, although the</w:t>
      </w:r>
      <w:r>
        <w:t xml:space="preserve"> </w:t>
      </w:r>
      <w:r>
        <w:t xml:space="preserve">planted-sensitivity replay below showed that another structural gate prevents</w:t>
      </w:r>
      <w:r>
        <w:t xml:space="preserve"> </w:t>
      </w:r>
      <w:r>
        <w:t xml:space="preserve">the full method from acting. Permuting confidences within items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This real-substrate null calibration provides direct evidence about</w:t>
      </w:r>
      <w:r>
        <w:t xml:space="preserve"> </w:t>
      </w:r>
      <w:r>
        <w:t xml:space="preserve">the dead zone’s specificity. To measure the cost of the observed decision,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matters. The estimator and oracle nevertheless agree on the sign, so</w:t>
      </w:r>
      <w:r>
        <w:t xml:space="preserve"> </w:t>
      </w:r>
      <w:r>
        <w:t xml:space="preserve">the zero-cost result is limited to what can be measured at this sample size.</w:t>
      </w:r>
      <w:r>
        <w:t xml:space="preserve"> </w:t>
      </w:r>
      <w:r>
        <w:t xml:space="preserve">This result did not establish that abstaining was right.</w:t>
      </w:r>
    </w:p>
    <w:p>
      <w:pPr>
        <w:pStyle w:val="BodyText"/>
      </w:pPr>
      <w:r>
        <w:rPr>
          <w:i/>
          <w:iCs/>
        </w:rPr>
        <w:t xml:space="preserve">A planted channel measures sensitivity.</w:t>
      </w:r>
      <w:r>
        <w:t xml:space="preserve"> </w:t>
      </w:r>
      <w:r>
        <w:t xml:space="preserve">The bootstrap and permutation</w:t>
      </w:r>
      <w:r>
        <w:t xml:space="preserve"> </w:t>
      </w:r>
      <w:r>
        <w:t xml:space="preserve">replays measure stability and specificity. Sensitivity requires a channel of</w:t>
      </w:r>
      <w:r>
        <w:t xml:space="preserve"> </w:t>
      </w:r>
      <w:r>
        <w:t xml:space="preserve">known strength, so one is planted into these same pools. Real answers,</w:t>
      </w:r>
      <w:r>
        <w:t xml:space="preserve"> </w:t>
      </w:r>
      <w:r>
        <w:t xml:space="preserve">difficulty, and duplication are unchanged;</w:t>
      </w:r>
      <w:r>
        <w:t xml:space="preserve"> </w:t>
      </w:r>
      <w:r>
        <w:t xml:space="preserve">only the confidence vector is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Across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cell, the gate’s operating characteristic follows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across the Gaussian and Laplace families. It reaches 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capture. Detection therefore follows the rank</w:t>
      </w:r>
      <w:r>
        <w:t xml:space="preserve"> </w:t>
      </w:r>
      <w:r>
        <w:t xml:space="preserve">functional across this normality violation. The measured channel above,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lies near the half-power point, consistent with the bootstrap</w:t>
      </w:r>
      <w:r>
        <w:t xml:space="preserve"> </w:t>
      </w:r>
      <w:r>
        <w:t xml:space="preserve">result. Whenever the gate opens, its sign is correct in every tested cell.</w:t>
      </w:r>
    </w:p>
    <w:p>
      <w:pPr>
        <w:pStyle w:val="BodyText"/>
      </w:pPr>
      <w:r>
        <w:t xml:space="preserve">The experiment also exposes two scope boundaries.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strength. A pooled</w:t>
      </w:r>
      <w:r>
        <w:t xml:space="preserve"> </w:t>
      </w:r>
      <w:r>
        <w:t xml:space="preserve">pair statistic barely detects information carried by a single rank position 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holds its</w:t>
      </w:r>
      <w:r>
        <w:t xml:space="preserve"> </w:t>
      </w:r>
      <w:r>
        <w:t xml:space="preserve">nominal false-open rate on it. The label-free arm revealed a separate defect: it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every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the real-trace campaign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confirmed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The saturation diagnosis motivates the harder campaign in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.</w:t>
      </w:r>
    </w:p>
    <w:bookmarkEnd w:id="75"/>
    <w:bookmarkStart w:id="77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The saturation diagnosis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and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collected. The registration specified the</w:t>
      </w:r>
      <w:r>
        <w:t xml:space="preserve"> </w:t>
      </w:r>
      <w:r>
        <w:t xml:space="preserve">expected discrimination sign, a paired accuracy endpoint, baseline and safety</w:t>
      </w:r>
      <w:r>
        <w:t xml:space="preserve"> </w:t>
      </w:r>
      <w:r>
        <w:t xml:space="preserve">checks, and substrate diagnostics.</w:t>
      </w:r>
    </w:p>
    <w:p>
      <w:pPr>
        <w:pStyle w:val="BodyText"/>
      </w:pPr>
      <w:r>
        <w:rPr>
          <w:i/>
          <w:iCs/>
        </w:rPr>
        <w:t xml:space="preserve">The confidence channel is detectable.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clears the registered</w:t>
      </w:r>
      <w:r>
        <w:t xml:space="preserve"> </w:t>
      </w:r>
      <m:oMath>
        <m:r>
          <m:t>z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threshold.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t xml:space="preserve">The realized substrate nevertheless 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with 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Even this oracle missed the registered</w:t>
      </w:r>
      <w:r>
        <w:t xml:space="preserve"> </w:t>
      </w:r>
      <w:r>
        <w:t xml:space="preserve">paired-accuracy endpoint, establishing that the realized pool cannot support a</w:t>
      </w:r>
      <w:r>
        <w:t xml:space="preserve"> </w:t>
      </w:r>
      <w:r>
        <w:t xml:space="preserve">detectable aggregation gain at the registered level.</w:t>
      </w:r>
    </w:p>
    <w:p>
      <w:pPr>
        <w:pStyle w:val="BodyText"/>
      </w:pPr>
      <w:r>
        <w:t xml:space="preserve">Both label-free paths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although for different reasons. The fully label-free arm was stopped by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</m:oMath>
      <w:r>
        <w:t xml:space="preserve">: only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items reach the margin gate with a pseudo-label that varies, against a</w:t>
      </w:r>
      <w:r>
        <w:t xml:space="preserve"> </w:t>
      </w:r>
      <w:r>
        <w:t xml:space="preserve">floor of</w:t>
      </w:r>
      <w:r>
        <w:t xml:space="preserve"> </w:t>
      </w:r>
      <m:oMath>
        <m:r>
          <m:t>50</m:t>
        </m:r>
      </m:oMath>
      <w:r>
        <w:t xml:space="preserve">, and relaxing the gate’s quantile all the way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raises</w:t>
      </w:r>
      <w:r>
        <w:t xml:space="preserve"> </w:t>
      </w:r>
      <w:r>
        <w:t xml:space="preserve">that only to</w:t>
      </w:r>
      <w:r>
        <w:t xml:space="preserve"> </w:t>
      </w:r>
      <m:oMath>
        <m:r>
          <m:t>39</m:t>
        </m:r>
      </m:oMath>
      <w:r>
        <w:t xml:space="preserve">, so the arm is untestable here at any channel strength.</w:t>
      </w:r>
      <w:r>
        <w:t xml:space="preserve"> </w:t>
      </w:r>
      <w:r>
        <w:t xml:space="preserve">The semi-label-free arm was stopped by its</w:t>
      </w:r>
      <w:r>
        <w:t xml:space="preserve"> </w:t>
      </w:r>
      <m:oMath>
        <m:r>
          <m:t>30</m:t>
        </m:r>
      </m:oMath>
      <w:r>
        <w:t xml:space="preserve">-item</w:t>
      </w:r>
      <w:r>
        <w:t xml:space="preserve"> </w:t>
      </w:r>
      <w:r>
        <w:t xml:space="preserve">sign set reached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gate, while the evaluation set on</w:t>
      </w:r>
      <w:r>
        <w:t xml:space="preserve"> </w:t>
      </w:r>
      <w:r>
        <w:t xml:space="preserve">the same substrate reached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. This mismatch indicated limited power in</w:t>
      </w:r>
      <w:r>
        <w:t xml:space="preserve"> </w:t>
      </w:r>
      <w:r>
        <w:t xml:space="preserve">the sign set; increasing its size directly addresses the shortfall. Both paths are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, satisfying the registered baseline and</w:t>
      </w:r>
      <w:r>
        <w:t xml:space="preserve"> </w:t>
      </w:r>
      <w:r>
        <w:t xml:space="preserve">safety checks. The cost of acting anyway is</w:t>
      </w:r>
      <w:r>
        <w:t xml:space="preserve"> </w:t>
      </w:r>
      <w:r>
        <w:t xml:space="preserve">visible in the same table: best-single-confidence, which uses the channel on</w:t>
      </w:r>
      <w:r>
        <w:t xml:space="preserve"> </w:t>
      </w:r>
      <w:r>
        <w:t xml:space="preserve">every item,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reports item supply; it carries no estimate of the</w:t>
      </w:r>
      <w:r>
        <w:t xml:space="preserve"> </w:t>
      </w:r>
      <w:r>
        <w:t xml:space="preserve">confidence channel. The planted-sensitivity replay showed two ways it can</w:t>
      </w:r>
      <w:r>
        <w:t xml:space="preserve"> </w:t>
      </w:r>
      <w:r>
        <w:t xml:space="preserve">fire: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floor. The quantile</w:t>
      </w:r>
      <w:r>
        <w:t xml:space="preserve"> </w:t>
      </w:r>
      <w:r>
        <w:t xml:space="preserve">degeneration in saturated pools is the defect; the present MATH result is a</w:t>
      </w:r>
      <w:r>
        <w:t xml:space="preserve"> </w:t>
      </w:r>
      <w:r>
        <w:t xml:space="preserve">genuine supply shortfall.</w:t>
      </w:r>
    </w:p>
    <w:bookmarkStart w:id="76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6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7"/>
    <w:bookmarkStart w:id="79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without comparing them with expected outputs.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showed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8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8"/>
    <w:p>
      <w:pPr>
        <w:pStyle w:val="BodyText"/>
      </w:pPr>
      <w:r>
        <w:t xml:space="preserve">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appeared as a candidate failure.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reported. Without this check, candidate failures cannot be attributed to model</w:t>
      </w:r>
      <w:r>
        <w:t xml:space="preserve"> </w:t>
      </w:r>
      <w:r>
        <w:t xml:space="preserve">capability because the sandbox can produce the same observed outcome.</w:t>
      </w:r>
    </w:p>
    <w:bookmarkEnd w:id="79"/>
    <w:bookmarkStart w:id="80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fired. This is the same item-supply condition,</w:t>
      </w:r>
      <w:r>
        <w:t xml:space="preserve"> </w:t>
      </w:r>
      <w:r>
        <w:t xml:space="preserve">with the quantile cut at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gated set again non-empty. It differs</w:t>
      </w:r>
      <w:r>
        <w:t xml:space="preserve"> </w:t>
      </w:r>
      <w:r>
        <w:t xml:space="preserve">from the degenerate quantile case in the planted-sensitivity replay. That abstention is testable,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reaches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bookmarkEnd w:id="80"/>
    <w:bookmarkEnd w:id="81"/>
    <w:bookmarkStart w:id="82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shows only that the</w:t>
      </w:r>
      <w:r>
        <w:t xml:space="preserve"> </w:t>
      </w:r>
      <w:r>
        <w:t xml:space="preserve">implementation respects an invariance it was built to have;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uses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 to identify the sign; the fully</w:t>
      </w:r>
      <w:r>
        <w:t xml:space="preserve"> </w:t>
      </w:r>
      <w:r>
        <w:t xml:space="preserve">label-free path has no corresponding guard. A second possible remedy is semantic</w:t>
      </w:r>
      <w:r>
        <w:t xml:space="preserve"> </w:t>
      </w:r>
      <w:r>
        <w:t xml:space="preserve">clustering. It is not evaluated here, although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thin-window phenomenon.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At these widths, the real campaigns</w:t>
      </w:r>
      <w:r>
        <w:t xml:space="preserve"> </w:t>
      </w:r>
      <w:r>
        <w:t xml:space="preserve">provide no evidence for changing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decision. Best-single-confidence,</w:t>
      </w:r>
      <w:r>
        <w:t xml:space="preserve"> </w:t>
      </w:r>
      <w:r>
        <w:t xml:space="preserve">which uses the confidence channel on every item,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 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,</w:t>
      </w:r>
      <w:r>
        <w:t xml:space="preserve"> </w:t>
      </w:r>
      <w:r>
        <w:t xml:space="preserve">while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floor. A synthetic gain of the</w:t>
      </w:r>
      <w:r>
        <w:t xml:space="preserve"> </w:t>
      </w:r>
      <w:r>
        <w:t xml:space="preserve">reported size is also not measurable on a benchmark of a few hundred items.</w:t>
      </w:r>
      <w:r>
        <w:t xml:space="preserve"> </w:t>
      </w:r>
      <w:r>
        <w:t xml:space="preserve">The real-trace claim is therefore limited to signed channel measurement and</w:t>
      </w:r>
      <w:r>
        <w:t xml:space="preserve"> </w:t>
      </w:r>
      <w:r>
        <w:t xml:space="preserve">the observed abstention behaviour. Demonstrating an accuracy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widens the window 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, with an oracle able to</w:t>
      </w:r>
      <w:r>
        <w:t xml:space="preserve"> </w:t>
      </w:r>
      <w:r>
        <w:t xml:space="preserve">convert nine items, yet confidence weighting reaches fewer than half of them.</w:t>
      </w:r>
      <w:r>
        <w:t xml:space="preserve"> </w:t>
      </w:r>
      <w:r>
        <w:t xml:space="preserve">Both window width and conversion efficiency constrain the measured gain.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input, not a fixed property</w:t>
      </w:r>
      <w:r>
        <w:t xml:space="preserve"> </w:t>
      </w:r>
      <w:r>
        <w:t xml:space="preserve">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2"/>
    <w:bookmarkStart w:id="8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estimates a signed, uncertainty-aware scalar for confidence-weighted</w:t>
      </w:r>
      <w:r>
        <w:t xml:space="preserve"> </w:t>
      </w:r>
      <w:r>
        <w:t xml:space="preserve">self-consistency and can recover its sign without labels under the stated</w:t>
      </w:r>
      <w:r>
        <w:t xml:space="preserve"> </w:t>
      </w:r>
      <w:r>
        <w:t xml:space="preserve">class-conditional-noise condition. Across five substrates in two domains, only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fall within the stratum where label-free aggregation</w:t>
      </w:r>
      <w:r>
        <w:t xml:space="preserve"> </w:t>
      </w:r>
      <w:r>
        <w:t xml:space="preserve">could change an incorrect plurality to the correct in-pool answer. Neither</w:t>
      </w:r>
      <w:r>
        <w:t xml:space="preserve"> </w:t>
      </w:r>
      <w:r>
        <w:t xml:space="preserve">real-trace campaign provides enough such items for the in-pool oracle to clear</w:t>
      </w:r>
      <w:r>
        <w:t xml:space="preserve"> </w:t>
      </w:r>
      <w:r>
        <w:t xml:space="preserve">the pre-registered accuracy endpoint. In both campaigns, the dead zone sets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reproduces the corresponding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decisions.</w:t>
      </w:r>
    </w:p>
    <w:bookmarkEnd w:id="83"/>
    <w:bookmarkStart w:id="85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4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5f14b20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5"/>
    <w:bookmarkStart w:id="87" w:name="app:notation"/>
    <w:p>
      <w:pPr>
        <w:pStyle w:val="Heading1"/>
      </w:pPr>
      <w:r>
        <w:t xml:space="preserve">Notation</w:t>
      </w:r>
    </w:p>
    <w:bookmarkStart w:id="86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 xml:space="preserve"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 xml:space="preserve"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duplicate-collapse and margin-decoupling alarms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split-root ambiguity and gated-item supply alarms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statistic used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6"/>
    <w:bookmarkEnd w:id="87"/>
    <w:bookmarkStart w:id="14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bookmarkStart w:id="88" w:name="bib:wang2023selfconsistency"/>
    <w:p>
      <w:pPr>
        <w:pStyle w:val="BodyText"/>
      </w:pPr>
      <w:r>
        <w:t xml:space="preserve">[1]</w:t>
      </w:r>
    </w:p>
    <w:bookmarkEnd w:id="88"/>
    <w:p>
      <w:pPr>
        <w:pStyle w:val="BodyText"/>
      </w:pP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9">
        <w:r>
          <w:rPr>
            <w:rStyle w:val="Hyperlink"/>
          </w:rPr>
          <w:t xml:space="preserve">https://arxiv.org/pdf/2203.11171</w:t>
        </w:r>
      </w:hyperlink>
    </w:p>
    <w:bookmarkStart w:id="90" w:name="bib:tian2023just"/>
    <w:p>
      <w:pPr>
        <w:pStyle w:val="BodyText"/>
      </w:pPr>
      <w:r>
        <w:t xml:space="preserve">[2]</w:t>
      </w:r>
    </w:p>
    <w:bookmarkEnd w:id="90"/>
    <w:p>
      <w:pPr>
        <w:pStyle w:val="BodyText"/>
      </w:pP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91">
        <w:r>
          <w:rPr>
            <w:rStyle w:val="Hyperlink"/>
          </w:rPr>
          <w:t xml:space="preserve">https://aclanthology.org/2023.emnlp-main.330.pdf</w:t>
        </w:r>
      </w:hyperlink>
    </w:p>
    <w:bookmarkStart w:id="92" w:name="bib:xiong2024can"/>
    <w:p>
      <w:pPr>
        <w:pStyle w:val="BodyText"/>
      </w:pPr>
      <w:r>
        <w:t xml:space="preserve">[3]</w:t>
      </w:r>
    </w:p>
    <w:bookmarkEnd w:id="92"/>
    <w:p>
      <w:pPr>
        <w:pStyle w:val="BodyText"/>
      </w:pP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3">
        <w:r>
          <w:rPr>
            <w:rStyle w:val="Hyperlink"/>
          </w:rPr>
          <w:t xml:space="preserve">https://openreview.net/pdf?id=gjeQKFxFpZ</w:t>
        </w:r>
      </w:hyperlink>
    </w:p>
    <w:bookmarkStart w:id="94" w:name="bib:kadavath2022language"/>
    <w:p>
      <w:pPr>
        <w:pStyle w:val="BodyText"/>
      </w:pPr>
      <w:r>
        <w:t xml:space="preserve">[4]</w:t>
      </w:r>
    </w:p>
    <w:bookmarkEnd w:id="94"/>
    <w:p>
      <w:pPr>
        <w:pStyle w:val="BodyText"/>
      </w:pP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5">
        <w:r>
          <w:rPr>
            <w:rStyle w:val="Hyperlink"/>
          </w:rPr>
          <w:t xml:space="preserve">https://arxiv.org/pdf/2207.05221</w:t>
        </w:r>
      </w:hyperlink>
    </w:p>
    <w:bookmarkStart w:id="96" w:name="bib:taubenfeld2025cisc"/>
    <w:p>
      <w:pPr>
        <w:pStyle w:val="BodyText"/>
      </w:pPr>
      <w:r>
        <w:t xml:space="preserve">[5]</w:t>
      </w:r>
    </w:p>
    <w:bookmarkEnd w:id="96"/>
    <w:p>
      <w:pPr>
        <w:pStyle w:val="BodyText"/>
      </w:pP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7">
        <w:r>
          <w:rPr>
            <w:rStyle w:val="Hyperlink"/>
          </w:rPr>
          <w:t xml:space="preserve">https://aclanthology.org/2025.findings-acl.1030.pdf</w:t>
        </w:r>
      </w:hyperlink>
    </w:p>
    <w:bookmarkStart w:id="98" w:name="bib:reasc2026"/>
    <w:p>
      <w:pPr>
        <w:pStyle w:val="BodyText"/>
      </w:pPr>
      <w:r>
        <w:t xml:space="preserve">[6]</w:t>
      </w:r>
    </w:p>
    <w:bookmarkEnd w:id="98"/>
    <w:p>
      <w:pPr>
        <w:pStyle w:val="BodyText"/>
      </w:pP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9">
        <w:r>
          <w:rPr>
            <w:rStyle w:val="Hyperlink"/>
          </w:rPr>
          <w:t xml:space="preserve">https://aclanthology.org/2026.findings-acl.1085.pdf</w:t>
        </w:r>
      </w:hyperlink>
    </w:p>
    <w:bookmarkStart w:id="100" w:name="bib:deepconf2025"/>
    <w:p>
      <w:pPr>
        <w:pStyle w:val="BodyText"/>
      </w:pPr>
      <w:r>
        <w:t xml:space="preserve">[7]</w:t>
      </w:r>
    </w:p>
    <w:bookmarkEnd w:id="100"/>
    <w:p>
      <w:pPr>
        <w:pStyle w:val="BodyText"/>
      </w:pP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101">
        <w:r>
          <w:rPr>
            <w:rStyle w:val="Hyperlink"/>
          </w:rPr>
          <w:t xml:space="preserve">https://arxiv.org/pdf/2508.15260</w:t>
        </w:r>
      </w:hyperlink>
    </w:p>
    <w:bookmarkStart w:id="102" w:name="bib:huang2024rankcalibration"/>
    <w:p>
      <w:pPr>
        <w:pStyle w:val="BodyText"/>
      </w:pPr>
      <w:r>
        <w:t xml:space="preserve">[8]</w:t>
      </w:r>
    </w:p>
    <w:bookmarkEnd w:id="102"/>
    <w:p>
      <w:pPr>
        <w:pStyle w:val="BodyText"/>
      </w:pP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3">
        <w:r>
          <w:rPr>
            <w:rStyle w:val="Hyperlink"/>
          </w:rPr>
          <w:t xml:space="preserve">https://aclanthology.org/2024.emnlp-main.18.pdf</w:t>
        </w:r>
      </w:hyperlink>
    </w:p>
    <w:bookmarkStart w:id="104" w:name="bib:dawid1979maximum"/>
    <w:p>
      <w:pPr>
        <w:pStyle w:val="BodyText"/>
      </w:pPr>
      <w:r>
        <w:t xml:space="preserve">[9]</w:t>
      </w:r>
    </w:p>
    <w:bookmarkEnd w:id="104"/>
    <w:p>
      <w:pPr>
        <w:pStyle w:val="BodyText"/>
      </w:pP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5">
        <w:r>
          <w:rPr>
            <w:rStyle w:val="Hyperlink"/>
          </w:rPr>
          <w:t xml:space="preserve">https://doi.org/10.2307/2346806</w:t>
        </w:r>
      </w:hyperlink>
    </w:p>
    <w:bookmarkStart w:id="106" w:name="bib:parisi2014ranking"/>
    <w:p>
      <w:pPr>
        <w:pStyle w:val="BodyText"/>
      </w:pPr>
      <w:r>
        <w:t xml:space="preserve">[10]</w:t>
      </w:r>
    </w:p>
    <w:bookmarkEnd w:id="106"/>
    <w:p>
      <w:pPr>
        <w:pStyle w:val="BodyText"/>
      </w:pP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7">
        <w:r>
          <w:rPr>
            <w:rStyle w:val="Hyperlink"/>
          </w:rPr>
          <w:t xml:space="preserve">https://pmc.ncbi.nlm.nih.gov/articles/PMC3910607/pdf/pnas.201219097.pdf</w:t>
        </w:r>
      </w:hyperlink>
    </w:p>
    <w:bookmarkStart w:id="108" w:name="bib:li2023diverse"/>
    <w:p>
      <w:pPr>
        <w:pStyle w:val="BodyText"/>
      </w:pPr>
      <w:r>
        <w:t xml:space="preserve">[11]</w:t>
      </w:r>
    </w:p>
    <w:bookmarkEnd w:id="108"/>
    <w:p>
      <w:pPr>
        <w:pStyle w:val="BodyText"/>
      </w:pP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9">
        <w:r>
          <w:rPr>
            <w:rStyle w:val="Hyperlink"/>
          </w:rPr>
          <w:t xml:space="preserve">https://aclanthology.org/2023.acl-long.291.pdf</w:t>
        </w:r>
      </w:hyperlink>
    </w:p>
    <w:bookmarkStart w:id="110" w:name="bib:aggarwal2023adaptive"/>
    <w:p>
      <w:pPr>
        <w:pStyle w:val="BodyText"/>
      </w:pPr>
      <w:r>
        <w:t xml:space="preserve">[12]</w:t>
      </w:r>
    </w:p>
    <w:bookmarkEnd w:id="110"/>
    <w:p>
      <w:pPr>
        <w:pStyle w:val="BodyText"/>
      </w:pP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11">
        <w:r>
          <w:rPr>
            <w:rStyle w:val="Hyperlink"/>
          </w:rPr>
          <w:t xml:space="preserve">https://aclanthology.org/2023.emnlp-main.761.pdf</w:t>
        </w:r>
      </w:hyperlink>
    </w:p>
    <w:bookmarkStart w:id="112" w:name="bib:li2024escape"/>
    <w:p>
      <w:pPr>
        <w:pStyle w:val="BodyText"/>
      </w:pPr>
      <w:r>
        <w:t xml:space="preserve">[13]</w:t>
      </w:r>
    </w:p>
    <w:bookmarkEnd w:id="112"/>
    <w:p>
      <w:pPr>
        <w:pStyle w:val="BodyText"/>
      </w:pP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3">
        <w:r>
          <w:rPr>
            <w:rStyle w:val="Hyperlink"/>
          </w:rPr>
          <w:t xml:space="preserve">https://arxiv.org/pdf/2401.10480</w:t>
        </w:r>
      </w:hyperlink>
    </w:p>
    <w:bookmarkStart w:id="114" w:name="bib:borda2025"/>
    <w:p>
      <w:pPr>
        <w:pStyle w:val="BodyText"/>
      </w:pPr>
      <w:r>
        <w:t xml:space="preserve">[14]</w:t>
      </w:r>
    </w:p>
    <w:bookmarkEnd w:id="114"/>
    <w:p>
      <w:pPr>
        <w:pStyle w:val="BodyText"/>
      </w:pP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5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bookmarkStart w:id="116" w:name="bib:whitehill2009whose"/>
    <w:p>
      <w:pPr>
        <w:pStyle w:val="BodyText"/>
      </w:pPr>
      <w:r>
        <w:t xml:space="preserve">[15]</w:t>
      </w:r>
    </w:p>
    <w:bookmarkEnd w:id="116"/>
    <w:p>
      <w:pPr>
        <w:pStyle w:val="BodyText"/>
      </w:pP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7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bookmarkStart w:id="118" w:name="bib:karger2011iterative"/>
    <w:p>
      <w:pPr>
        <w:pStyle w:val="BodyText"/>
      </w:pPr>
      <w:r>
        <w:t xml:space="preserve">[16]</w:t>
      </w:r>
    </w:p>
    <w:bookmarkEnd w:id="118"/>
    <w:p>
      <w:pPr>
        <w:pStyle w:val="BodyText"/>
      </w:pP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9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bookmarkStart w:id="120" w:name="bib:fuse2026"/>
    <w:p>
      <w:pPr>
        <w:pStyle w:val="BodyText"/>
      </w:pPr>
      <w:r>
        <w:t xml:space="preserve">[17]</w:t>
      </w:r>
    </w:p>
    <w:bookmarkEnd w:id="120"/>
    <w:p>
      <w:pPr>
        <w:pStyle w:val="BodyText"/>
      </w:pP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21">
        <w:r>
          <w:rPr>
            <w:rStyle w:val="Hyperlink"/>
          </w:rPr>
          <w:t xml:space="preserve">https://arxiv.org/pdf/2604.18547</w:t>
        </w:r>
      </w:hyperlink>
    </w:p>
    <w:bookmarkStart w:id="122" w:name="bib:beyondmajority2025"/>
    <w:p>
      <w:pPr>
        <w:pStyle w:val="BodyText"/>
      </w:pPr>
      <w:r>
        <w:t xml:space="preserve">[18]</w:t>
      </w:r>
    </w:p>
    <w:bookmarkEnd w:id="122"/>
    <w:p>
      <w:pPr>
        <w:pStyle w:val="BodyText"/>
      </w:pP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3">
        <w:r>
          <w:rPr>
            <w:rStyle w:val="Hyperlink"/>
          </w:rPr>
          <w:t xml:space="preserve">https://arxiv.org/pdf/2510.01499</w:t>
        </w:r>
      </w:hyperlink>
    </w:p>
    <w:bookmarkStart w:id="124" w:name="bib:vanelteren1960"/>
    <w:p>
      <w:pPr>
        <w:pStyle w:val="BodyText"/>
      </w:pPr>
      <w:r>
        <w:t xml:space="preserve">[19]</w:t>
      </w:r>
    </w:p>
    <w:bookmarkEnd w:id="124"/>
    <w:p>
      <w:pPr>
        <w:pStyle w:val="BodyText"/>
      </w:pP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5">
        <w:r>
          <w:rPr>
            <w:rStyle w:val="Hyperlink"/>
          </w:rPr>
          <w:t xml:space="preserve">https://catalog.hathitrust.org/Record/008896012</w:t>
        </w:r>
      </w:hyperlink>
    </w:p>
    <w:bookmarkStart w:id="126" w:name="bib:james1961estimation"/>
    <w:p>
      <w:pPr>
        <w:pStyle w:val="BodyText"/>
      </w:pPr>
      <w:r>
        <w:t xml:space="preserve">[20]</w:t>
      </w:r>
    </w:p>
    <w:bookmarkEnd w:id="126"/>
    <w:p>
      <w:pPr>
        <w:pStyle w:val="BodyText"/>
      </w:pP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7">
        <w:r>
          <w:rPr>
            <w:rStyle w:val="Hyperlink"/>
          </w:rPr>
          <w:t xml:space="preserve">https://digitalassets.lib.berkeley.edu/math/ucb/text/math_s4_v1_article-19.pdf</w:t>
        </w:r>
      </w:hyperlink>
    </w:p>
    <w:bookmarkStart w:id="128" w:name="bib:kish1965"/>
    <w:p>
      <w:pPr>
        <w:pStyle w:val="BodyText"/>
      </w:pPr>
      <w:r>
        <w:t xml:space="preserve">[21]</w:t>
      </w:r>
    </w:p>
    <w:bookmarkEnd w:id="128"/>
    <w:p>
      <w:pPr>
        <w:pStyle w:val="BodyText"/>
      </w:pP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9">
        <w:r>
          <w:rPr>
            <w:rStyle w:val="Hyperlink"/>
          </w:rPr>
          <w:t xml:space="preserve">https://www.wiley.com/en-us/Survey+Sampling-p-9780471109495</w:t>
        </w:r>
      </w:hyperlink>
    </w:p>
    <w:bookmarkStart w:id="130" w:name="bib:rao1981analysis"/>
    <w:p>
      <w:pPr>
        <w:pStyle w:val="BodyText"/>
      </w:pPr>
      <w:r>
        <w:t xml:space="preserve">[22]</w:t>
      </w:r>
    </w:p>
    <w:bookmarkEnd w:id="130"/>
    <w:p>
      <w:pPr>
        <w:pStyle w:val="BodyText"/>
      </w:pP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31">
        <w:r>
          <w:rPr>
            <w:rStyle w:val="Hyperlink"/>
          </w:rPr>
          <w:t xml:space="preserve">https://doi.org/10.1080/01621459.1981.10477633</w:t>
        </w:r>
      </w:hyperlink>
    </w:p>
    <w:bookmarkStart w:id="132" w:name="bib:gsm8k2021"/>
    <w:p>
      <w:pPr>
        <w:pStyle w:val="BodyText"/>
      </w:pPr>
      <w:r>
        <w:t xml:space="preserve">[23]</w:t>
      </w:r>
    </w:p>
    <w:bookmarkEnd w:id="132"/>
    <w:p>
      <w:pPr>
        <w:pStyle w:val="BodyText"/>
      </w:pP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bookmarkStart w:id="133" w:name="bib:math500"/>
    <w:p>
      <w:pPr>
        <w:pStyle w:val="BodyText"/>
      </w:pPr>
      <w:r>
        <w:t xml:space="preserve">[24]</w:t>
      </w:r>
    </w:p>
    <w:bookmarkEnd w:id="133"/>
    <w:p>
      <w:pPr>
        <w:pStyle w:val="BodyText"/>
      </w:pP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4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bookmarkStart w:id="135" w:name="bib:lightman2024verify"/>
    <w:p>
      <w:pPr>
        <w:pStyle w:val="BodyText"/>
      </w:pPr>
      <w:r>
        <w:t xml:space="preserve">[25]</w:t>
      </w:r>
    </w:p>
    <w:bookmarkEnd w:id="135"/>
    <w:p>
      <w:pPr>
        <w:pStyle w:val="BodyText"/>
      </w:pP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bookmarkStart w:id="136" w:name="bib:leetcodedataset"/>
    <w:p>
      <w:pPr>
        <w:pStyle w:val="BodyText"/>
      </w:pPr>
      <w:r>
        <w:t xml:space="preserve">[26]</w:t>
      </w:r>
    </w:p>
    <w:bookmarkEnd w:id="136"/>
    <w:p>
      <w:pPr>
        <w:pStyle w:val="BodyText"/>
      </w:pP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7">
        <w:r>
          <w:rPr>
            <w:rStyle w:val="Hyperlink"/>
          </w:rPr>
          <w:t xml:space="preserve">https://arxiv.org/pdf/2504.14655</w:t>
        </w:r>
      </w:hyperlink>
    </w:p>
    <w:bookmarkStart w:id="138" w:name="bib:kuhn2023semantic"/>
    <w:p>
      <w:pPr>
        <w:pStyle w:val="BodyText"/>
      </w:pPr>
      <w:r>
        <w:t xml:space="preserve">[27]</w:t>
      </w:r>
    </w:p>
    <w:bookmarkEnd w:id="138"/>
    <w:p>
      <w:pPr>
        <w:pStyle w:val="BodyText"/>
      </w:pP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9">
        <w:r>
          <w:rPr>
            <w:rStyle w:val="Hyperlink"/>
          </w:rPr>
          <w:t xml:space="preserve">https://arxiv.org/pdf/2302.09664</w:t>
        </w:r>
      </w:hyperlink>
    </w:p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14" Target="media/rId14.png" /><Relationship Type="http://schemas.openxmlformats.org/officeDocument/2006/relationships/image" Id="rId60" Target="media/rId60.png" /><Relationship Type="http://schemas.openxmlformats.org/officeDocument/2006/relationships/image" Id="rId52" Target="media/rId52.png" /><Relationship Type="http://schemas.openxmlformats.org/officeDocument/2006/relationships/hyperlink" Id="rId109" Target="https://aclanthology.org/2023.acl-long.291.pdf" TargetMode="External" /><Relationship Type="http://schemas.openxmlformats.org/officeDocument/2006/relationships/hyperlink" Id="rId91" Target="https://aclanthology.org/2023.emnlp-main.330.pdf" TargetMode="External" /><Relationship Type="http://schemas.openxmlformats.org/officeDocument/2006/relationships/hyperlink" Id="rId111" Target="https://aclanthology.org/2023.emnlp-main.761.pdf" TargetMode="External" /><Relationship Type="http://schemas.openxmlformats.org/officeDocument/2006/relationships/hyperlink" Id="rId103" Target="https://aclanthology.org/2024.emnlp-main.18.pdf" TargetMode="External" /><Relationship Type="http://schemas.openxmlformats.org/officeDocument/2006/relationships/hyperlink" Id="rId97" Target="https://aclanthology.org/2025.findings-acl.1030.pdf" TargetMode="External" /><Relationship Type="http://schemas.openxmlformats.org/officeDocument/2006/relationships/hyperlink" Id="rId99" Target="https://aclanthology.org/2026.findings-acl.1085.pdf" TargetMode="External" /><Relationship Type="http://schemas.openxmlformats.org/officeDocument/2006/relationships/hyperlink" Id="rId89" Target="https://arxiv.org/pdf/2203.11171" TargetMode="External" /><Relationship Type="http://schemas.openxmlformats.org/officeDocument/2006/relationships/hyperlink" Id="rId95" Target="https://arxiv.org/pdf/2207.05221" TargetMode="External" /><Relationship Type="http://schemas.openxmlformats.org/officeDocument/2006/relationships/hyperlink" Id="rId139" Target="https://arxiv.org/pdf/2302.09664" TargetMode="External" /><Relationship Type="http://schemas.openxmlformats.org/officeDocument/2006/relationships/hyperlink" Id="rId113" Target="https://arxiv.org/pdf/2401.10480" TargetMode="External" /><Relationship Type="http://schemas.openxmlformats.org/officeDocument/2006/relationships/hyperlink" Id="rId137" Target="https://arxiv.org/pdf/2504.14655" TargetMode="External" /><Relationship Type="http://schemas.openxmlformats.org/officeDocument/2006/relationships/hyperlink" Id="rId101" Target="https://arxiv.org/pdf/2508.15260" TargetMode="External" /><Relationship Type="http://schemas.openxmlformats.org/officeDocument/2006/relationships/hyperlink" Id="rId123" Target="https://arxiv.org/pdf/2510.01499" TargetMode="External" /><Relationship Type="http://schemas.openxmlformats.org/officeDocument/2006/relationships/hyperlink" Id="rId121" Target="https://arxiv.org/pdf/2604.18547" TargetMode="External" /><Relationship Type="http://schemas.openxmlformats.org/officeDocument/2006/relationships/hyperlink" Id="rId125" Target="https://catalog.hathitrust.org/Record/008896012" TargetMode="External" /><Relationship Type="http://schemas.openxmlformats.org/officeDocument/2006/relationships/hyperlink" Id="rId134" Target="https://datasets-benchmarks-proceedings.neurips.cc/paper/2021/file/be83ab3ecd0db773eb2dc1b0a17836a1-Paper-round2.pdf" TargetMode="External" /><Relationship Type="http://schemas.openxmlformats.org/officeDocument/2006/relationships/hyperlink" Id="rId127" Target="https://digitalassets.lib.berkeley.edu/math/ucb/text/math_s4_v1_article-19.pdf" TargetMode="External" /><Relationship Type="http://schemas.openxmlformats.org/officeDocument/2006/relationships/hyperlink" Id="rId131" Target="https://doi.org/10.1080/01621459.1981.10477633" TargetMode="External" /><Relationship Type="http://schemas.openxmlformats.org/officeDocument/2006/relationships/hyperlink" Id="rId105" Target="https://doi.org/10.2307/2346806" TargetMode="External" /><Relationship Type="http://schemas.openxmlformats.org/officeDocument/2006/relationships/hyperlink" Id="rId84" Target="https://github.com/vito1317/adaptive-reasoning-consensus" TargetMode="External" /><Relationship Type="http://schemas.openxmlformats.org/officeDocument/2006/relationships/hyperlink" Id="rId93" Target="https://openreview.net/pdf?id=gjeQKFxFpZ" TargetMode="External" /><Relationship Type="http://schemas.openxmlformats.org/officeDocument/2006/relationships/hyperlink" Id="rId107" Target="https://pmc.ncbi.nlm.nih.gov/articles/PMC3910607/pdf/pnas.201219097.pdf" TargetMode="External" /><Relationship Type="http://schemas.openxmlformats.org/officeDocument/2006/relationships/hyperlink" Id="rId117" Target="https://proceedings.neurips.cc/paper_files/paper/2009/file/f899139df5e1059396431415e770c6dd-Paper.pdf" TargetMode="External" /><Relationship Type="http://schemas.openxmlformats.org/officeDocument/2006/relationships/hyperlink" Id="rId119" Target="https://proceedings.neurips.cc/paper_files/paper/2011/file/c667d53acd899a97a85de0c201ba99be-Paper.pdf" TargetMode="External" /><Relationship Type="http://schemas.openxmlformats.org/officeDocument/2006/relationships/hyperlink" Id="rId115" Target="https://proceedings.neurips.cc/paper_files/paper/2025/file/1c7eff166a8e345f664f0faa8f4e4d2e-Paper-Conference.pdf" TargetMode="External" /><Relationship Type="http://schemas.openxmlformats.org/officeDocument/2006/relationships/hyperlink" Id="rId129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aclanthology.org/2023.acl-long.291.pdf" TargetMode="External" /><Relationship Type="http://schemas.openxmlformats.org/officeDocument/2006/relationships/hyperlink" Id="rId91" Target="https://aclanthology.org/2023.emnlp-main.330.pdf" TargetMode="External" /><Relationship Type="http://schemas.openxmlformats.org/officeDocument/2006/relationships/hyperlink" Id="rId111" Target="https://aclanthology.org/2023.emnlp-main.761.pdf" TargetMode="External" /><Relationship Type="http://schemas.openxmlformats.org/officeDocument/2006/relationships/hyperlink" Id="rId103" Target="https://aclanthology.org/2024.emnlp-main.18.pdf" TargetMode="External" /><Relationship Type="http://schemas.openxmlformats.org/officeDocument/2006/relationships/hyperlink" Id="rId97" Target="https://aclanthology.org/2025.findings-acl.1030.pdf" TargetMode="External" /><Relationship Type="http://schemas.openxmlformats.org/officeDocument/2006/relationships/hyperlink" Id="rId99" Target="https://aclanthology.org/2026.findings-acl.1085.pdf" TargetMode="External" /><Relationship Type="http://schemas.openxmlformats.org/officeDocument/2006/relationships/hyperlink" Id="rId89" Target="https://arxiv.org/pdf/2203.11171" TargetMode="External" /><Relationship Type="http://schemas.openxmlformats.org/officeDocument/2006/relationships/hyperlink" Id="rId95" Target="https://arxiv.org/pdf/2207.05221" TargetMode="External" /><Relationship Type="http://schemas.openxmlformats.org/officeDocument/2006/relationships/hyperlink" Id="rId139" Target="https://arxiv.org/pdf/2302.09664" TargetMode="External" /><Relationship Type="http://schemas.openxmlformats.org/officeDocument/2006/relationships/hyperlink" Id="rId113" Target="https://arxiv.org/pdf/2401.10480" TargetMode="External" /><Relationship Type="http://schemas.openxmlformats.org/officeDocument/2006/relationships/hyperlink" Id="rId137" Target="https://arxiv.org/pdf/2504.14655" TargetMode="External" /><Relationship Type="http://schemas.openxmlformats.org/officeDocument/2006/relationships/hyperlink" Id="rId101" Target="https://arxiv.org/pdf/2508.15260" TargetMode="External" /><Relationship Type="http://schemas.openxmlformats.org/officeDocument/2006/relationships/hyperlink" Id="rId123" Target="https://arxiv.org/pdf/2510.01499" TargetMode="External" /><Relationship Type="http://schemas.openxmlformats.org/officeDocument/2006/relationships/hyperlink" Id="rId121" Target="https://arxiv.org/pdf/2604.18547" TargetMode="External" /><Relationship Type="http://schemas.openxmlformats.org/officeDocument/2006/relationships/hyperlink" Id="rId125" Target="https://catalog.hathitrust.org/Record/008896012" TargetMode="External" /><Relationship Type="http://schemas.openxmlformats.org/officeDocument/2006/relationships/hyperlink" Id="rId134" Target="https://datasets-benchmarks-proceedings.neurips.cc/paper/2021/file/be83ab3ecd0db773eb2dc1b0a17836a1-Paper-round2.pdf" TargetMode="External" /><Relationship Type="http://schemas.openxmlformats.org/officeDocument/2006/relationships/hyperlink" Id="rId127" Target="https://digitalassets.lib.berkeley.edu/math/ucb/text/math_s4_v1_article-19.pdf" TargetMode="External" /><Relationship Type="http://schemas.openxmlformats.org/officeDocument/2006/relationships/hyperlink" Id="rId131" Target="https://doi.org/10.1080/01621459.1981.10477633" TargetMode="External" /><Relationship Type="http://schemas.openxmlformats.org/officeDocument/2006/relationships/hyperlink" Id="rId105" Target="https://doi.org/10.2307/2346806" TargetMode="External" /><Relationship Type="http://schemas.openxmlformats.org/officeDocument/2006/relationships/hyperlink" Id="rId84" Target="https://github.com/vito1317/adaptive-reasoning-consensus" TargetMode="External" /><Relationship Type="http://schemas.openxmlformats.org/officeDocument/2006/relationships/hyperlink" Id="rId93" Target="https://openreview.net/pdf?id=gjeQKFxFpZ" TargetMode="External" /><Relationship Type="http://schemas.openxmlformats.org/officeDocument/2006/relationships/hyperlink" Id="rId107" Target="https://pmc.ncbi.nlm.nih.gov/articles/PMC3910607/pdf/pnas.201219097.pdf" TargetMode="External" /><Relationship Type="http://schemas.openxmlformats.org/officeDocument/2006/relationships/hyperlink" Id="rId117" Target="https://proceedings.neurips.cc/paper_files/paper/2009/file/f899139df5e1059396431415e770c6dd-Paper.pdf" TargetMode="External" /><Relationship Type="http://schemas.openxmlformats.org/officeDocument/2006/relationships/hyperlink" Id="rId119" Target="https://proceedings.neurips.cc/paper_files/paper/2011/file/c667d53acd899a97a85de0c201ba99be-Paper.pdf" TargetMode="External" /><Relationship Type="http://schemas.openxmlformats.org/officeDocument/2006/relationships/hyperlink" Id="rId115" Target="https://proceedings.neurips.cc/paper_files/paper/2025/file/1c7eff166a8e345f664f0faa8f4e4d2e-Paper-Conference.pdf" TargetMode="External" /><Relationship Type="http://schemas.openxmlformats.org/officeDocument/2006/relationships/hyperlink" Id="rId129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2026-08-17T09:13:27Z</dcterms:created>
  <dcterms:modified xsi:type="dcterms:W3CDTF">2026-08-17T09:13:27Z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