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3.png" ContentType="image/png"/>
  <Override PartName="/word/media/rId4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(CISC and its successors) improves on majority voting when a frozen large language model’s self-reported confidence is calibrated in</w:t>
      </w:r>
      <w:r>
        <w:t xml:space="preserve"> </w:t>
      </w:r>
      <w:r>
        <w:rPr>
          <w:i/>
          <w:iCs/>
        </w:rPr>
        <w:t xml:space="preserve">direction</w:t>
      </w:r>
      <w:r>
        <w:t xml:space="preserve">. Every published weighting scheme is structurally monotone increasing in confidence, so an anti-correlated channel poisons the vote instead of informing it, while binary dev-set gates survive inversion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Written out, the method is a single expression whose exponent reduces to</w:t>
      </w:r>
      <w:r>
        <w:t xml:space="preserve"> </w:t>
      </w:r>
      <m:oMath>
        <m:r>
          <m:t>γ</m:t>
        </m:r>
        <m:r>
          <m:rPr>
            <m:sty m:val="p"/>
          </m:rPr>
          <m:t>=</m:t>
        </m:r>
        <m:r>
          <m:t>z</m:t>
        </m:r>
        <m:rad>
          <m:radPr>
            <m:degHide m:val="on"/>
          </m:radPr>
          <m:deg/>
          <m:e>
            <m:r>
              <m:t>2</m:t>
            </m:r>
            <m:r>
              <m:rPr>
                <m:sty m:val="p"/>
              </m:rPr>
              <m:t>+</m:t>
            </m:r>
            <m:sSup>
              <m:e>
                <m:r>
                  <m:t>z</m:t>
                </m:r>
              </m:e>
              <m:sup>
                <m:r>
                  <m:t>2</m:t>
                </m:r>
              </m:sup>
            </m:sSup>
          </m:e>
        </m:rad>
      </m:oMath>
      <w:r>
        <w:t xml:space="preserve"> </w:t>
      </w:r>
      <w:r>
        <w:t xml:space="preserve">with</w:t>
      </w:r>
      <w:r>
        <w:t xml:space="preserve"> </w:t>
      </w:r>
      <m:oMath>
        <m:r>
          <m:t>z</m:t>
        </m:r>
      </m:oMath>
      <w:r>
        <w:t xml:space="preserve"> </w:t>
      </w:r>
      <w:r>
        <w:t xml:space="preserve">the probit of the shrunk pooled AUC, and it carries exact anchors: inside the shrinkage dead zone the vote is bit-identical to plain self-consistency, and a log-value feature map reproduces CISC-power. A label-free variant estimates the signed reliability from agreement pseudo-labels under a proven attenuation identity that guarantees sign consistency whenever the plurality-error rate is below one half, with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oracle over the entire raw-value weight family under monotone confidence compression (</w:t>
      </w:r>
      <m:oMath>
        <m:r>
          <m:t>1.000</m:t>
        </m:r>
      </m:oMath>
      <w:r>
        <w:t xml:space="preserve"> </w:t>
      </w:r>
      <w:r>
        <w:t xml:space="preserve">vs. </w:t>
      </w:r>
      <m:oMath>
        <m:r>
          <m:t>0.965</m:t>
        </m:r>
      </m:oMath>
      <w:r>
        <w:t xml:space="preserve">),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Two real-trace campaigns on a frozen model confirm the premise and locate the binding constraint: within-item discrimination is positive on competition mathematics (pooled</w:t>
      </w:r>
      <w:r>
        <w:t xml:space="preserve"> </w:t>
      </w:r>
      <m:oMath>
        <m:acc>
          <m:accPr>
            <m:chr m:val="̂"/>
          </m:accPr>
          <m:e>
            <m:r>
              <m:t>D</m:t>
            </m:r>
          </m:e>
        </m:acc>
        <m:r>
          <m:rPr>
            <m:sty m:val="p"/>
          </m:rPr>
          <m:t>=</m:t>
        </m:r>
        <m:r>
          <m:rPr>
            <m:sty m:val="p"/>
          </m:rPr>
          <m:t>+</m:t>
        </m:r>
        <m:r>
          <m:t>0.250</m:t>
        </m:r>
      </m:oMath>
      <w:r>
        <w:t xml:space="preserve">,</w:t>
      </w:r>
      <w:r>
        <w:t xml:space="preserve"> </w:t>
      </w:r>
      <m:oMath>
        <m:r>
          <m:t>z</m:t>
        </m:r>
        <m:r>
          <m:rPr>
            <m:sty m:val="p"/>
          </m:rPr>
          <m:t>=</m:t>
        </m:r>
        <m:r>
          <m:rPr>
            <m:sty m:val="p"/>
          </m:rPr>
          <m:t>+</m:t>
        </m:r>
        <m:r>
          <m:t>2.54</m:t>
        </m:r>
      </m:oMath>
      <w:r>
        <w:t xml:space="preserve">), yet the stratum on which any such method can act, where the plurality is wrong and the correct answer is present in the pool, measures</w:t>
      </w:r>
      <w:r>
        <w:t xml:space="preserve"> </w:t>
      </w:r>
      <m:oMath>
        <m:r>
          <m:t>2</m:t>
        </m:r>
      </m:oMath>
      <w:r>
        <w:t xml:space="preserve">–</w:t>
      </w:r>
      <m:oMath>
        <m:r>
          <m:t>7.5</m:t>
        </m:r>
        <m:r>
          <m:rPr>
            <m:sty m:val="p"/>
          </m:rPr>
          <m:t>%</m:t>
        </m:r>
      </m:oMath>
      <w:r>
        <w:t xml:space="preserve"> </w:t>
      </w:r>
      <w:r>
        <w:t xml:space="preserve">of items across five substrates in two domains, code generation with executable ground truth included. Abstention is therefore the correct default rather than a conservative one, and the dead zone implements it exactly. The paper further proves that per-item label-free adaptation is impossible under i.i.d. latent coupling, and pre-registers four falsification criteria, among them the published dev-calibrated CISC protocol as a designated killer baseline, 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w:t>
      </w:r>
      <w:r>
        <w:t xml:space="preserve"> </w:t>
      </w:r>
      <w:r>
        <w:t xml:space="preserve"> </w:t>
      </w:r>
      <w:r>
        <w:t xml:space="preserve">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 (verbalized</w:t>
      </w:r>
      <w:r>
        <w:t xml:space="preserve"> </w:t>
      </w:r>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 a natural refinement is to weight votes by confidence. Confidence-Informed Self-Consistency (CISC)</w:t>
      </w:r>
      <w:r>
        <w:t xml:space="preserve"> </w:t>
      </w:r>
      <w:r>
        <w:t xml:space="preserve"> </w:t>
      </w:r>
      <w:r>
        <w:t xml:space="preserve">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 is monotone</w:t>
      </w:r>
      <w:r>
        <w:t xml:space="preserve"> </w:t>
      </w:r>
      <w:r>
        <w:rPr>
          <w:i/>
          <w:iCs/>
        </w:rPr>
        <w:t xml:space="preserve">increasing</w:t>
      </w:r>
      <w:r>
        <w:t xml:space="preserve"> </w:t>
      </w:r>
      <w:r>
        <w:t xml:space="preserve">in confidence, including CISC’s softmax weights, reliability-aware pseudo-counts</w:t>
      </w:r>
      <w:r>
        <w:t xml:space="preserve"> </w:t>
      </w:r>
      <w:r>
        <w:t xml:space="preserve">, and warmup-thresholded filtering</w:t>
      </w:r>
      <w:r>
        <w:t xml:space="preserve"> </w:t>
      </w:r>
      <w:r>
        <w:t xml:space="preserv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 a binary dev-set gate that disables the channel when calibration error is high, survives the inversion but discards discriminative signal wholesale: a systematically under-confident yet perfectly ranked channel fails an ECE gate for reasons irrelevant to voting utility</w:t>
      </w:r>
      <w:r>
        <w:t xml:space="preserve"> </w:t>
      </w:r>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that scalar, with its uncertainty, 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oracle over the whole raw-value weight family (</w:t>
      </w:r>
      <m:oMath>
        <m:r>
          <m:t>1.000</m:t>
        </m:r>
      </m:oMath>
      <w:r>
        <w:t xml:space="preserve"> </w:t>
      </w:r>
      <w:r>
        <w:t xml:space="preserve">vs. </w:t>
      </w:r>
      <m:oMath>
        <m:r>
          <m:t>0.965</m:t>
        </m:r>
      </m:oMath>
      <w:r>
        <w:t xml:space="preserve">).</w:t>
      </w:r>
    </w:p>
    <w:p>
      <w:pPr>
        <w:pStyle w:val="BodyText"/>
      </w:pPr>
      <w:r>
        <w:rPr>
          <w:b/>
          <w:bCs/>
        </w:rPr>
        <w:t xml:space="preserve">C2: Label-free estimation of the signed reliability.</w:t>
      </w:r>
      <w:r>
        <w:t xml:space="preserve"> </w:t>
      </w:r>
      <w:r>
        <w:t xml:space="preserve">The crowdsourcing lineage estimates annotator reliability from cross-annotator covariance</w:t>
      </w:r>
      <w:r>
        <w:t xml:space="preserve"> </w:t>
      </w:r>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three cells: 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 </w:t>
      </w:r>
      <w:r>
        <w:t xml:space="preserve">treats sampled traces as i.i.d. votes. CISC</w:t>
      </w:r>
      <w:r>
        <w:t xml:space="preserve"> </w:t>
      </w:r>
      <w:r>
        <w:t xml:space="preserve"> </w:t>
      </w:r>
      <w:r>
        <w:t xml:space="preserve">weights votes by softmax-normalized confidence with a temperature tuned on a labeled split, and its WQD metric makes the discrimination-vs-calibration point that also motivates this work; the rank-calibration line</w:t>
      </w:r>
      <w:r>
        <w:t xml:space="preserve"> </w:t>
      </w:r>
      <w:r>
        <w:t xml:space="preserve"> </w:t>
      </w:r>
      <w:r>
        <w:t xml:space="preserve">reaches the same conclusion independently. Weighted variants</w:t>
      </w:r>
      <w:r>
        <w:t xml:space="preserve"> </w:t>
      </w:r>
      <w:r>
        <w:t xml:space="preserve"> </w:t>
      </w:r>
      <w:r>
        <w:t xml:space="preserve">and early-stopping families</w:t>
      </w:r>
      <w:r>
        <w:t xml:space="preserve"> </w:t>
      </w:r>
      <w:r>
        <w:t xml:space="preserve"> </w:t>
      </w:r>
      <w:r>
        <w:t xml:space="preserve">refine the budget; reliability-aware pseudo-counts</w:t>
      </w:r>
      <w:r>
        <w:t xml:space="preserve"> </w:t>
      </w:r>
      <w:r>
        <w:t xml:space="preserve"> </w:t>
      </w:r>
      <w:r>
        <w:t xml:space="preserve">and warmup-thresholded filtering</w:t>
      </w:r>
      <w:r>
        <w:t xml:space="preserve"> </w:t>
      </w:r>
      <w:r>
        <w:t xml:space="preserve"> </w:t>
      </w:r>
      <w:r>
        <w:t xml:space="preserve">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w:t>
      </w:r>
      <w:r>
        <w:t xml:space="preserve"> </w:t>
      </w:r>
      <w:r>
        <w:t xml:space="preserve">; spectral meta-learners</w:t>
      </w:r>
      <w:r>
        <w:t xml:space="preserve"> </w:t>
      </w:r>
      <w:r>
        <w:t xml:space="preserve"> </w:t>
      </w:r>
      <w:r>
        <w:t xml:space="preserve">and recent LLM ensemble work</w:t>
      </w:r>
      <w:r>
        <w:t xml:space="preserve"> </w:t>
      </w:r>
      <w:r>
        <w:t xml:space="preserve"> </w:t>
      </w:r>
      <w:r>
        <w:t xml:space="preserve">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in place of an unconditional claim.</w:t>
      </w:r>
    </w:p>
    <w:p>
      <w:pPr>
        <w:pStyle w:val="BodyText"/>
      </w:pPr>
      <w:r>
        <w:rPr>
          <w:b/>
          <w:bCs/>
        </w:rPr>
        <w:t xml:space="preserve">Shrinkage and rank statistics.</w:t>
      </w:r>
      <w:r>
        <w:t xml:space="preserve"> </w:t>
      </w:r>
      <w:r>
        <w:t xml:space="preserve">The estimator assembles classical parts: stratified rank statistics</w:t>
      </w:r>
      <w:r>
        <w:t xml:space="preserve"> </w:t>
      </w:r>
      <w:r>
        <w:t xml:space="preserve">, the James–Stein positive-part estimator</w:t>
      </w:r>
      <w:r>
        <w:t xml:space="preserve"> </w:t>
      </w:r>
      <w:r>
        <w:t xml:space="preserve">, effective-sample-size corrections</w:t>
      </w:r>
      <w:r>
        <w:t xml:space="preserve"> </w:t>
      </w:r>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 dominated everywhere by a simple deduplication baseline, and is reported as a negative result. Its post-mortem isolated the confidence dilemma studied here.</w:t>
      </w:r>
    </w:p>
    <w:bookmarkEnd w:id="11"/>
    <w:bookmarkStart w:id="18"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7"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6" w:name="fig:baselines"/>
    <w:p>
      <w:pPr>
        <w:pStyle w:val="CaptionedFigure"/>
      </w:pPr>
      <w:r>
        <w:drawing>
          <wp:inline>
            <wp:extent cx="5334000" cy="3302000"/>
            <wp:effectExtent b="0" l="0" r="0" t="0"/>
            <wp:docPr descr=""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6"/>
    <w:bookmarkEnd w:id="17"/>
    <w:bookmarkEnd w:id="18"/>
    <w:bookmarkStart w:id="27" w:name="sec:method"/>
    <w:p>
      <w:pPr>
        <w:pStyle w:val="Heading1"/>
      </w:pPr>
      <w:r>
        <w:t xml:space="preserve">TACT</w:t>
      </w:r>
    </w:p>
    <w:bookmarkStart w:id="19"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19"/>
    <w:bookmarkStart w:id="20"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0"/>
    <w:bookmarkStart w:id="21"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 which is what</w:t>
      </w:r>
      <w:r>
        <w:t xml:space="preserve"> </w:t>
      </w:r>
      <w:hyperlink w:anchor="eq:vdw">
        <w:r>
          <w:rPr>
            <w:rStyle w:val="Hyperlink"/>
          </w:rPr>
          <w:t xml:space="preserve">[eq:vdw]</w:t>
        </w:r>
      </w:hyperlink>
      <w:r>
        <w:t xml:space="preserve"> </w:t>
      </w:r>
      <w:r>
        <w:t xml:space="preserve">enforces, 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1"/>
    <w:bookmarkStart w:id="22" w:name="sec:oneline"/>
    <w:p>
      <w:pPr>
        <w:pStyle w:val="Heading2"/>
      </w:pPr>
      <w:r>
        <w:rPr>
          <w:smallCaps/>
        </w:rPr>
        <w:t xml:space="preserve">tact</w:t>
      </w:r>
      <w:r>
        <w:t xml:space="preserve"> </w:t>
      </w:r>
      <w:r>
        <w:t xml:space="preserve">in one expression</w:t>
      </w:r>
    </w:p>
    <w:p>
      <w:pPr>
        <w:pStyle w:val="FirstParagraph"/>
      </w:pPr>
      <w:r>
        <w:t xml:space="preserve">Two simplifications collapse the pipeline. Factoring</w:t>
      </w:r>
      <w:r>
        <w:t xml:space="preserve"> </w:t>
      </w:r>
      <m:oMath>
        <m:acc>
          <m:accPr>
            <m:chr m:val="̂"/>
          </m:accPr>
          <m:e>
            <m:r>
              <m:t>D</m:t>
            </m:r>
          </m:e>
        </m:acc>
      </m:oMath>
      <w:r>
        <w:t xml:space="preserve"> </w:t>
      </w:r>
      <w:r>
        <w:t xml:space="preserve">out of</w:t>
      </w:r>
      <w:r>
        <w:t xml:space="preserve"> </w:t>
      </w:r>
      <w:hyperlink w:anchor="eq:js">
        <w:r>
          <w:rPr>
            <w:rStyle w:val="Hyperlink"/>
          </w:rPr>
          <w:t xml:space="preserve">[eq:js]</w:t>
        </w:r>
      </w:hyperlink>
      <w:r>
        <w:t xml:space="preserve"> </w:t>
      </w:r>
      <w:r>
        <w:t xml:space="preserve">makes the shrinkage a multiplicative gain in the pooled</w:t>
      </w:r>
      <w:r>
        <w:t xml:space="preserve"> </w:t>
      </w:r>
      <m:oMath>
        <m:r>
          <m:t>z</m:t>
        </m:r>
      </m:oMath>
      <w:r>
        <w:t xml:space="preserve">-statistic</w:t>
      </w:r>
      <w:r>
        <w:t xml:space="preserve"> </w:t>
      </w:r>
      <m:oMath>
        <m:r>
          <m:t>ζ</m:t>
        </m:r>
        <m:r>
          <m:rPr>
            <m:sty m:val="p"/>
          </m:rPr>
          <m:t>=</m:t>
        </m:r>
        <m:acc>
          <m:accPr>
            <m:chr m:val="̂"/>
          </m:accPr>
          <m:e>
            <m:r>
              <m:t>D</m:t>
            </m:r>
          </m:e>
        </m:acc>
        <m:r>
          <m:rPr>
            <m:sty m:val="p"/>
          </m:rPr>
          <m:t>/</m:t>
        </m:r>
        <m:r>
          <m:rPr>
            <m:sty m:val="p"/>
          </m:rPr>
          <m:t>S</m:t>
        </m:r>
        <m:r>
          <m:rPr>
            <m:sty m:val="p"/>
          </m:rPr>
          <m:t>E</m:t>
        </m:r>
      </m:oMath>
      <w:r>
        <w:t xml:space="preserve"> </w:t>
      </w:r>
      <w:r>
        <w:t xml:space="preserve">alone, and substituting</w:t>
      </w:r>
      <w:r>
        <w:t xml:space="preserve"> </w:t>
      </w:r>
      <m:oMath>
        <m:r>
          <m:t>u</m:t>
        </m:r>
        <m:r>
          <m:rPr>
            <m:sty m:val="p"/>
          </m:rPr>
          <m:t>=</m:t>
        </m:r>
        <m:rad>
          <m:radPr>
            <m:degHide m:val="on"/>
          </m:radPr>
          <m:deg/>
          <m:e>
            <m:r>
              <m:t>2</m:t>
            </m:r>
          </m:e>
        </m:rad>
        <m:r>
          <m:t> </m:t>
        </m:r>
        <m:r>
          <m:t>z</m:t>
        </m:r>
      </m:oMath>
      <w:r>
        <w:t xml:space="preserve"> </w:t>
      </w:r>
      <w:r>
        <w:t xml:space="preserve">with</w:t>
      </w:r>
      <w:r>
        <w:t xml:space="preserve"> </w:t>
      </w:r>
      <m:oMath>
        <m:r>
          <m:t>z</m:t>
        </m:r>
        <m:r>
          <m:rPr>
            <m:sty m:val="p"/>
          </m:rPr>
          <m:t>=</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into</w:t>
      </w:r>
      <w:r>
        <w:t xml:space="preserve"> </w:t>
      </w:r>
      <w:hyperlink w:anchor="eq:link">
        <w:r>
          <w:rPr>
            <w:rStyle w:val="Hyperlink"/>
          </w:rPr>
          <w:t xml:space="preserve">[eq:link]</w:t>
        </w:r>
      </w:hyperlink>
      <w:r>
        <w:t xml:space="preserve"> </w:t>
      </w:r>
      <w:r>
        <w:t xml:space="preserve">removes the nested radical.</w:t>
      </w:r>
      <w:r>
        <w:t xml:space="preserve"> </w:t>
      </w:r>
      <w:r>
        <w:rPr>
          <w:smallCaps/>
        </w:rPr>
        <w:t xml:space="preserve">tact</w:t>
      </w:r>
      <w:r>
        <w:t xml:space="preserve"> </w:t>
      </w:r>
      <w:r>
        <w:t xml:space="preserve">is then</w:t>
      </w:r>
    </w:p>
    <w:p>
      <w:pPr>
        <w:pStyle w:val="BodyText"/>
      </w:pPr>
      <m:oMathPara>
        <m:oMathParaPr>
          <m:jc m:val="center"/>
        </m:oMathParaPr>
        <m:oMath>
          <m:borderBox>
            <m:e>
              <m:r>
                <m:t> </m:t>
              </m:r>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r>
                <m:t> </m:t>
              </m:r>
              <m:r>
                <m:t>γ</m:t>
              </m:r>
              <m:r>
                <m:rPr>
                  <m:sty m:val="p"/>
                </m:rPr>
                <m:t>=</m:t>
              </m:r>
              <m:r>
                <m:rPr>
                  <m:sty m:val="p"/>
                </m:rPr>
                <m:t>[</m:t>
              </m:r>
              <m:r>
                <m:t>z</m:t>
              </m:r>
              <m:rad>
                <m:radPr>
                  <m:degHide m:val="on"/>
                </m:radPr>
                <m:deg/>
                <m:e>
                  <m:r>
                    <m:t>2</m:t>
                  </m:r>
                  <m:r>
                    <m:rPr>
                      <m:sty m:val="p"/>
                    </m:rPr>
                    <m:t>+</m:t>
                  </m:r>
                  <m:r>
                    <m:t>4</m:t>
                  </m:r>
                  <m:acc>
                    <m:accPr>
                      <m:chr m:val="‾"/>
                    </m:accPr>
                    <m:e>
                      <m:r>
                        <m:t>p</m:t>
                      </m:r>
                    </m:e>
                  </m:acc>
                  <m:r>
                    <m:rPr>
                      <m:sty m:val="p"/>
                    </m:rPr>
                    <m:t>(</m:t>
                  </m:r>
                  <m:r>
                    <m:t>1</m:t>
                  </m:r>
                  <m:r>
                    <m:rPr>
                      <m:sty m:val="p"/>
                    </m:rPr>
                    <m:t>−</m:t>
                  </m:r>
                  <m:acc>
                    <m:accPr>
                      <m:chr m:val="‾"/>
                    </m:accPr>
                    <m:e>
                      <m:r>
                        <m:t>p</m:t>
                      </m:r>
                    </m:e>
                  </m:acc>
                  <m:r>
                    <m:rPr>
                      <m:sty m:val="p"/>
                    </m:rPr>
                    <m:t>)</m:t>
                  </m:r>
                  <m:sSup>
                    <m:e>
                      <m:r>
                        <m:t>z</m:t>
                      </m:r>
                    </m:e>
                    <m:sup>
                      <m:r>
                        <m:t>2</m:t>
                      </m:r>
                    </m:sup>
                  </m:sSup>
                </m:e>
              </m:rad>
              <m:sSubSup>
                <m:e>
                  <m:r>
                    <m:rPr>
                      <m:sty m:val="p"/>
                    </m:rPr>
                    <m:t>]</m:t>
                  </m:r>
                </m:e>
                <m:sub>
                  <m:r>
                    <m:rPr>
                      <m:sty m:val="p"/>
                    </m:rPr>
                    <m:t>−</m:t>
                  </m:r>
                  <m:sSub>
                    <m:e>
                      <m:r>
                        <m:t>γ</m:t>
                      </m:r>
                    </m:e>
                    <m:sub>
                      <m:r>
                        <m:rPr>
                          <m:sty m:val="p"/>
                        </m:rPr>
                        <m:t>max</m:t>
                      </m:r>
                    </m:sub>
                  </m:sSub>
                </m:sub>
                <m:sup>
                  <m:sSub>
                    <m:e>
                      <m:r>
                        <m:t>γ</m:t>
                      </m:r>
                    </m:e>
                    <m:sub>
                      <m:r>
                        <m:rPr>
                          <m:sty m:val="p"/>
                        </m:rPr>
                        <m:t>max</m:t>
                      </m:r>
                    </m:sub>
                  </m:sSub>
                </m:sup>
              </m:sSubSup>
              <m:r>
                <m:rPr>
                  <m:sty m:val="p"/>
                </m:rPr>
                <m:t>,</m:t>
              </m:r>
              <m:r>
                <m:t> </m:t>
              </m:r>
            </m:e>
          </m:borderBox>
        </m:oMath>
      </m:oMathPara>
    </w:p>
    <w:p>
      <w:pPr>
        <w:pStyle w:val="FirstParagraph"/>
      </w:pPr>
      <m:oMathPara>
        <m:oMathParaPr>
          <m:jc m:val="center"/>
        </m:oMathParaPr>
        <m:oMath>
          <m:r>
            <m:t>z</m:t>
          </m:r>
          <m:r>
            <m:rPr>
              <m:sty m:val="p"/>
            </m:rPr>
            <m:t>=</m:t>
          </m:r>
          <m:sSup>
            <m:e>
              <m:r>
                <m:rPr>
                  <m:sty m:val="p"/>
                </m:rPr>
                <m:t>Φ</m:t>
              </m:r>
            </m:e>
            <m:sup>
              <m:r>
                <m:rPr>
                  <m:sty m:val="p"/>
                </m:rPr>
                <m:t>−</m:t>
              </m:r>
              <m:r>
                <m:t>1</m:t>
              </m:r>
            </m:sup>
          </m:sSup>
          <m:r>
            <m:t>​</m:t>
          </m:r>
          <m:d>
            <m:dPr>
              <m:begChr m:val="("/>
              <m:sepChr m:val=""/>
              <m:endChr m:val=")"/>
              <m:grow/>
            </m:dPr>
            <m:e>
              <m:f>
                <m:fPr>
                  <m:type m:val="lin"/>
                </m:fPr>
                <m:num>
                  <m:r>
                    <m:t>1</m:t>
                  </m:r>
                </m:num>
                <m:den>
                  <m:r>
                    <m:t>2</m:t>
                  </m:r>
                </m:den>
              </m:f>
              <m:d>
                <m:dPr>
                  <m:begChr m:val="["/>
                  <m:sepChr m:val=""/>
                  <m:endChr m:val="]"/>
                  <m:grow/>
                </m:dPr>
                <m:e>
                  <m:r>
                    <m:t>1</m:t>
                  </m:r>
                  <m:r>
                    <m:rPr>
                      <m:sty m:val="p"/>
                    </m:rPr>
                    <m:t>+</m:t>
                  </m:r>
                  <m:acc>
                    <m:accPr>
                      <m:chr m:val="̂"/>
                    </m:accPr>
                    <m:e>
                      <m:r>
                        <m:t>D</m:t>
                      </m:r>
                    </m:e>
                  </m:acc>
                  <m:r>
                    <m:t> </m:t>
                  </m:r>
                  <m:r>
                    <m:rPr>
                      <m:sty m:val="p"/>
                    </m:rPr>
                    <m:t>(</m:t>
                  </m:r>
                  <m:r>
                    <m:t>1</m:t>
                  </m:r>
                  <m:r>
                    <m:rPr>
                      <m:sty m:val="p"/>
                    </m:rPr>
                    <m:t>−</m:t>
                  </m:r>
                  <m:sSup>
                    <m:e>
                      <m:r>
                        <m:t>ν</m:t>
                      </m:r>
                    </m:e>
                    <m:sup>
                      <m:r>
                        <m:t>2</m:t>
                      </m:r>
                    </m:sup>
                  </m:sSup>
                  <m:r>
                    <m:rPr>
                      <m:sty m:val="p"/>
                    </m:rPr>
                    <m:t>/</m:t>
                  </m:r>
                  <m:sSup>
                    <m:e>
                      <m:r>
                        <m:t>ζ</m:t>
                      </m:r>
                    </m:e>
                    <m:sup>
                      <m:r>
                        <m:t>2</m:t>
                      </m:r>
                    </m:sup>
                  </m:sSup>
                  <m:sSub>
                    <m:e>
                      <m:r>
                        <m:rPr>
                          <m:sty m:val="p"/>
                        </m:rPr>
                        <m:t>)</m:t>
                      </m:r>
                    </m:e>
                    <m:sub>
                      <m:r>
                        <m:rPr>
                          <m:sty m:val="p"/>
                        </m:rPr>
                        <m:t>+</m:t>
                      </m:r>
                    </m:sub>
                  </m:sSub>
                </m:e>
              </m:d>
            </m:e>
          </m:d>
          <m:r>
            <m:rPr>
              <m:sty m:val="p"/>
            </m:rPr>
            <m:t>,</m:t>
          </m:r>
          <m:r>
            <m:t>  </m:t>
          </m:r>
          <m:r>
            <m:t>ζ</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with</w:t>
      </w:r>
      <w:r>
        <w:t xml:space="preserve"> </w:t>
      </w:r>
      <m:oMath>
        <m:acc>
          <m:accPr>
            <m:chr m:val="̂"/>
          </m:accPr>
          <m:e>
            <m:r>
              <m:t>D</m:t>
            </m:r>
          </m:e>
        </m:acc>
      </m:oMath>
      <w:r>
        <w:t xml:space="preserve"> </w:t>
      </w:r>
      <w:r>
        <w:t xml:space="preserve">from</w:t>
      </w:r>
      <w:r>
        <w:t xml:space="preserve"> </w:t>
      </w:r>
      <w:hyperlink w:anchor="eq:pooled">
        <w:r>
          <w:rPr>
            <w:rStyle w:val="Hyperlink"/>
          </w:rPr>
          <w:t xml:space="preserve">[eq:pooled]</w:t>
        </w:r>
      </w:hyperlink>
      <w:r>
        <w:t xml:space="preserve"> </w:t>
      </w:r>
      <w:r>
        <w:t xml:space="preserve">and</w:t>
      </w:r>
      <w:r>
        <w:t xml:space="preserve"> </w:t>
      </w:r>
      <m:oMath>
        <m:r>
          <m:t>φ</m:t>
        </m:r>
      </m:oMath>
      <w:r>
        <w:t xml:space="preserve"> </w:t>
      </w:r>
      <w:r>
        <w:t xml:space="preserve">from</w:t>
      </w:r>
      <w:r>
        <w:t xml:space="preserve"> </w:t>
      </w:r>
      <w:hyperlink w:anchor="eq:vdw">
        <w:r>
          <w:rPr>
            <w:rStyle w:val="Hyperlink"/>
          </w:rPr>
          <w:t xml:space="preserve">[eq:vdw]</w:t>
        </w:r>
      </w:hyperlink>
      <w:r>
        <w:t xml:space="preserve">. At the</w:t>
      </w:r>
      <w:r>
        <w:t xml:space="preserve"> </w:t>
      </w:r>
      <w:r>
        <w:t xml:space="preserve">default</w:t>
      </w:r>
      <w:r>
        <w:t xml:space="preserve"> </w:t>
      </w:r>
      <m:oMath>
        <m:acc>
          <m:accPr>
            <m:chr m:val="‾"/>
          </m:accPr>
          <m:e>
            <m:r>
              <m:t>p</m:t>
            </m:r>
          </m:e>
        </m:acc>
        <m:r>
          <m:rPr>
            <m:sty m:val="p"/>
          </m:rPr>
          <m:t>=</m:t>
        </m:r>
        <m:f>
          <m:fPr>
            <m:type m:val="lin"/>
          </m:fPr>
          <m:num>
            <m:r>
              <m:t>1</m:t>
            </m:r>
          </m:num>
          <m:den>
            <m:r>
              <m:t>2</m:t>
            </m:r>
          </m:den>
        </m:f>
      </m:oMath>
      <w:r>
        <w:t xml:space="preserve"> </w:t>
      </w:r>
      <w:r>
        <w:t xml:space="preserve">the exponent is exactly</w:t>
      </w:r>
    </w:p>
    <w:p>
      <w:pPr>
        <w:pStyle w:val="BodyText"/>
      </w:pPr>
      <m:oMathPara>
        <m:oMathParaPr>
          <m:jc m:val="center"/>
        </m:oMathParaPr>
        <m:oMath>
          <m:r>
            <m:t>γ</m:t>
          </m:r>
          <m:r>
            <m:rPr>
              <m:sty m:val="p"/>
            </m:rPr>
            <m:t>=</m:t>
          </m:r>
          <m:r>
            <m:t>z</m:t>
          </m:r>
          <m:rad>
            <m:radPr>
              <m:degHide m:val="on"/>
            </m:radPr>
            <m:deg/>
            <m:e>
              <m:r>
                <m:t>2</m:t>
              </m:r>
              <m:r>
                <m:rPr>
                  <m:sty m:val="p"/>
                </m:rPr>
                <m:t>+</m:t>
              </m:r>
              <m:sSup>
                <m:e>
                  <m:r>
                    <m:t>z</m:t>
                  </m:r>
                </m:e>
                <m:sup>
                  <m:r>
                    <m:t>2</m:t>
                  </m:r>
                </m:sup>
              </m:sSup>
            </m:e>
          </m:rad>
          <m:r>
            <m:rPr>
              <m:sty m:val="p"/>
            </m:rPr>
            <m:t>,</m:t>
          </m:r>
          <m:r>
            <m:t>  </m:t>
          </m:r>
          <m:r>
            <m:t>z</m:t>
          </m:r>
          <m:r>
            <m:rPr>
              <m:sty m:val="p"/>
            </m:rPr>
            <m:t>=</m:t>
          </m:r>
          <m:sSup>
            <m:e>
              <m:r>
                <m:rPr>
                  <m:sty m:val="p"/>
                </m:rPr>
                <m:t>Φ</m:t>
              </m:r>
            </m:e>
            <m:sup>
              <m:r>
                <m:rPr>
                  <m:sty m:val="p"/>
                </m:rPr>
                <m:t>−</m:t>
              </m:r>
              <m:r>
                <m:t>1</m:t>
              </m:r>
            </m:sup>
          </m:sSup>
          <m:r>
            <m:rPr>
              <m:sty m:val="p"/>
            </m:rPr>
            <m:t>(</m:t>
          </m:r>
          <m:acc>
            <m:accPr>
              <m:chr m:val="̂"/>
            </m:accPr>
            <m:e>
              <m:r>
                <m:rPr>
                  <m:sty m:val="p"/>
                </m:rPr>
                <m:t>A</m:t>
              </m:r>
              <m:r>
                <m:rPr>
                  <m:sty m:val="p"/>
                </m:rPr>
                <m:t>U</m:t>
              </m:r>
              <m:r>
                <m:rPr>
                  <m:sty m:val="p"/>
                </m:rPr>
                <m:t>C</m:t>
              </m:r>
            </m:e>
          </m:acc>
          <m:r>
            <m:rPr>
              <m:sty m:val="p"/>
            </m:rPr>
            <m:t>)</m:t>
          </m:r>
          <m:r>
            <m:rPr>
              <m:sty m:val="p"/>
            </m:rPr>
            <m:t>,</m:t>
          </m:r>
        </m:oMath>
      </m:oMathPara>
    </w:p>
    <w:p>
      <w:pPr>
        <w:pStyle w:val="FirstParagraph"/>
      </w:pPr>
      <w:r>
        <w:t xml:space="preserve">one probit and one square root, with no tuned constant anywhere:</w:t>
      </w:r>
      <w:r>
        <w:t xml:space="preserve"> </w:t>
      </w:r>
      <m:oMath>
        <m:r>
          <m:t>ν</m:t>
        </m:r>
      </m:oMath>
      <w:r>
        <w:t xml:space="preserve"> </w:t>
      </w:r>
      <w:r>
        <w:t xml:space="preserve">is a</w:t>
      </w:r>
      <w:r>
        <w:t xml:space="preserve"> </w:t>
      </w:r>
      <w:r>
        <w:t xml:space="preserve">significance level and</w:t>
      </w:r>
      <w:r>
        <w:t xml:space="preserve"> </w:t>
      </w:r>
      <m:oMath>
        <m:sSub>
          <m:e>
            <m:r>
              <m:t>γ</m:t>
            </m:r>
          </m:e>
          <m:sub>
            <m:r>
              <m:rPr>
                <m:sty m:val="p"/>
              </m:rPr>
              <m:t>max</m:t>
            </m:r>
          </m:sub>
        </m:sSub>
      </m:oMath>
      <w:r>
        <w:t xml:space="preserve"> </w:t>
      </w:r>
      <w:r>
        <w:t xml:space="preserve">a clip, and both are fixed before any</w:t>
      </w:r>
      <w:r>
        <w:t xml:space="preserve"> </w:t>
      </w:r>
      <w:r>
        <w:t xml:space="preserve">data is seen. The dead zone is now visible as a single condition,</w:t>
      </w:r>
      <w:r>
        <w:t xml:space="preserve"> </w:t>
      </w:r>
      <m:oMath>
        <m:r>
          <m:rPr>
            <m:sty m:val="p"/>
          </m:rPr>
          <m:t>|</m:t>
        </m:r>
        <m:r>
          <m:t>ζ</m:t>
        </m:r>
        <m:r>
          <m:rPr>
            <m:sty m:val="p"/>
          </m:rPr>
          <m:t>|</m:t>
        </m:r>
        <m:r>
          <m:rPr>
            <m:sty m:val="p"/>
          </m:rPr>
          <m:t>≤</m:t>
        </m:r>
        <m:r>
          <m:t>ν</m:t>
        </m:r>
      </m:oMath>
      <w:r>
        <w:t xml:space="preserve">, on which</w:t>
      </w:r>
      <w:r>
        <w:t xml:space="preserve"> </w:t>
      </w:r>
      <m:oMath>
        <m:r>
          <m:t>γ</m:t>
        </m:r>
      </m:oMath>
      <w:r>
        <w:t xml:space="preserve"> </w:t>
      </w:r>
      <w:r>
        <w:t xml:space="preserve">is identically zero and</w:t>
      </w:r>
      <w:r>
        <w:t xml:space="preserve"> </w:t>
      </w:r>
      <w:hyperlink w:anchor="eq:oneline">
        <w:r>
          <w:rPr>
            <w:rStyle w:val="Hyperlink"/>
          </w:rPr>
          <w:t xml:space="preserve">[eq:oneline]</w:t>
        </w:r>
      </w:hyperlink>
      <w:r>
        <w:t xml:space="preserve"> </w:t>
      </w:r>
      <w:r>
        <w:t xml:space="preserve">is bitwise</w:t>
      </w:r>
      <w:r>
        <w:t xml:space="preserve"> </w:t>
      </w:r>
      <w:r>
        <w:rPr>
          <w:smallCaps/>
        </w:rPr>
        <w:t xml:space="preserve">sc</w:t>
      </w:r>
      <w:r>
        <w:t xml:space="preserve"> </w:t>
      </w:r>
      <w:r>
        <w:t xml:space="preserve">by Proposition </w:t>
      </w:r>
      <w:hyperlink w:anchor="prop:sc">
        <w:r>
          <w:rPr>
            <w:rStyle w:val="Hyperlink"/>
          </w:rPr>
          <w:t xml:space="preserve">1</w:t>
        </w:r>
      </w:hyperlink>
      <w:r>
        <w:t xml:space="preserve">. Equations</w:t>
      </w:r>
      <w:r>
        <w:t xml:space="preserve"> </w:t>
      </w:r>
      <w:hyperlink w:anchor="eq:oneline">
        <w:r>
          <w:rPr>
            <w:rStyle w:val="Hyperlink"/>
          </w:rPr>
          <w:t xml:space="preserve">[eq:oneline]</w:t>
        </w:r>
      </w:hyperlink>
      <w:r>
        <w:t xml:space="preserve">–</w:t>
      </w:r>
      <w:hyperlink w:anchor="eq:half">
        <w:r>
          <w:rPr>
            <w:rStyle w:val="Hyperlink"/>
          </w:rPr>
          <w:t xml:space="preserve">[eq:half]</w:t>
        </w:r>
      </w:hyperlink>
      <w:r>
        <w:t xml:space="preserve"> </w:t>
      </w:r>
      <w:r>
        <w:t xml:space="preserve">are verified equivalent to the shipped</w:t>
      </w:r>
      <w:r>
        <w:t xml:space="preserve"> </w:t>
      </w:r>
      <w:r>
        <w:t xml:space="preserve">implementation over randomised inputs including every boundary</w:t>
      </w:r>
      <w:r>
        <w:t xml:space="preserve"> </w:t>
      </w:r>
      <w:r>
        <w:t xml:space="preserve">(</w:t>
      </w:r>
      <w:r>
        <w:rPr>
          <w:rStyle w:val="VerbatimChar"/>
        </w:rPr>
        <w:t xml:space="preserve">tests/test_formula.py</w:t>
      </w:r>
      <w:r>
        <w:t xml:space="preserve">).</w:t>
      </w:r>
    </w:p>
    <w:bookmarkEnd w:id="22"/>
    <w:bookmarkStart w:id="26" w:name="anchor-properties"/>
    <w:p>
      <w:pPr>
        <w:pStyle w:val="Heading2"/>
      </w:pPr>
      <w:r>
        <w:t xml:space="preserve">Anchor properties</w:t>
      </w:r>
    </w:p>
    <w:bookmarkStart w:id="23"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23"/>
    <w:bookmarkStart w:id="24"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24"/>
    <w:bookmarkStart w:id="25"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25"/>
    <w:p>
      <w:pPr>
        <w:pStyle w:val="BodyText"/>
      </w:pPr>
      <w:r>
        <w:t xml:space="preserve">Proofs are elementary and pinned by unit tests in the released code (76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26"/>
    <w:bookmarkEnd w:id="27"/>
    <w:bookmarkStart w:id="32" w:name="sec:lf"/>
    <w:p>
      <w:pPr>
        <w:pStyle w:val="Heading1"/>
      </w:pPr>
      <w:r>
        <w:t xml:space="preserve">Label-Free Estimation</w:t>
      </w:r>
    </w:p>
    <w:bookmarkStart w:id="28"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8"/>
    <w:bookmarkStart w:id="30" w:name="sign-consistency-and-its-boundary"/>
    <w:p>
      <w:pPr>
        <w:pStyle w:val="Heading2"/>
      </w:pPr>
      <w:r>
        <w:t xml:space="preserve">Sign consistency and its boundary</w:t>
      </w:r>
    </w:p>
    <w:bookmarkStart w:id="29"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29"/>
    <w:p>
      <w:pPr>
        <w:pStyle w:val="BodyText"/>
      </w:pPr>
      <w:r>
        <w:t xml:space="preserve">The identity fails when the flip is</w:t>
      </w:r>
      <w:r>
        <w:t xml:space="preserve"> </w:t>
      </w:r>
      <w:r>
        <w:rPr>
          <w:i/>
          <w:iCs/>
        </w:rPr>
        <w:t xml:space="preserve">caused</w:t>
      </w:r>
      <w:r>
        <w:t xml:space="preserve"> </w:t>
      </w:r>
      <w:r>
        <w:t xml:space="preserve">by confidence, that is, under 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w:t>
      </w:r>
      <w:r>
        <w:t xml:space="preserve"> </w:t>
      </w:r>
      <w:r>
        <w:t xml:space="preserve"> </w:t>
      </w:r>
      <w:r>
        <w:t xml:space="preserve">restated for a single channel), so any label-free guarantee is necessarily conditional; it is stated as such rather than papered over.</w:t>
      </w:r>
    </w:p>
    <w:bookmarkEnd w:id="30"/>
    <w:bookmarkStart w:id="31"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31"/>
    <w:bookmarkEnd w:id="32"/>
    <w:bookmarkStart w:id="38" w:name="sec:hetero"/>
    <w:p>
      <w:pPr>
        <w:pStyle w:val="Heading1"/>
      </w:pPr>
      <w:r>
        <w:t xml:space="preserve">Heterogeneity: Impossibility and Escape</w:t>
      </w:r>
    </w:p>
    <w:bookmarkStart w:id="36"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33"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33"/>
    <w:bookmarkStart w:id="34"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 the items where a flip could win, 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34"/>
    <w:bookmarkStart w:id="35"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35"/>
    <w:p>
      <w:pPr>
        <w:pStyle w:val="BodyText"/>
      </w:pPr>
      <w:r>
        <w:t xml:space="preserve">Consequently the per-item oracle (</w:t>
      </w:r>
      <m:oMath>
        <m:r>
          <m:t>0.983</m:t>
        </m:r>
      </m:oMath>
      <w:r>
        <w:t xml:space="preserve"> </w:t>
      </w:r>
      <w:r>
        <w:t xml:space="preserve">in this harness) is unreachable, and the honest behaviour is to fall back to the global estimate, which</w:t>
      </w:r>
      <w:r>
        <w:t xml:space="preserve"> </w:t>
      </w:r>
      <w:r>
        <w:rPr>
          <w:smallCaps/>
        </w:rPr>
        <w:t xml:space="preserve">tact</w:t>
      </w:r>
      <w:r>
        <w:t xml:space="preserve">’s dead zone does: in the i.i.d. cell every variant returns bitwise</w:t>
      </w:r>
      <w:r>
        <w:t xml:space="preserve"> </w:t>
      </w:r>
      <w:r>
        <w:rPr>
          <w:smallCaps/>
        </w:rPr>
        <w:t xml:space="preserve">sc</w:t>
      </w:r>
      <w:r>
        <w:t xml:space="preserve"> </w:t>
      </w:r>
      <w:r>
        <w:t xml:space="preserve">(zero discordant pairs).</w:t>
      </w:r>
    </w:p>
    <w:bookmarkEnd w:id="36"/>
    <w:bookmarkStart w:id="37"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37"/>
    <w:bookmarkEnd w:id="38"/>
    <w:bookmarkStart w:id="44"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 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39"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39"/>
    <w:bookmarkStart w:id="43" w:name="fig:sweep"/>
    <w:p>
      <w:pPr>
        <w:pStyle w:val="CaptionedFigure"/>
      </w:pPr>
      <w:r>
        <w:drawing>
          <wp:inline>
            <wp:extent cx="5334000" cy="3225209"/>
            <wp:effectExtent b="0" l="0" r="0" t="0"/>
            <wp:docPr descr="" title="" id="41" name="Picture"/>
            <a:graphic>
              <a:graphicData uri="http://schemas.openxmlformats.org/drawingml/2006/picture">
                <pic:pic>
                  <pic:nvPicPr>
                    <pic:cNvPr descr="figs/tact_sweep.png" id="42" name="Picture"/>
                    <pic:cNvPicPr>
                      <a:picLocks noChangeArrowheads="1" noChangeAspect="1"/>
                    </pic:cNvPicPr>
                  </pic:nvPicPr>
                  <pic:blipFill>
                    <a:blip r:embed="rId40"/>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43"/>
    <w:bookmarkEnd w:id="44"/>
    <w:bookmarkStart w:id="62" w:name="sec:results"/>
    <w:p>
      <w:pPr>
        <w:pStyle w:val="Heading1"/>
      </w:pPr>
      <w:r>
        <w:t xml:space="preserve">Results</w:t>
      </w:r>
    </w:p>
    <w:bookmarkStart w:id="46"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45"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45"/>
    <w:bookmarkEnd w:id="46"/>
    <w:bookmarkStart w:id="51"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50" w:name="fig:adv"/>
    <w:p>
      <w:pPr>
        <w:pStyle w:val="CaptionedFigure"/>
      </w:pPr>
      <w:r>
        <w:drawing>
          <wp:inline>
            <wp:extent cx="5334000" cy="2726266"/>
            <wp:effectExtent b="0" l="0" r="0" t="0"/>
            <wp:docPr descr="" title="" id="48" name="Picture"/>
            <a:graphic>
              <a:graphicData uri="http://schemas.openxmlformats.org/drawingml/2006/picture">
                <pic:pic>
                  <pic:nvPicPr>
                    <pic:cNvPr descr="figs/tact_adversarial.png" id="49" name="Picture"/>
                    <pic:cNvPicPr>
                      <a:picLocks noChangeArrowheads="1" noChangeAspect="1"/>
                    </pic:cNvPicPr>
                  </pic:nvPicPr>
                  <pic:blipFill>
                    <a:blip r:embed="rId47"/>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50"/>
    <w:bookmarkEnd w:id="51"/>
    <w:bookmarkStart w:id="57"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 (dev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52"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52"/>
    <w:bookmarkStart w:id="56" w:name="fig:group"/>
    <w:p>
      <w:pPr>
        <w:pStyle w:val="CaptionedFigure"/>
      </w:pPr>
      <w:r>
        <w:drawing>
          <wp:inline>
            <wp:extent cx="5334000" cy="2133600"/>
            <wp:effectExtent b="0" l="0" r="0" t="0"/>
            <wp:docPr descr="" title="" id="54" name="Picture"/>
            <a:graphic>
              <a:graphicData uri="http://schemas.openxmlformats.org/drawingml/2006/picture">
                <pic:pic>
                  <pic:nvPicPr>
                    <pic:cNvPr descr="figs/group_eval.png" id="55" name="Picture"/>
                    <pic:cNvPicPr>
                      <a:picLocks noChangeArrowheads="1" noChangeAspect="1"/>
                    </pic:cNvPicPr>
                  </pic:nvPicPr>
                  <pic:blipFill>
                    <a:blip r:embed="rId53"/>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56"/>
    <w:bookmarkEnd w:id="57"/>
    <w:bookmarkStart w:id="58"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58"/>
    <w:bookmarkStart w:id="60" w:name="sec:tests"/>
    <w:p>
      <w:pPr>
        <w:pStyle w:val="Heading2"/>
      </w:pPr>
      <w:r>
        <w:t xml:space="preserve">Verification of the implementation</w:t>
      </w:r>
    </w:p>
    <w:p>
      <w:pPr>
        <w:pStyle w:val="FirstParagraph"/>
      </w:pPr>
      <w:r>
        <w:t xml:space="preserve">Because every claim in Sections </w:t>
      </w:r>
      <w:hyperlink w:anchor="sec:method">
        <w:r>
          <w:rPr>
            <w:rStyle w:val="Hyperlink"/>
          </w:rPr>
          <w:t xml:space="preserve">4</w:t>
        </w:r>
      </w:hyperlink>
      <w:r>
        <w:t xml:space="preserve">–</w:t>
      </w:r>
      <w:hyperlink w:anchor="sec:hetero">
        <w:r>
          <w:rPr>
            <w:rStyle w:val="Hyperlink"/>
          </w:rPr>
          <w:t xml:space="preserve">6</w:t>
        </w:r>
      </w:hyperlink>
      <w:r>
        <w:t xml:space="preserve"> </w:t>
      </w:r>
      <w:r>
        <w:t xml:space="preserve">is a</w:t>
      </w:r>
      <w:r>
        <w:t xml:space="preserve"> </w:t>
      </w:r>
      <w:r>
        <w:t xml:space="preserve">mathematical property rather than an empirical trend, the released code pins</w:t>
      </w:r>
      <w:r>
        <w:t xml:space="preserve"> </w:t>
      </w:r>
      <w:r>
        <w:t xml:space="preserve">each one with an executable test; the suite is 76 tests for</w:t>
      </w:r>
      <w:r>
        <w:t xml:space="preserve"> </w:t>
      </w:r>
      <w:r>
        <w:rPr>
          <w:smallCaps/>
        </w:rPr>
        <w:t xml:space="preserve">tact</w:t>
      </w:r>
      <w:r>
        <w:t xml:space="preserve"> </w:t>
      </w:r>
      <w:r>
        <w:t xml:space="preserve">(84</w:t>
      </w:r>
      <w:r>
        <w:t xml:space="preserve"> </w:t>
      </w:r>
      <w:r>
        <w:t xml:space="preserve">including the follow-on work) and runs in 14 seconds. Table </w:t>
      </w:r>
      <w:hyperlink w:anchor="tab:tests">
        <w:r>
          <w:rPr>
            <w:rStyle w:val="Hyperlink"/>
          </w:rPr>
          <w:t xml:space="preserve">4</w:t>
        </w:r>
      </w:hyperlink>
      <w:r>
        <w:t xml:space="preserve"> </w:t>
      </w:r>
      <w:r>
        <w:t xml:space="preserve">maps propositions to the tests that would fail if they stopped holding.</w:t>
      </w:r>
    </w:p>
    <w:bookmarkStart w:id="59" w:name="tab:tests"/>
    <w:p>
      <w:pPr>
        <w:pStyle w:val="TableCaption"/>
      </w:pPr>
      <w:r>
        <w:t xml:space="preserve">What the test suite verifies. Every proposition in the paper has an</w:t>
      </w:r>
      <w:r>
        <w:t xml:space="preserve"> </w:t>
      </w:r>
      <w:r>
        <w:t xml:space="preserve">executable counterpart; the counter-tests fail deliberately on rejected</w:t>
      </w:r>
      <w:r>
        <w:t xml:space="preserve"> </w:t>
      </w:r>
      <w:r>
        <w:t xml:space="preserve">alternatives so a regression cannot silently reinstate them.</w:t>
      </w:r>
    </w:p>
    <w:tbl>
      <w:tblPr>
        <w:tblStyle w:val="Table"/>
        <w:tblW w:type="auto" w:w="0"/>
        <w:tblLook w:firstRow="1" w:lastRow="0" w:firstColumn="0" w:lastColumn="0" w:noHBand="0" w:noVBand="0" w:val="0020"/>
        <w:tblCaption w:val="What the test suite verifies. Every proposition in the paper has an executable counterpart; the counter-tests fail deliberately on rejected alternatives so a regression cannot silently reinstate them."/>
      </w:tblPr>
      <w:tblGrid>
        <w:gridCol w:w="2640"/>
        <w:gridCol w:w="2640"/>
        <w:gridCol w:w="2640"/>
      </w:tblGrid>
      <w:tr>
        <w:trPr>
          <w:tblHeader w:val="on"/>
        </w:trPr>
        <w:tc>
          <w:tcPr/>
          <w:p>
            <w:pPr>
              <w:pStyle w:val="Compact"/>
              <w:jc w:val="left"/>
            </w:pPr>
            <w:r>
              <w:t xml:space="preserve">Claim</w:t>
            </w:r>
          </w:p>
        </w:tc>
        <w:tc>
          <w:tcPr/>
          <w:p>
            <w:pPr>
              <w:pStyle w:val="Compact"/>
              <w:jc w:val="left"/>
            </w:pPr>
            <w:r>
              <w:t xml:space="preserve">Test</w:t>
            </w:r>
          </w:p>
        </w:tc>
        <w:tc>
          <w:tcPr/>
          <w:p>
            <w:pPr>
              <w:pStyle w:val="Compact"/>
              <w:jc w:val="left"/>
            </w:pPr>
            <w:r>
              <w:t xml:space="preserve">Evidence</w:t>
            </w:r>
          </w:p>
        </w:tc>
      </w:tr>
      <w:tr>
        <w:tc>
          <w:tcPr/>
          <w:p>
            <w:pPr>
              <w:pStyle w:val="Compact"/>
              <w:jc w:val="left"/>
            </w:pPr>
            <w:r>
              <w:t xml:space="preserve">Prop. </w:t>
            </w:r>
            <w:hyperlink w:anchor="prop:sc">
              <w:r>
                <w:rPr>
                  <w:rStyle w:val="Hyperlink"/>
                </w:rPr>
                <w:t xml:space="preserve">1</w:t>
              </w:r>
            </w:hyperlink>
            <w:r>
              <w:t xml:space="preserve"> </w:t>
            </w:r>
            <w:r>
              <w:t xml:space="preserve">(exact</w:t>
            </w:r>
            <w:r>
              <w:t xml:space="preserve"> </w:t>
            </w:r>
            <w:r>
              <w:rPr>
                <w:smallCaps/>
              </w:rPr>
              <w:t xml:space="preserve">sc</w:t>
            </w:r>
            <w:r>
              <w:t xml:space="preserve">)</w:t>
            </w:r>
          </w:p>
        </w:tc>
        <w:tc>
          <w:tcPr/>
          <w:p>
            <w:pPr>
              <w:pStyle w:val="Compact"/>
              <w:jc w:val="left"/>
            </w:pPr>
            <w:r>
              <w:rPr>
                <w:rStyle w:val="VerbatimChar"/>
              </w:rPr>
              <w:t xml:space="preserve">gamma_zero_is_</w:t>
            </w:r>
            <w:r>
              <w:t xml:space="preserve"> </w:t>
            </w:r>
            <w:r>
              <w:rPr>
                <w:rStyle w:val="VerbatimChar"/>
              </w:rPr>
              <w:t xml:space="preserve">bitwise_sc</w:t>
            </w:r>
          </w:p>
        </w:tc>
        <w:tc>
          <w:tcPr/>
          <w:p>
            <w:pPr>
              <w:pStyle w:val="Compact"/>
              <w:jc w:val="left"/>
            </w:pPr>
            <w:r>
              <w:t xml:space="preserve">200 random pools, identical incl. ties</w:t>
            </w:r>
          </w:p>
        </w:tc>
      </w:tr>
      <w:tr>
        <w:tc>
          <w:tcPr/>
          <w:p>
            <w:pPr>
              <w:pStyle w:val="Compact"/>
              <w:jc w:val="left"/>
            </w:pPr>
            <w:r>
              <w:t xml:space="preserve">Dead-zone rate</w:t>
            </w:r>
          </w:p>
        </w:tc>
        <w:tc>
          <w:tcPr/>
          <w:p>
            <w:pPr>
              <w:pStyle w:val="Compact"/>
              <w:jc w:val="left"/>
            </w:pPr>
            <w:r>
              <w:rPr>
                <w:rStyle w:val="VerbatimChar"/>
              </w:rPr>
              <w:t xml:space="preserve">dead_zone_</w:t>
            </w:r>
            <w:r>
              <w:t xml:space="preserve"> </w:t>
            </w:r>
            <w:r>
              <w:rPr>
                <w:rStyle w:val="VerbatimChar"/>
              </w:rPr>
              <w:t xml:space="preserve">probability</w:t>
            </w:r>
          </w:p>
        </w:tc>
        <w:tc>
          <w:tcPr/>
          <w:p>
            <w:pPr>
              <w:pStyle w:val="Compact"/>
              <w:jc w:val="left"/>
            </w:pPr>
            <m:oMath>
              <m:r>
                <m:rPr>
                  <m:sty m:val="p"/>
                </m:rPr>
                <m:t>&gt;</m:t>
              </m:r>
            </m:oMath>
            <w:r>
              <w:t xml:space="preserve">70% under</w:t>
            </w:r>
            <w:r>
              <w:t xml:space="preserve"> </w:t>
            </w:r>
            <m:oMath>
              <m:r>
                <m:t>D</m:t>
              </m:r>
              <m:r>
                <m:rPr>
                  <m:sty m:val="p"/>
                </m:rPr>
                <m:t>=</m:t>
              </m:r>
              <m:r>
                <m:t>0</m:t>
              </m:r>
            </m:oMath>
            <w:r>
              <w:t xml:space="preserve">, 300 trials</w:t>
            </w:r>
          </w:p>
        </w:tc>
      </w:tr>
      <w:tr>
        <w:tc>
          <w:tcPr/>
          <w:p>
            <w:pPr>
              <w:pStyle w:val="Compact"/>
              <w:jc w:val="left"/>
            </w:pPr>
            <w:r>
              <w:t xml:space="preserve">Prop. </w:t>
            </w:r>
            <w:hyperlink w:anchor="prop:cisc">
              <w:r>
                <w:rPr>
                  <w:rStyle w:val="Hyperlink"/>
                </w:rPr>
                <w:t xml:space="preserve">2</w:t>
              </w:r>
            </w:hyperlink>
            <w:r>
              <w:t xml:space="preserve"> </w:t>
            </w:r>
            <w:r>
              <w:t xml:space="preserve">(exact CISC)</w:t>
            </w:r>
          </w:p>
        </w:tc>
        <w:tc>
          <w:tcPr/>
          <w:p>
            <w:pPr>
              <w:pStyle w:val="Compact"/>
              <w:jc w:val="left"/>
            </w:pPr>
            <w:r>
              <w:rPr>
                <w:rStyle w:val="VerbatimChar"/>
              </w:rPr>
              <w:t xml:space="preserve">logval_phi_</w:t>
            </w:r>
            <w:r>
              <w:t xml:space="preserve"> </w:t>
            </w:r>
            <w:r>
              <w:rPr>
                <w:rStyle w:val="VerbatimChar"/>
              </w:rPr>
              <w:t xml:space="preserve">reproduces_cisc</w:t>
            </w:r>
          </w:p>
        </w:tc>
        <w:tc>
          <w:tcPr/>
          <w:p>
            <w:pPr>
              <w:pStyle w:val="Compact"/>
              <w:jc w:val="left"/>
            </w:pPr>
            <w:r>
              <w:t xml:space="preserve">identical vote shares, 100 pools</w:t>
            </w:r>
          </w:p>
        </w:tc>
      </w:tr>
      <w:tr>
        <w:tc>
          <w:tcPr/>
          <w:p>
            <w:pPr>
              <w:pStyle w:val="Compact"/>
              <w:jc w:val="left"/>
            </w:pPr>
            <w:r>
              <w:t xml:space="preserve">Rank invariance</w:t>
            </w:r>
          </w:p>
        </w:tc>
        <w:tc>
          <w:tcPr/>
          <w:p>
            <w:pPr>
              <w:pStyle w:val="Compact"/>
              <w:jc w:val="left"/>
            </w:pPr>
            <w:r>
              <w:rPr>
                <w:rStyle w:val="VerbatimChar"/>
              </w:rPr>
              <w:t xml:space="preserve">monotone_</w:t>
            </w:r>
            <w:r>
              <w:t xml:space="preserve"> </w:t>
            </w:r>
            <w:r>
              <w:rPr>
                <w:rStyle w:val="VerbatimChar"/>
              </w:rPr>
              <w:t xml:space="preserve">invariance</w:t>
            </w:r>
          </w:p>
        </w:tc>
        <w:tc>
          <w:tcPr/>
          <w:p>
            <w:pPr>
              <w:pStyle w:val="Compact"/>
              <w:jc w:val="left"/>
            </w:pPr>
            <w:r>
              <w:t xml:space="preserve">3 distortions</w:t>
            </w:r>
            <w:r>
              <w:t xml:space="preserve"> </w:t>
            </w:r>
            <m:oMath>
              <m:r>
                <m:rPr>
                  <m:sty m:val="p"/>
                </m:rPr>
                <m:t>×</m:t>
              </m:r>
            </m:oMath>
            <w:r>
              <w:t xml:space="preserve"> </w:t>
            </w:r>
            <w:r>
              <w:t xml:space="preserve">100 pools</w:t>
            </w:r>
          </w:p>
        </w:tc>
      </w:tr>
      <w:tr>
        <w:tc>
          <w:tcPr/>
          <w:p>
            <w:pPr>
              <w:pStyle w:val="Compact"/>
              <w:jc w:val="left"/>
            </w:pPr>
            <w:r>
              <w:t xml:space="preserve">Null variance</w:t>
            </w:r>
          </w:p>
        </w:tc>
        <w:tc>
          <w:tcPr/>
          <w:p>
            <w:pPr>
              <w:pStyle w:val="Compact"/>
              <w:jc w:val="left"/>
            </w:pPr>
            <w:r>
              <w:rPr>
                <w:rStyle w:val="VerbatimChar"/>
              </w:rPr>
              <w:t xml:space="preserve">null_variance_</w:t>
            </w:r>
            <w:r>
              <w:t xml:space="preserve"> </w:t>
            </w:r>
            <w:r>
              <w:rPr>
                <w:rStyle w:val="VerbatimChar"/>
              </w:rPr>
              <w:t xml:space="preserve">matches_permutation</w:t>
            </w:r>
          </w:p>
        </w:tc>
        <w:tc>
          <w:tcPr/>
          <w:p>
            <w:pPr>
              <w:pStyle w:val="Compact"/>
              <w:jc w:val="left"/>
            </w:pPr>
            <w:r>
              <w:t xml:space="preserve">3</w:t>
            </w:r>
            <w:r>
              <w:t xml:space="preserve">,</w:t>
            </w:r>
            <w:r>
              <w:t xml:space="preserve">000-draw permutation, 10% tol. </w:t>
            </w:r>
          </w:p>
        </w:tc>
      </w:tr>
      <w:tr>
        <w:tc>
          <w:tcPr/>
          <w:p>
            <w:pPr>
              <w:pStyle w:val="Compact"/>
              <w:jc w:val="left"/>
            </w:pPr>
            <w:r>
              <w:t xml:space="preserve">JS–EB identity</w:t>
            </w:r>
          </w:p>
        </w:tc>
        <w:tc>
          <w:tcPr/>
          <w:p>
            <w:pPr>
              <w:pStyle w:val="Compact"/>
              <w:jc w:val="left"/>
            </w:pPr>
            <w:r>
              <w:rPr>
                <w:rStyle w:val="VerbatimChar"/>
              </w:rPr>
              <w:t xml:space="preserve">js_eb_identity</w:t>
            </w:r>
          </w:p>
        </w:tc>
        <w:tc>
          <w:tcPr/>
          <w:p>
            <w:pPr>
              <w:pStyle w:val="Compact"/>
              <w:jc w:val="left"/>
            </w:pPr>
            <w:r>
              <w:t xml:space="preserve">exact to</w:t>
            </w:r>
            <w:r>
              <w:t xml:space="preserve"> </w:t>
            </w:r>
            <m:oMath>
              <m:sSup>
                <m:e>
                  <m:r>
                    <m:t>10</m:t>
                  </m:r>
                </m:e>
                <m:sup>
                  <m:r>
                    <m:rPr>
                      <m:sty m:val="p"/>
                    </m:rPr>
                    <m:t>−</m:t>
                  </m:r>
                  <m:r>
                    <m:t>12</m:t>
                  </m:r>
                </m:sup>
              </m:sSup>
            </m:oMath>
          </w:p>
        </w:tc>
      </w:tr>
      <w:tr>
        <w:tc>
          <w:tcPr/>
          <w:p>
            <w:pPr>
              <w:pStyle w:val="Compact"/>
              <w:jc w:val="left"/>
            </w:pPr>
            <w:r>
              <w:t xml:space="preserve">Link</w:t>
            </w:r>
            <w:r>
              <w:t xml:space="preserve"> </w:t>
            </w:r>
            <w:hyperlink w:anchor="eq:link">
              <w:r>
                <w:rPr>
                  <w:rStyle w:val="Hyperlink"/>
                </w:rPr>
                <w:t xml:space="preserve">[eq:link]</w:t>
              </w:r>
            </w:hyperlink>
          </w:p>
        </w:tc>
        <w:tc>
          <w:tcPr/>
          <w:p>
            <w:pPr>
              <w:pStyle w:val="Compact"/>
              <w:jc w:val="left"/>
            </w:pPr>
            <w:r>
              <w:rPr>
                <w:rStyle w:val="VerbatimChar"/>
              </w:rPr>
              <w:t xml:space="preserve">link_values_and_</w:t>
            </w:r>
            <w:r>
              <w:t xml:space="preserve"> </w:t>
            </w:r>
            <w:r>
              <w:rPr>
                <w:rStyle w:val="VerbatimChar"/>
              </w:rPr>
              <w:t xml:space="preserve">mixture_correction</w:t>
            </w:r>
          </w:p>
        </w:tc>
        <w:tc>
          <w:tcPr/>
          <w:p>
            <w:pPr>
              <w:pStyle w:val="Compact"/>
              <w:jc w:val="left"/>
            </w:pPr>
            <w:r>
              <w:t xml:space="preserve">closed form, rel. </w:t>
            </w:r>
            <m:oMath>
              <m:sSup>
                <m:e>
                  <m:r>
                    <m:t>10</m:t>
                  </m:r>
                </m:e>
                <m:sup>
                  <m:r>
                    <m:rPr>
                      <m:sty m:val="p"/>
                    </m:rPr>
                    <m:t>−</m:t>
                  </m:r>
                  <m:r>
                    <m:t>9</m:t>
                  </m:r>
                </m:sup>
              </m:sSup>
            </m:oMath>
          </w:p>
        </w:tc>
      </w:tr>
      <w:tr>
        <w:tc>
          <w:tcPr/>
          <w:p>
            <w:pPr>
              <w:pStyle w:val="Compact"/>
              <w:jc w:val="left"/>
            </w:pPr>
            <w:r>
              <w:t xml:space="preserve">Prop. </w:t>
            </w:r>
            <w:hyperlink w:anchor="prop:ccn">
              <w:r>
                <w:rPr>
                  <w:rStyle w:val="Hyperlink"/>
                </w:rPr>
                <w:t xml:space="preserve">4</w:t>
              </w:r>
            </w:hyperlink>
            <w:r>
              <w:t xml:space="preserve"> </w:t>
            </w:r>
            <w:r>
              <w:t xml:space="preserve">(attenuation)</w:t>
            </w:r>
          </w:p>
        </w:tc>
        <w:tc>
          <w:tcPr/>
          <w:p>
            <w:pPr>
              <w:pStyle w:val="Compact"/>
              <w:jc w:val="left"/>
            </w:pPr>
            <w:r>
              <w:rPr>
                <w:rStyle w:val="VerbatimChar"/>
              </w:rPr>
              <w:t xml:space="preserve">poisoning_</w:t>
            </w:r>
            <w:r>
              <w:t xml:space="preserve"> </w:t>
            </w:r>
            <w:r>
              <w:rPr>
                <w:rStyle w:val="VerbatimChar"/>
              </w:rPr>
              <w:t xml:space="preserve">attenuation_linear</w:t>
            </w:r>
          </w:p>
        </w:tc>
        <w:tc>
          <w:tcPr/>
          <w:p>
            <w:pPr>
              <w:pStyle w:val="Compact"/>
              <w:jc w:val="left"/>
            </w:pPr>
            <m:oMath>
              <m:r>
                <m:t>ρ</m:t>
              </m:r>
              <m:r>
                <m:rPr>
                  <m:sty m:val="p"/>
                </m:rPr>
                <m:t>∈</m:t>
              </m:r>
              <m:r>
                <m:rPr>
                  <m:sty m:val="p"/>
                </m:rPr>
                <m:t>{</m:t>
              </m:r>
              <m:r>
                <m:t>.1</m:t>
              </m:r>
              <m:r>
                <m:rPr>
                  <m:sty m:val="p"/>
                </m:rPr>
                <m:t>,</m:t>
              </m:r>
              <m:r>
                <m:t>.25</m:t>
              </m:r>
              <m:r>
                <m:rPr>
                  <m:sty m:val="p"/>
                </m:rPr>
                <m:t>,</m:t>
              </m:r>
              <m:r>
                <m:t>.4</m:t>
              </m:r>
              <m:r>
                <m:rPr>
                  <m:sty m:val="p"/>
                </m:rPr>
                <m:t>}</m:t>
              </m:r>
            </m:oMath>
            <w:r>
              <w:t xml:space="preserve">, abs. </w:t>
            </w:r>
            <m:oMath>
              <m:r>
                <m:t>.06</m:t>
              </m:r>
            </m:oMath>
          </w:p>
        </w:tc>
      </w:tr>
      <w:tr>
        <w:tc>
          <w:tcPr/>
          <w:p>
            <w:pPr>
              <w:pStyle w:val="Compact"/>
              <w:jc w:val="left"/>
            </w:pPr>
            <w:r>
              <w:t xml:space="preserve">Props. </w:t>
            </w:r>
            <w:hyperlink w:anchor="prop:selfreinf">
              <w:r>
                <w:rPr>
                  <w:rStyle w:val="Hyperlink"/>
                </w:rPr>
                <w:t xml:space="preserve">5</w:t>
              </w:r>
            </w:hyperlink>
            <w:r>
              <w:t xml:space="preserve">–</w:t>
            </w:r>
            <w:hyperlink w:anchor="prop:twoworld">
              <w:r>
                <w:rPr>
                  <w:rStyle w:val="Hyperlink"/>
                </w:rPr>
                <w:t xml:space="preserve">7</w:t>
              </w:r>
            </w:hyperlink>
          </w:p>
        </w:tc>
        <w:tc>
          <w:tcPr/>
          <w:p>
            <w:pPr>
              <w:pStyle w:val="Compact"/>
              <w:jc w:val="left"/>
            </w:pPr>
            <w:r>
              <w:rPr>
                <w:rStyle w:val="VerbatimChar"/>
              </w:rPr>
              <w:t xml:space="preserve">test_tact_group.py</w:t>
            </w:r>
          </w:p>
        </w:tc>
        <w:tc>
          <w:tcPr/>
          <w:p>
            <w:pPr>
              <w:pStyle w:val="Compact"/>
              <w:jc w:val="left"/>
            </w:pPr>
            <w:r>
              <w:t xml:space="preserve">97.5%</w:t>
            </w:r>
            <w:r>
              <w:t xml:space="preserve"> </w:t>
            </w:r>
            <w:r>
              <w:rPr>
                <w:smallCaps/>
              </w:rPr>
              <w:t xml:space="preserve">sc</w:t>
            </w:r>
            <w:r>
              <w:t xml:space="preserve"> </w:t>
            </w:r>
            <w:r>
              <w:t xml:space="preserve">agreement; 4% sign match</w:t>
            </w:r>
          </w:p>
        </w:tc>
      </w:tr>
      <w:tr>
        <w:tc>
          <w:tcPr/>
          <w:p>
            <w:pPr>
              <w:pStyle w:val="Compact"/>
              <w:jc w:val="left"/>
            </w:pPr>
            <w:r>
              <w:t xml:space="preserve">Estimator permutation-invariance</w:t>
            </w:r>
          </w:p>
        </w:tc>
        <w:tc>
          <w:tcPr/>
          <w:p>
            <w:pPr>
              <w:pStyle w:val="Compact"/>
              <w:jc w:val="left"/>
            </w:pPr>
            <w:r>
              <w:rPr>
                <w:rStyle w:val="VerbatimChar"/>
              </w:rPr>
              <w:t xml:space="preserve">estimator_is_</w:t>
            </w:r>
            <w:r>
              <w:t xml:space="preserve"> </w:t>
            </w:r>
            <w:r>
              <w:rPr>
                <w:rStyle w:val="VerbatimChar"/>
              </w:rPr>
              <w:t xml:space="preserve">permutation_invariant</w:t>
            </w:r>
          </w:p>
        </w:tc>
        <w:tc>
          <w:tcPr/>
          <w:p>
            <w:pPr>
              <w:pStyle w:val="Compact"/>
              <w:jc w:val="left"/>
            </w:pPr>
            <w:r>
              <w:t xml:space="preserve">bypasses the memo (regression test)</w:t>
            </w:r>
          </w:p>
        </w:tc>
      </w:tr>
      <w:tr>
        <w:tc>
          <w:tcPr/>
          <w:p>
            <w:pPr>
              <w:pStyle w:val="Compact"/>
              <w:jc w:val="left"/>
            </w:pPr>
            <w:r>
              <w:t xml:space="preserve">Rejected: Kish ESS</w:t>
            </w:r>
          </w:p>
        </w:tc>
        <w:tc>
          <w:tcPr/>
          <w:p>
            <w:pPr>
              <w:pStyle w:val="Compact"/>
              <w:jc w:val="left"/>
            </w:pPr>
            <w:r>
              <w:rPr>
                <w:rStyle w:val="VerbatimChar"/>
              </w:rPr>
              <w:t xml:space="preserve">kish_fails_T2_T3</w:t>
            </w:r>
          </w:p>
        </w:tc>
        <w:tc>
          <w:tcPr/>
          <w:p>
            <w:pPr>
              <w:pStyle w:val="Compact"/>
              <w:jc w:val="left"/>
            </w:pPr>
            <w:r>
              <w:t xml:space="preserve">asserts the failure</w:t>
            </w:r>
          </w:p>
        </w:tc>
      </w:tr>
      <w:tr>
        <w:tc>
          <w:tcPr/>
          <w:p>
            <w:pPr>
              <w:pStyle w:val="Compact"/>
              <w:jc w:val="left"/>
            </w:pPr>
            <w:r>
              <w:t xml:space="preserve">Rejected: SAFE guarantee under VoI</w:t>
            </w:r>
          </w:p>
        </w:tc>
        <w:tc>
          <w:tcPr/>
          <w:p>
            <w:pPr>
              <w:pStyle w:val="Compact"/>
              <w:jc w:val="left"/>
            </w:pPr>
            <w:r>
              <w:rPr>
                <w:rStyle w:val="VerbatimChar"/>
              </w:rPr>
              <w:t xml:space="preserve">frozen_default_</w:t>
            </w:r>
            <w:r>
              <w:t xml:space="preserve"> </w:t>
            </w:r>
            <w:r>
              <w:rPr>
                <w:rStyle w:val="VerbatimChar"/>
              </w:rPr>
              <w:t xml:space="preserve">breaks_guarantee</w:t>
            </w:r>
          </w:p>
        </w:tc>
        <w:tc>
          <w:tcPr/>
          <w:p>
            <w:pPr>
              <w:pStyle w:val="Compact"/>
              <w:jc w:val="left"/>
            </w:pPr>
            <w:r>
              <w:t xml:space="preserve">asserts the violation</w:t>
            </w:r>
          </w:p>
        </w:tc>
      </w:tr>
    </w:tbl>
    <w:bookmarkEnd w:id="59"/>
    <w:p>
      <w:pPr>
        <w:pStyle w:val="BodyText"/>
      </w:pPr>
      <w:r>
        <w:t xml:space="preserve">Two entries deserve comment. The permutation-invariance test was added after a</w:t>
      </w:r>
      <w:r>
        <w:t xml:space="preserve"> </w:t>
      </w:r>
      <w:r>
        <w:t xml:space="preserve">defect in which the memoisation key made the</w:t>
      </w:r>
      <w:r>
        <w:t xml:space="preserve"> </w:t>
      </w:r>
      <w:r>
        <w:rPr>
          <w:i/>
          <w:iCs/>
        </w:rPr>
        <w:t xml:space="preserve">test</w:t>
      </w:r>
      <w:r>
        <w:t xml:space="preserve"> </w:t>
      </w:r>
      <w:r>
        <w:t xml:space="preserve">pass while the</w:t>
      </w:r>
      <w:r>
        <w:t xml:space="preserve"> </w:t>
      </w:r>
      <w:r>
        <w:t xml:space="preserve">estimator itself was order-dependent by up to</w:t>
      </w:r>
      <w:r>
        <w:t xml:space="preserve"> </w:t>
      </w:r>
      <m:oMath>
        <m:r>
          <m:t>0.10</m:t>
        </m:r>
      </m:oMath>
      <w:r>
        <w:t xml:space="preserve">; it now calls the internal</w:t>
      </w:r>
      <w:r>
        <w:t xml:space="preserve"> </w:t>
      </w:r>
      <w:r>
        <w:t xml:space="preserve">routine directly. And the last two rows are counter-tests that assert</w:t>
      </w:r>
      <w:r>
        <w:t xml:space="preserve"> </w:t>
      </w:r>
      <w:r>
        <w:rPr>
          <w:i/>
          <w:iCs/>
        </w:rPr>
        <w:t xml:space="preserve">failure</w:t>
      </w:r>
      <w:r>
        <w:t xml:space="preserve"> </w:t>
      </w:r>
      <w:r>
        <w:t xml:space="preserve">of rejected alternatives — the Kish effective-sample-size</w:t>
      </w:r>
      <w:r>
        <w:t xml:space="preserve"> </w:t>
      </w:r>
      <w:r>
        <w:t xml:space="preserve">formulation and the claim that the shipped default honours the SAFE stopping</w:t>
      </w:r>
      <w:r>
        <w:t xml:space="preserve"> </w:t>
      </w:r>
      <w:r>
        <w:t xml:space="preserve">guarantee — so that neither can be silently reinstated by a later change.</w:t>
      </w:r>
    </w:p>
    <w:bookmarkEnd w:id="60"/>
    <w:bookmarkStart w:id="61"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w:t>
      </w:r>
      <w:r>
        <w:t xml:space="preserve"> </w:t>
      </w:r>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rPr>
          <w:i/>
          <w:iCs/>
        </w:rPr>
        <w:t xml:space="preserve">(e) A second campaign on harder items confirms the prediction of (c).</w:t>
      </w:r>
      <w:r>
        <w:t xml:space="preserve"> </w:t>
      </w:r>
      <w:r>
        <w:t xml:space="preserve">A pre-registered follow-up collected</w:t>
      </w:r>
      <w:r>
        <w:t xml:space="preserve"> </w:t>
      </w:r>
      <m:oMath>
        <m:r>
          <m:t>119</m:t>
        </m:r>
      </m:oMath>
      <w:r>
        <w:t xml:space="preserve"> </w:t>
      </w:r>
      <w:r>
        <w:t xml:space="preserve">MATH level-5 items</w:t>
      </w:r>
      <w:r>
        <w:t xml:space="preserve"> </w:t>
      </w:r>
      <w:r>
        <w:t xml:space="preserve"> </w:t>
      </w:r>
      <m:oMath>
        <m:r>
          <m:rPr>
            <m:sty m:val="p"/>
          </m:rPr>
          <m:t>×</m:t>
        </m:r>
      </m:oMath>
      <w:r>
        <w:t xml:space="preserve"> </w:t>
      </w:r>
      <m:oMath>
        <m:r>
          <m:t>16</m:t>
        </m:r>
      </m:oMath>
      <w:r>
        <w:t xml:space="preserve"> </w:t>
      </w:r>
      <w:r>
        <w:t xml:space="preserve">traces from the same frozen model (sign set</w:t>
      </w:r>
      <w:r>
        <w:t xml:space="preserve"> </w:t>
      </w:r>
      <m:oMath>
        <m:r>
          <m:t>30</m:t>
        </m:r>
      </m:oMath>
      <w:r>
        <w:t xml:space="preserve">, evaluation set</w:t>
      </w:r>
      <w:r>
        <w:t xml:space="preserve"> </w:t>
      </w:r>
      <m:oMath>
        <m:r>
          <m:t>89</m:t>
        </m:r>
      </m:oMath>
      <w:r>
        <w:t xml:space="preserve">). The channel prediction came true: pooled</w:t>
      </w:r>
      <w:r>
        <w:t xml:space="preserve"> </w:t>
      </w:r>
      <m:oMath>
        <m:acc>
          <m:accPr>
            <m:chr m:val="̂"/>
          </m:accPr>
          <m:e>
            <m:r>
              <m:t>D</m:t>
            </m:r>
          </m:e>
        </m:acc>
        <m:r>
          <m:rPr>
            <m:sty m:val="p"/>
          </m:rPr>
          <m:t>=</m:t>
        </m:r>
        <m:r>
          <m:rPr>
            <m:sty m:val="p"/>
          </m:rPr>
          <m:t>+</m:t>
        </m:r>
        <m:r>
          <m:t>0.250</m:t>
        </m:r>
      </m:oMath>
      <w:r>
        <w:t xml:space="preserve">,</w:t>
      </w:r>
      <w:r>
        <w:t xml:space="preserve"> </w:t>
      </w:r>
      <m:oMath>
        <m:r>
          <m:rPr>
            <m:sty m:val="p"/>
          </m:rPr>
          <m:t>S</m:t>
        </m:r>
        <m:r>
          <m:rPr>
            <m:sty m:val="p"/>
          </m:rPr>
          <m:t>E</m:t>
        </m:r>
        <m:r>
          <m:rPr>
            <m:sty m:val="p"/>
          </m:rPr>
          <m:t>=</m:t>
        </m:r>
        <m:r>
          <m:t>0.098</m:t>
        </m:r>
      </m:oMath>
      <w:r>
        <w:t xml:space="preserve"> </w:t>
      </w:r>
      <w:r>
        <w:t xml:space="preserve">(</w:t>
      </w:r>
      <m:oMath>
        <m:r>
          <m:t>z</m:t>
        </m:r>
        <m:r>
          <m:rPr>
            <m:sty m:val="p"/>
          </m:rPr>
          <m:t>=</m:t>
        </m:r>
        <m:r>
          <m:rPr>
            <m:sty m:val="p"/>
          </m:rPr>
          <m:t>+</m:t>
        </m:r>
        <m:r>
          <m:t>2.54</m:t>
        </m:r>
      </m:oMath>
      <w:r>
        <w:t xml:space="preserve">), the first real-trace confirmation that the</w:t>
      </w:r>
      <w:r>
        <w:t xml:space="preserve"> </w:t>
      </w:r>
      <w:r>
        <w:t xml:space="preserve">verbalized-confidence channel carries positive within-item discrimination.</w:t>
      </w:r>
      <w:r>
        <w:t xml:space="preserve"> </w:t>
      </w:r>
      <w:r>
        <w:t xml:space="preserve">Saturation, however, still forecloses the aggregation endpoint: per-trace</w:t>
      </w:r>
      <w:r>
        <w:t xml:space="preserve"> </w:t>
      </w:r>
      <w:r>
        <w:t xml:space="preserve">accuracy is</w:t>
      </w:r>
      <w:r>
        <w:t xml:space="preserve"> </w:t>
      </w:r>
      <m:oMath>
        <m:r>
          <m:t>0.819</m:t>
        </m:r>
      </m:oMath>
      <w:r>
        <w:t xml:space="preserve">,</w:t>
      </w:r>
      <w:r>
        <w:t xml:space="preserve"> </w:t>
      </w:r>
      <w:r>
        <w:rPr>
          <w:smallCaps/>
        </w:rPr>
        <w:t xml:space="preserve">sc</w:t>
      </w:r>
      <w:r>
        <w:t xml:space="preserve"> </w:t>
      </w:r>
      <w:r>
        <w:t xml:space="preserve">scores</w:t>
      </w:r>
      <w:r>
        <w:t xml:space="preserve"> </w:t>
      </w:r>
      <m:oMath>
        <m:r>
          <m:t>0.888</m:t>
        </m:r>
      </m:oMath>
      <w:r>
        <w:t xml:space="preserve">, the decisive stratum is</w:t>
      </w:r>
      <w:r>
        <w:t xml:space="preserve"> </w:t>
      </w:r>
      <m:oMath>
        <m:r>
          <m:t>10</m:t>
        </m:r>
      </m:oMath>
      <w:r>
        <w:t xml:space="preserve"> </w:t>
      </w:r>
      <w:r>
        <w:t xml:space="preserve">of</w:t>
      </w:r>
      <w:r>
        <w:t xml:space="preserve"> </w:t>
      </w:r>
      <m:oMath>
        <m:r>
          <m:t>89</m:t>
        </m:r>
      </m:oMath>
      <w:r>
        <w:t xml:space="preserve"> </w:t>
      </w:r>
      <w:r>
        <w:t xml:space="preserve">items, and the correct answer is present in the pool on only</w:t>
      </w:r>
      <w:r>
        <w:t xml:space="preserve"> </w:t>
      </w:r>
      <m:oMath>
        <m:r>
          <m:t>4</m:t>
        </m:r>
      </m:oMath>
      <w:r>
        <w:t xml:space="preserve"> </w:t>
      </w:r>
      <w:r>
        <w:t xml:space="preserve">of those –</w:t>
      </w:r>
      <w:r>
        <w:t xml:space="preserve"> </w:t>
      </w:r>
      <w:r>
        <w:t xml:space="preserve">so the in-pool</w:t>
      </w:r>
      <w:r>
        <w:t xml:space="preserve"> </w:t>
      </w:r>
      <w:r>
        <w:rPr>
          <w:i/>
          <w:iCs/>
        </w:rPr>
        <w:t xml:space="preserve">oracle</w:t>
      </w:r>
      <w:r>
        <w:t xml:space="preserve"> </w:t>
      </w:r>
      <w:r>
        <w:t xml:space="preserve">tops out at</w:t>
      </w:r>
      <w:r>
        <w:t xml:space="preserve"> </w:t>
      </w:r>
      <m:oMath>
        <m:r>
          <m:rPr>
            <m:sty m:val="p"/>
          </m:rPr>
          <m:t>+</m:t>
        </m:r>
        <m:r>
          <m:t>4</m:t>
        </m:r>
        <m:r>
          <m:rPr>
            <m:sty m:val="p"/>
          </m:rPr>
          <m:t>/</m:t>
        </m:r>
        <m:r>
          <m:rPr>
            <m:sty m:val="p"/>
          </m:rPr>
          <m:t>−</m:t>
        </m:r>
        <m:r>
          <m:t>0</m:t>
        </m:r>
      </m:oMath>
      <w:r>
        <w:t xml:space="preserve">, exact one-sided</w:t>
      </w:r>
      <w:r>
        <w:t xml:space="preserve"> </w:t>
      </w:r>
      <m:oMath>
        <m:r>
          <m:t>p</m:t>
        </m:r>
        <m:r>
          <m:rPr>
            <m:sty m:val="p"/>
          </m:rPr>
          <m:t>=</m:t>
        </m:r>
        <m:r>
          <m:t>0.0625</m:t>
        </m:r>
        <m:r>
          <m:rPr>
            <m:sty m:val="p"/>
          </m:rPr>
          <m:t>&gt;</m:t>
        </m:r>
        <m:r>
          <m:t>0.05</m:t>
        </m:r>
      </m:oMath>
      <w:r>
        <w:t xml:space="preserve">: the registered endpoint was unpassable for</w:t>
      </w:r>
      <w:r>
        <w:t xml:space="preserve"> </w:t>
      </w:r>
      <w:r>
        <w:rPr>
          <w:i/>
          <w:iCs/>
        </w:rPr>
        <w:t xml:space="preserve">any</w:t>
      </w:r>
      <w:r>
        <w:t xml:space="preserve"> </w:t>
      </w:r>
      <w:r>
        <w:t xml:space="preserve">aggregation method on the realized substrate.</w:t>
      </w:r>
      <w:r>
        <w:t xml:space="preserve"> </w:t>
      </w:r>
      <w:r>
        <w:rPr>
          <w:smallCaps/>
        </w:rPr>
        <w:t xml:space="preserve">tact</w:t>
      </w:r>
      <w:r>
        <w:t xml:space="preserve"> </w:t>
      </w:r>
      <w:r>
        <w:t xml:space="preserve">again abstained</w:t>
      </w:r>
      <w:r>
        <w:t xml:space="preserve"> </w:t>
      </w:r>
      <w:r>
        <w:t xml:space="preserve">correctly (</w:t>
      </w:r>
      <m:oMath>
        <m:r>
          <m:t>γ</m:t>
        </m:r>
        <m:r>
          <m:rPr>
            <m:sty m:val="p"/>
          </m:rPr>
          <m:t>=</m:t>
        </m:r>
        <m:r>
          <m:t>0</m:t>
        </m:r>
      </m:oMath>
      <w:r>
        <w:t xml:space="preserve">; alarms E4 and E2 both fired on the label-free path,</w:t>
      </w:r>
      <w:r>
        <w:t xml:space="preserve"> </w:t>
      </w:r>
      <w:r>
        <w:t xml:space="preserve">and the</w:t>
      </w:r>
      <w:r>
        <w:t xml:space="preserve"> </w:t>
      </w:r>
      <m:oMath>
        <m:r>
          <m:t>30</m:t>
        </m:r>
      </m:oMath>
      <w:r>
        <w:t xml:space="preserve">-item sign set contained too few informative items for the</w:t>
      </w:r>
      <w:r>
        <w:t xml:space="preserve"> </w:t>
      </w:r>
      <w:r>
        <w:t xml:space="preserve">semi-label-free sign), remaining bit-identical to</w:t>
      </w:r>
      <w:r>
        <w:t xml:space="preserve"> </w:t>
      </w:r>
      <w:r>
        <w:rPr>
          <w:smallCaps/>
        </w:rPr>
        <w:t xml:space="preserve">sc</w:t>
      </w:r>
      <w:r>
        <w:t xml:space="preserve"> </w:t>
      </w:r>
      <w:r>
        <w:t xml:space="preserve">while the</w:t>
      </w:r>
      <w:r>
        <w:t xml:space="preserve"> </w:t>
      </w:r>
      <w:r>
        <w:t xml:space="preserve">best-single-confidence baseline lost</w:t>
      </w:r>
      <w:r>
        <w:t xml:space="preserve"> </w:t>
      </w:r>
      <m:oMath>
        <m:r>
          <m:t>4.5</m:t>
        </m:r>
      </m:oMath>
      <w:r>
        <w:t xml:space="preserve"> </w:t>
      </w:r>
      <w:r>
        <w:t xml:space="preserve">points by acting (</w:t>
      </w:r>
      <m:oMath>
        <m:r>
          <m:t>0.843</m:t>
        </m:r>
      </m:oMath>
      <w:r>
        <w:t xml:space="preserve">).</w:t>
      </w:r>
      <w:r>
        <w:t xml:space="preserve"> </w:t>
      </w:r>
      <w:r>
        <w:t xml:space="preserve">One methodological caveat from this campaign transfers beyond</w:t>
      </w:r>
      <w:r>
        <w:t xml:space="preserve"> </w:t>
      </w:r>
      <w:r>
        <w:rPr>
          <w:smallCaps/>
        </w:rPr>
        <w:t xml:space="preserve">tact</w:t>
      </w:r>
      <w:r>
        <w:t xml:space="preserve">:</w:t>
      </w:r>
      <w:r>
        <w:t xml:space="preserve"> </w:t>
      </w:r>
      <w:r>
        <w:t xml:space="preserve">measured difficulty depended strongly on the collection protocol. A</w:t>
      </w:r>
      <w:r>
        <w:t xml:space="preserve"> </w:t>
      </w:r>
      <m:oMath>
        <m:r>
          <m:t>30</m:t>
        </m:r>
      </m:oMath>
      <w:r>
        <w:t xml:space="preserve">-problem-per-call probe put level-5 plurality accuracy at</w:t>
      </w:r>
      <w:r>
        <w:t xml:space="preserve"> </w:t>
      </w:r>
      <m:oMath>
        <m:r>
          <m:t>0.40</m:t>
        </m:r>
      </m:oMath>
      <w:r>
        <w:t xml:space="preserve">, while</w:t>
      </w:r>
      <w:r>
        <w:t xml:space="preserve"> </w:t>
      </w:r>
      <w:r>
        <w:t xml:space="preserve">the</w:t>
      </w:r>
      <w:r>
        <w:t xml:space="preserve"> </w:t>
      </w:r>
      <m:oMath>
        <m:r>
          <m:t>15</m:t>
        </m:r>
      </m:oMath>
      <w:r>
        <w:t xml:space="preserve">-problem-per-call confirmatory run yielded</w:t>
      </w:r>
      <w:r>
        <w:t xml:space="preserve"> </w:t>
      </w:r>
      <m:oMath>
        <m:r>
          <m:t>0.888</m:t>
        </m:r>
      </m:oMath>
      <w:r>
        <w:t xml:space="preserve"> </w:t>
      </w:r>
      <w:r>
        <w:t xml:space="preserve">on the same</w:t>
      </w:r>
      <w:r>
        <w:t xml:space="preserve"> </w:t>
      </w:r>
      <w:r>
        <w:t xml:space="preserve">stratum, so batch size must be reported as an experimental parameter</w:t>
      </w:r>
      <w:r>
        <w:t xml:space="preserve"> </w:t>
      </w:r>
      <w:r>
        <w:t xml:space="preserve">whenever traces are collected in batches.</w:t>
      </w:r>
    </w:p>
    <w:p>
      <w:pPr>
        <w:pStyle w:val="BodyText"/>
      </w:pPr>
      <w:r>
        <w:t xml:space="preserve">Scope: one model, two benchmarks,</w:t>
      </w:r>
      <w:r>
        <w:t xml:space="preserve"> </w:t>
      </w:r>
      <m:oMath>
        <m:r>
          <m:t>K</m:t>
        </m:r>
        <m:r>
          <m:rPr>
            <m:sty m:val="p"/>
          </m:rPr>
          <m:t>=</m:t>
        </m:r>
        <m:r>
          <m:t>12</m:t>
        </m:r>
      </m:oMath>
      <w:r>
        <w:t xml:space="preserve">. The result is a clean confirmation</w:t>
      </w:r>
      <w:r>
        <w:t xml:space="preserve"> </w:t>
      </w:r>
      <w:r>
        <w:t xml:space="preserve">of the null-direction prediction and of the calibration–discrimination</w:t>
      </w:r>
      <w:r>
        <w:t xml:space="preserve"> </w:t>
      </w:r>
      <w:r>
        <w:t xml:space="preserve">argument; it is</w:t>
      </w:r>
      <w:r>
        <w:t xml:space="preserve"> </w:t>
      </w:r>
      <w:r>
        <w:rPr>
          <w:i/>
          <w:iCs/>
        </w:rPr>
        <w:t xml:space="preserve">not</w:t>
      </w:r>
      <w:r>
        <w:t xml:space="preserve"> </w:t>
      </w:r>
      <w:r>
        <w:t xml:space="preserve">evidence that</w:t>
      </w:r>
      <w:r>
        <w:t xml:space="preserve"> </w:t>
      </w:r>
      <w:r>
        <w:rPr>
          <w:smallCaps/>
        </w:rPr>
        <w:t xml:space="preserve">tact</w:t>
      </w:r>
      <w:r>
        <w:t xml:space="preserve"> </w:t>
      </w:r>
      <w:r>
        <w:t xml:space="preserve">improves accuracy on real</w:t>
      </w:r>
      <w:r>
        <w:t xml:space="preserve"> </w:t>
      </w:r>
      <w:r>
        <w:t xml:space="preserve">traces, which remains untested for want of a benchmark where the channel is</w:t>
      </w:r>
      <w:r>
        <w:t xml:space="preserve"> </w:t>
      </w:r>
      <w:r>
        <w:t xml:space="preserve">both informative and the model uncertain.</w:t>
      </w:r>
    </w:p>
    <w:bookmarkEnd w:id="61"/>
    <w:bookmarkEnd w:id="62"/>
    <w:bookmarkStart w:id="63"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All quantitative claims are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Validation on real LLM traces is the remaining step; the cached-trace runner is committed and the prediction is falsifiable: if real confidence channels never exhibit directional miscalibration or covariate structure,</w:t>
      </w:r>
      <w:r>
        <w:t xml:space="preserve"> </w:t>
      </w:r>
      <w:r>
        <w:rPr>
          <w:smallCaps/>
        </w:rPr>
        <w:t xml:space="preserve">tact</w:t>
      </w:r>
      <w:r>
        <w:t xml:space="preserve">’s dead zone should make it operationally indistinguishable from CISC-devT there.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 and what happens past the boundary.</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w:t>
      </w:r>
      <w:r>
        <w:t xml:space="preserve"> </w:t>
      </w:r>
      <w:r>
        <w:t xml:space="preserve">confident-echo ambiguity is fundamental (Proposition </w:t>
      </w:r>
      <w:hyperlink w:anchor="prop:twoworld">
        <w:r>
          <w:rPr>
            <w:rStyle w:val="Hyperlink"/>
          </w:rPr>
          <w:t xml:space="preserve">7</w:t>
        </w:r>
      </w:hyperlink>
      <w:r>
        <w:t xml:space="preserve">).</w:t>
      </w:r>
      <w:r>
        <w:t xml:space="preserve"> </w:t>
      </w:r>
      <w:r>
        <w:t xml:space="preserve">Follow-on work measured the consequence of crossing that boundary, and it is</w:t>
      </w:r>
      <w:r>
        <w:t xml:space="preserve"> </w:t>
      </w:r>
      <w:r>
        <w:t xml:space="preserve">worse than under-trust. In a</w:t>
      </w:r>
      <w:r>
        <w:t xml:space="preserve"> </w:t>
      </w:r>
      <w:r>
        <w:rPr>
          <w:i/>
          <w:iCs/>
        </w:rPr>
        <w:t xml:space="preserve">paraphrased</w:t>
      </w:r>
      <w:r>
        <w:t xml:space="preserve"> </w:t>
      </w:r>
      <w:r>
        <w:t xml:space="preserve">wrong-majority cell (a dominant</w:t>
      </w:r>
      <w:r>
        <w:t xml:space="preserve"> </w:t>
      </w:r>
      <w:r>
        <w:t xml:space="preserve">wrong cluster that is semantically tight but carries no verbatim signature, so</w:t>
      </w:r>
      <w:r>
        <w:t xml:space="preserve"> </w:t>
      </w:r>
      <w:r>
        <w:t xml:space="preserve">deduplication has nothing to collapse) the plurality is wrong on most items,</w:t>
      </w:r>
      <w:r>
        <w:t xml:space="preserve"> </w:t>
      </w:r>
      <m:oMath>
        <m:acc>
          <m:accPr>
            <m:chr m:val="‾"/>
          </m:accPr>
          <m:e>
            <m:r>
              <m:t>ρ</m:t>
            </m:r>
          </m:e>
        </m:acc>
        <m:r>
          <m:rPr>
            <m:sty m:val="p"/>
          </m:rPr>
          <m:t>&gt;</m:t>
        </m:r>
        <m:r>
          <m:t>1</m:t>
        </m:r>
        <m:r>
          <m:rPr>
            <m:sty m:val="p"/>
          </m:rPr>
          <m:t>/</m:t>
        </m:r>
        <m:r>
          <m:t>2</m:t>
        </m:r>
      </m:oMath>
      <w:r>
        <w:t xml:space="preserve">, and</w:t>
      </w:r>
      <w:r>
        <w:t xml:space="preserve"> </w:t>
      </w:r>
      <w:r>
        <w:rPr>
          <w:smallCaps/>
        </w:rPr>
        <w:t xml:space="preserve">tact</w:t>
      </w:r>
      <w:r>
        <w:t xml:space="preserve">-LF does not merely shrink toward</w:t>
      </w:r>
      <w:r>
        <w:t xml:space="preserve"> </w:t>
      </w:r>
      <w:r>
        <w:rPr>
          <w:smallCaps/>
        </w:rPr>
        <w:t xml:space="preserve">sc</w:t>
      </w:r>
      <w:r>
        <w:t xml:space="preserve">: it</w:t>
      </w:r>
      <w:r>
        <w:t xml:space="preserve"> </w:t>
      </w:r>
      <w:r>
        <w:rPr>
          <w:i/>
          <w:iCs/>
        </w:rPr>
        <w:t xml:space="preserve">mis-signs</w:t>
      </w:r>
      <w:r>
        <w:t xml:space="preserve">, saturates at</w:t>
      </w:r>
      <w:r>
        <w:t xml:space="preserve"> </w:t>
      </w:r>
      <m:oMath>
        <m:r>
          <m:t>γ</m:t>
        </m:r>
        <m:r>
          <m:rPr>
            <m:sty m:val="p"/>
          </m:rPr>
          <m:t>=</m:t>
        </m:r>
        <m:r>
          <m:rPr>
            <m:sty m:val="p"/>
          </m:rPr>
          <m:t>−</m:t>
        </m:r>
        <m:r>
          <m:t>2.0</m:t>
        </m:r>
      </m:oMath>
      <w:r>
        <w:t xml:space="preserve">, and scores</w:t>
      </w:r>
      <w:r>
        <w:t xml:space="preserve"> </w:t>
      </w:r>
      <m:oMath>
        <m:r>
          <m:t>0.000</m:t>
        </m:r>
      </m:oMath>
      <w:r>
        <w:t xml:space="preserve"> </w:t>
      </w:r>
      <w:r>
        <w:t xml:space="preserve">against an</w:t>
      </w:r>
      <w:r>
        <w:t xml:space="preserve"> </w:t>
      </w:r>
      <w:r>
        <w:rPr>
          <w:smallCaps/>
        </w:rPr>
        <w:t xml:space="preserve">sc</w:t>
      </w:r>
      <w:r>
        <w:t xml:space="preserve"> </w:t>
      </w:r>
      <w:r>
        <w:t xml:space="preserve">floor of</w:t>
      </w:r>
      <w:r>
        <w:t xml:space="preserve"> </w:t>
      </w:r>
      <m:oMath>
        <m:r>
          <m:t>0.340</m:t>
        </m:r>
      </m:oMath>
      <w:r>
        <w:t xml:space="preserve">. None of the four alarms fires, because E1 keys on</w:t>
      </w:r>
      <w:r>
        <w:t xml:space="preserve"> </w:t>
      </w:r>
      <w:r>
        <w:t xml:space="preserve">verbatim duplication which is absent by construction. This is the method’s</w:t>
      </w:r>
      <w:r>
        <w:t xml:space="preserve"> </w:t>
      </w:r>
      <w:r>
        <w:t xml:space="preserve">sharpest unguarded failure mode: the guarantee is conditional, the condition is</w:t>
      </w:r>
      <w:r>
        <w:t xml:space="preserve"> </w:t>
      </w:r>
      <w:r>
        <w:t xml:space="preserve">not observable label-free, and the existing diagnostics do not detect its</w:t>
      </w:r>
      <w:r>
        <w:t xml:space="preserve"> </w:t>
      </w:r>
      <w:r>
        <w:t xml:space="preserve">violation. Where a systematically wrong majority is plausible, the</w:t>
      </w:r>
      <w:r>
        <w:t xml:space="preserve"> </w:t>
      </w:r>
      <w:r>
        <w:t xml:space="preserve">semi-label-free mode (sign from</w:t>
      </w:r>
      <w:r>
        <w:t xml:space="preserve"> </w:t>
      </w:r>
      <m:oMath>
        <m:r>
          <m:rPr>
            <m:sty m:val="p"/>
          </m:rPr>
          <m:t>∼</m:t>
        </m:r>
        <m:r>
          <m:t>50</m:t>
        </m:r>
      </m:oMath>
      <w:r>
        <w:t xml:space="preserve"> </w:t>
      </w:r>
      <w:r>
        <w:t xml:space="preserve">labels) should be the default rather</w:t>
      </w:r>
      <w:r>
        <w:t xml:space="preserve"> </w:t>
      </w:r>
      <w:r>
        <w:t xml:space="preserve">than an optional refinement.</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p>
      <w:pPr>
        <w:pStyle w:val="BodyText"/>
      </w:pPr>
      <w:r>
        <w:rPr>
          <w:b/>
          <w:bCs/>
        </w:rPr>
        <w:t xml:space="preserve">The thin window.</w:t>
      </w:r>
      <w:r>
        <w:t xml:space="preserve"> </w:t>
      </w:r>
      <w:r>
        <w:t xml:space="preserve">Measurements across three substrates (GSM8K/CSQA,</w:t>
      </w:r>
      <w:r>
        <w:t xml:space="preserve"> </w:t>
      </w:r>
      <w:r>
        <w:t xml:space="preserve">MATH level-5, AIME/AMC;</w:t>
      </w:r>
      <w:r>
        <w:t xml:space="preserve"> </w:t>
      </w:r>
      <m:oMath>
        <m:r>
          <m:t>268</m:t>
        </m:r>
      </m:oMath>
      <w:r>
        <w:t xml:space="preserve"> </w:t>
      </w:r>
      <w:r>
        <w:t xml:space="preserve">items with pools) place a structural bound on</w:t>
      </w:r>
      <w:r>
        <w:t xml:space="preserve"> </w:t>
      </w:r>
      <w:r>
        <w:t xml:space="preserve">this entire family of methods. The stratum any label-free aggregation method</w:t>
      </w:r>
      <w:r>
        <w:t xml:space="preserve"> </w:t>
      </w:r>
      <w:r>
        <w:t xml:space="preserve">can act on, where the plurality is wrong</w:t>
      </w:r>
      <w:r>
        <w:t xml:space="preserve"> </w:t>
      </w:r>
      <w:r>
        <w:rPr>
          <w:i/>
          <w:iCs/>
        </w:rPr>
        <w:t xml:space="preserve">and</w:t>
      </w:r>
      <w:r>
        <w:t xml:space="preserve"> </w:t>
      </w:r>
      <w:r>
        <w:t xml:space="preserve">the correct answer is</w:t>
      </w:r>
      <w:r>
        <w:t xml:space="preserve"> </w:t>
      </w:r>
      <w:r>
        <w:t xml:space="preserve">present in the pool</w:t>
      </w:r>
      <w:r>
        <w:t xml:space="preserve"> </w:t>
      </w:r>
      <w:r>
        <w:rPr>
          <w:i/>
          <w:iCs/>
        </w:rPr>
        <w:t xml:space="preserve">and</w:t>
      </w:r>
      <w:r>
        <w:t xml:space="preserve"> </w:t>
      </w:r>
      <w:r>
        <w:t xml:space="preserve">the signal is separable, occupied</w:t>
      </w:r>
      <w:r>
        <w:t xml:space="preserve"> </w:t>
      </w:r>
      <m:oMath>
        <m:r>
          <m:t>2</m:t>
        </m:r>
      </m:oMath>
      <w:r>
        <w:t xml:space="preserve">–</w:t>
      </w:r>
      <m:oMath>
        <m:r>
          <m:t>5</m:t>
        </m:r>
        <m:r>
          <m:rPr>
            <m:sty m:val="p"/>
          </m:rPr>
          <m:t>%</m:t>
        </m:r>
      </m:oMath>
      <w:r>
        <w:t xml:space="preserve"> </w:t>
      </w:r>
      <w:r>
        <w:t xml:space="preserve">of items at</w:t>
      </w:r>
      <w:r>
        <w:t xml:space="preserve"> </w:t>
      </w:r>
      <w:r>
        <w:rPr>
          <w:i/>
          <w:iCs/>
        </w:rPr>
        <w:t xml:space="preserve">every</w:t>
      </w:r>
      <w:r>
        <w:t xml:space="preserve"> </w:t>
      </w:r>
      <w:r>
        <w:t xml:space="preserve">difficulty level: as items harden, they pass directly from</w:t>
      </w:r>
      <w:r>
        <w:t xml:space="preserve"> </w:t>
      </w:r>
      <w:r>
        <w:t xml:space="preserve">saturated (plurality right) to capability-limited (the correct answer never</w:t>
      </w:r>
      <w:r>
        <w:t xml:space="preserve"> </w:t>
      </w:r>
      <w:r>
        <w:t xml:space="preserve">sampled:</w:t>
      </w:r>
      <w:r>
        <w:t xml:space="preserve"> </w:t>
      </w:r>
      <m:oMath>
        <m:r>
          <m:t>0</m:t>
        </m:r>
      </m:oMath>
      <w:r>
        <w:t xml:space="preserve"> </w:t>
      </w:r>
      <w:r>
        <w:t xml:space="preserve">of</w:t>
      </w:r>
      <w:r>
        <w:t xml:space="preserve"> </w:t>
      </w:r>
      <m:oMath>
        <m:r>
          <m:t>6</m:t>
        </m:r>
      </m:oMath>
      <w:r>
        <w:t xml:space="preserve"> </w:t>
      </w:r>
      <w:r>
        <w:t xml:space="preserve">plurality-wrong AIME items had it in</w:t>
      </w:r>
      <w:r>
        <w:t xml:space="preserve"> </w:t>
      </w:r>
      <m:oMath>
        <m:r>
          <m:t>16</m:t>
        </m:r>
      </m:oMath>
      <w:r>
        <w:t xml:space="preserve"> </w:t>
      </w:r>
      <w:r>
        <w:t xml:space="preserve">draws), and the</w:t>
      </w:r>
      <w:r>
        <w:t xml:space="preserve"> </w:t>
      </w:r>
      <w:r>
        <w:t xml:space="preserve">addressable band between the two regimes does not widen. Classifying all</w:t>
      </w:r>
      <w:r>
        <w:t xml:space="preserve"> </w:t>
      </w:r>
      <m:oMath>
        <m:r>
          <m:t>16</m:t>
        </m:r>
      </m:oMath>
      <w:r>
        <w:t xml:space="preserve"> </w:t>
      </w:r>
      <w:r>
        <w:t xml:space="preserve">decisive items by error shape,</w:t>
      </w:r>
      <w:r>
        <w:t xml:space="preserve"> </w:t>
      </w:r>
      <m:oMath>
        <m:r>
          <m:t>7</m:t>
        </m:r>
      </m:oMath>
      <w:r>
        <w:t xml:space="preserve"> </w:t>
      </w:r>
      <w:r>
        <w:t xml:space="preserve">were stable-wrong (a tight wrong cluster,</w:t>
      </w:r>
      <w:r>
        <w:t xml:space="preserve"> </w:t>
      </w:r>
      <w:r>
        <w:t xml:space="preserve">the two-world regime where no label-free signal can help) and</w:t>
      </w:r>
      <w:r>
        <w:t xml:space="preserve"> </w:t>
      </w:r>
      <m:oMath>
        <m:r>
          <m:t>9</m:t>
        </m:r>
      </m:oMath>
      <w:r>
        <w:t xml:space="preserve"> </w:t>
      </w:r>
      <w:r>
        <w:t xml:space="preserve">were</w:t>
      </w:r>
      <w:r>
        <w:t xml:space="preserve"> </w:t>
      </w:r>
      <w:r>
        <w:t xml:space="preserve">scattered (</w:t>
      </w:r>
      <m:oMath>
        <m:r>
          <m:t>6</m:t>
        </m:r>
      </m:oMath>
      <w:r>
        <w:t xml:space="preserve">–</w:t>
      </w:r>
      <m:oMath>
        <m:r>
          <m:t>8</m:t>
        </m:r>
      </m:oMath>
      <w:r>
        <w:t xml:space="preserve"> </w:t>
      </w:r>
      <w:r>
        <w:t xml:space="preserve">distinct answers, a capability wall that diversity</w:t>
      </w:r>
      <w:r>
        <w:t xml:space="preserve"> </w:t>
      </w:r>
      <w:r>
        <w:t xml:space="preserve">interventions cannot cross, since diversity is already maximal). Under this</w:t>
      </w:r>
      <w:r>
        <w:t xml:space="preserve"> </w:t>
      </w:r>
      <w:r>
        <w:t xml:space="preserve">accounting, abstention is not a conservative compromise but the</w:t>
      </w:r>
      <w:r>
        <w:t xml:space="preserve"> </w:t>
      </w:r>
      <w:r>
        <w:rPr>
          <w:i/>
          <w:iCs/>
        </w:rPr>
        <w:t xml:space="preserve">only</w:t>
      </w:r>
      <w:r>
        <w:t xml:space="preserve"> </w:t>
      </w:r>
      <w:r>
        <w:t xml:space="preserve">correct default: on the confirmatory substrate the largest measured effect of</w:t>
      </w:r>
      <w:r>
        <w:t xml:space="preserve"> </w:t>
      </w:r>
      <w:r>
        <w:t xml:space="preserve">acting anyway was negative (the best-single-confidence baseline loses</w:t>
      </w:r>
      <w:r>
        <w:t xml:space="preserve"> </w:t>
      </w:r>
      <m:oMath>
        <m:r>
          <m:t>4.5</m:t>
        </m:r>
      </m:oMath>
      <w:r>
        <w:t xml:space="preserve"> </w:t>
      </w:r>
      <w:r>
        <w:t xml:space="preserve">points where</w:t>
      </w:r>
      <w:r>
        <w:t xml:space="preserve"> </w:t>
      </w:r>
      <w:r>
        <w:rPr>
          <w:smallCaps/>
        </w:rPr>
        <w:t xml:space="preserve">tact</w:t>
      </w:r>
      <w:r>
        <w:t xml:space="preserve">’s dead zone holds it exactly at the</w:t>
      </w:r>
      <w:r>
        <w:t xml:space="preserve"> </w:t>
      </w:r>
      <w:r>
        <w:rPr>
          <w:smallCaps/>
        </w:rPr>
        <w:t xml:space="preserve">sc</w:t>
      </w:r>
      <w:r>
        <w:t xml:space="preserve"> </w:t>
      </w:r>
      <w:r>
        <w:t xml:space="preserve">floor).</w:t>
      </w:r>
    </w:p>
    <w:p>
      <w:pPr>
        <w:pStyle w:val="BodyText"/>
      </w:pPr>
      <w:r>
        <w:t xml:space="preserve">The natural hypothesis is that the window widens wherever an external anchor</w:t>
      </w:r>
      <w:r>
        <w:t xml:space="preserve"> </w:t>
      </w:r>
      <w:r>
        <w:t xml:space="preserve">is cheap, since a passing test is a real per-sample signal rather than a</w:t>
      </w:r>
      <w:r>
        <w:t xml:space="preserve"> </w:t>
      </w:r>
      <w:r>
        <w:t xml:space="preserve">model-relative one. That hypothesis was tested and does not hold. On</w:t>
      </w:r>
      <w:r>
        <w:t xml:space="preserve"> </w:t>
      </w:r>
      <m:oMath>
        <m:r>
          <m:t>40</m:t>
        </m:r>
      </m:oMath>
      <w:r>
        <w:t xml:space="preserve"> </w:t>
      </w:r>
      <w:r>
        <w:t xml:space="preserve">LeetCode Medium/Hard problems</w:t>
      </w:r>
      <w:r>
        <w:t xml:space="preserve"> </w:t>
      </w:r>
      <w:r>
        <w:t xml:space="preserve"> </w:t>
      </w:r>
      <w:r>
        <w:t xml:space="preserve">with</w:t>
      </w:r>
      <w:r>
        <w:t xml:space="preserve"> </w:t>
      </w:r>
      <m:oMath>
        <m:r>
          <m:t>8</m:t>
        </m:r>
      </m:oMath>
      <w:r>
        <w:t xml:space="preserve"> </w:t>
      </w:r>
      <w:r>
        <w:t xml:space="preserve">candidate</w:t>
      </w:r>
      <w:r>
        <w:t xml:space="preserve"> </w:t>
      </w:r>
      <w:r>
        <w:t xml:space="preserve">solutions each, graded against the benchmark’s own hidden suites, the window</w:t>
      </w:r>
      <w:r>
        <w:t xml:space="preserve"> </w:t>
      </w:r>
      <w:r>
        <w:t xml:space="preserve">(oracle minus the largest-behavioural-cluster baseline) measures</w:t>
      </w:r>
      <w:r>
        <w:t xml:space="preserve"> </w:t>
      </w:r>
      <m:oMath>
        <m:r>
          <m:t>3</m:t>
        </m:r>
        <m:r>
          <m:rPr>
            <m:sty m:val="p"/>
          </m:rPr>
          <m:t>/</m:t>
        </m:r>
        <m:r>
          <m:t>40</m:t>
        </m:r>
        <m:r>
          <m:rPr>
            <m:sty m:val="p"/>
          </m:rPr>
          <m:t>=</m:t>
        </m:r>
        <m:r>
          <m:t>7.5</m:t>
        </m:r>
        <m:r>
          <m:rPr>
            <m:sty m:val="p"/>
          </m:rPr>
          <m:t>%</m:t>
        </m:r>
      </m:oMath>
      <w:r>
        <w:t xml:space="preserve"> </w:t>
      </w:r>
      <w:r>
        <w:t xml:space="preserve">(CI</w:t>
      </w:r>
      <m:oMath>
        <m:sSub>
          <m:e>
            <m:r>
              <m:t>​</m:t>
            </m:r>
          </m:e>
          <m:sub>
            <m:r>
              <m:t>95</m:t>
            </m:r>
          </m:sub>
        </m:sSub>
      </m:oMath>
      <w:r>
        <w:t xml:space="preserve"> </w:t>
      </w:r>
      <m:oMath>
        <m:r>
          <m:t>2.6</m:t>
        </m:r>
      </m:oMath>
      <w:r>
        <w:t xml:space="preserve">–</w:t>
      </w:r>
      <m:oMath>
        <m:r>
          <m:t>19.9</m:t>
        </m:r>
        <m:r>
          <m:rPr>
            <m:sty m:val="p"/>
          </m:rPr>
          <m:t>%</m:t>
        </m:r>
      </m:oMath>
      <w:r>
        <w:t xml:space="preserve">), against</w:t>
      </w:r>
      <w:r>
        <w:t xml:space="preserve"> </w:t>
      </w:r>
      <m:oMath>
        <m:r>
          <m:t>3.56</m:t>
        </m:r>
        <m:r>
          <m:rPr>
            <m:sty m:val="p"/>
          </m:rPr>
          <m:t>%</m:t>
        </m:r>
      </m:oMath>
      <w:r>
        <w:t xml:space="preserve"> </w:t>
      </w:r>
      <w:r>
        <w:t xml:space="preserve">recomputed from</w:t>
      </w:r>
      <w:r>
        <w:t xml:space="preserve"> </w:t>
      </w:r>
      <w:r>
        <w:t xml:space="preserve">published HumanEval+/MBPP+ tables and</w:t>
      </w:r>
      <w:r>
        <w:t xml:space="preserve"> </w:t>
      </w:r>
      <m:oMath>
        <m:r>
          <m:t>2</m:t>
        </m:r>
      </m:oMath>
      <w:r>
        <w:t xml:space="preserve">–</w:t>
      </w:r>
      <m:oMath>
        <m:r>
          <m:t>5</m:t>
        </m:r>
        <m:r>
          <m:rPr>
            <m:sty m:val="p"/>
          </m:rPr>
          <m:t>%</m:t>
        </m:r>
      </m:oMath>
      <w:r>
        <w:t xml:space="preserve"> </w:t>
      </w:r>
      <w:r>
        <w:t xml:space="preserve">for label-free QA. The</w:t>
      </w:r>
      <w:r>
        <w:t xml:space="preserve"> </w:t>
      </w:r>
      <w:r>
        <w:t xml:space="preserve">composition is the same shape as well:</w:t>
      </w:r>
      <w:r>
        <w:t xml:space="preserve"> </w:t>
      </w:r>
      <m:oMath>
        <m:r>
          <m:t>75</m:t>
        </m:r>
        <m:r>
          <m:rPr>
            <m:sty m:val="p"/>
          </m:rPr>
          <m:t>%</m:t>
        </m:r>
      </m:oMath>
      <w:r>
        <w:t xml:space="preserve"> </w:t>
      </w:r>
      <w:r>
        <w:t xml:space="preserve">saturated,</w:t>
      </w:r>
      <w:r>
        <w:t xml:space="preserve"> </w:t>
      </w:r>
      <m:oMath>
        <m:r>
          <m:t>18</m:t>
        </m:r>
        <m:r>
          <m:rPr>
            <m:sty m:val="p"/>
          </m:rPr>
          <m:t>%</m:t>
        </m:r>
      </m:oMath>
      <w:r>
        <w:t xml:space="preserve"> </w:t>
      </w:r>
      <w:r>
        <w:t xml:space="preserve">capability</w:t>
      </w:r>
      <w:r>
        <w:t xml:space="preserve"> </w:t>
      </w:r>
      <w:r>
        <w:t xml:space="preserve">wall,</w:t>
      </w:r>
      <w:r>
        <w:t xml:space="preserve"> </w:t>
      </w:r>
      <m:oMath>
        <m:r>
          <m:t>8</m:t>
        </m:r>
        <m:r>
          <m:rPr>
            <m:sty m:val="p"/>
          </m:rPr>
          <m:t>%</m:t>
        </m:r>
      </m:oMath>
      <w:r>
        <w:t xml:space="preserve"> </w:t>
      </w:r>
      <w:r>
        <w:t xml:space="preserve">rescuable. Raising the candidate budget does not open it: the</w:t>
      </w:r>
      <w:r>
        <w:t xml:space="preserve"> </w:t>
      </w:r>
      <w:r>
        <w:t xml:space="preserve">seven capability-wall problems produced zero correct solutions in</w:t>
      </w:r>
      <w:r>
        <w:t xml:space="preserve"> </w:t>
      </w:r>
      <m:oMath>
        <m:r>
          <m:t>224</m:t>
        </m:r>
      </m:oMath>
      <w:r>
        <w:t xml:space="preserve"> </w:t>
      </w:r>
      <w:r>
        <w:t xml:space="preserve">further attempts (per-problem</w:t>
      </w:r>
      <w:r>
        <w:t xml:space="preserve"> </w:t>
      </w:r>
      <m:oMath>
        <m:r>
          <m:t>95</m:t>
        </m:r>
        <m:r>
          <m:rPr>
            <m:sty m:val="p"/>
          </m:rPr>
          <m:t>%</m:t>
        </m:r>
      </m:oMath>
      <w:r>
        <w:t xml:space="preserve"> </w:t>
      </w:r>
      <w:r>
        <w:t xml:space="preserve">upper bound on the pass rate</w:t>
      </w:r>
      <w:r>
        <w:t xml:space="preserve"> </w:t>
      </w:r>
      <m:oMath>
        <m:r>
          <m:t>0.088</m:t>
        </m:r>
      </m:oMath>
      <w:r>
        <w:t xml:space="preserve">),</w:t>
      </w:r>
      <w:r>
        <w:t xml:space="preserve"> </w:t>
      </w:r>
      <w:r>
        <w:t xml:space="preserve">and extrapolating oracle@</w:t>
      </w:r>
      <m:oMath>
        <m:r>
          <m:t>N</m:t>
        </m:r>
      </m:oMath>
      <w:r>
        <w:t xml:space="preserve"> </w:t>
      </w:r>
      <w:r>
        <w:t xml:space="preserve">shows the window saturating by</w:t>
      </w:r>
      <w:r>
        <w:t xml:space="preserve"> </w:t>
      </w:r>
      <m:oMath>
        <m:r>
          <m:t>N</m:t>
        </m:r>
        <m:r>
          <m:rPr>
            <m:sty m:val="p"/>
          </m:rPr>
          <m:t>=</m:t>
        </m:r>
        <m:r>
          <m:t>32</m:t>
        </m:r>
      </m:oMath>
      <w:r>
        <w:t xml:space="preserve">.</w:t>
      </w:r>
      <w:r>
        <w:t xml:space="preserve"> </w:t>
      </w:r>
      <w:r>
        <w:t xml:space="preserve">Executable ground truth buys a slightly wider window, not a different regime.</w:t>
      </w:r>
      <w:r>
        <w:t xml:space="preserve"> </w:t>
      </w:r>
      <w:r>
        <w:t xml:space="preserve">One precaution deserves reporting with that number, since it nearly inverted</w:t>
      </w:r>
      <w:r>
        <w:t xml:space="preserve"> </w:t>
      </w:r>
      <w:r>
        <w:t xml:space="preserve">it: the grading harness was first validated against the benchmark’s own</w:t>
      </w:r>
      <w:r>
        <w:t xml:space="preserve"> </w:t>
      </w:r>
      <w:r>
        <w:t xml:space="preserve">reference solutions, of which</w:t>
      </w:r>
      <w:r>
        <w:t xml:space="preserve"> </w:t>
      </w:r>
      <m:oMath>
        <m:r>
          <m:t>178</m:t>
        </m:r>
      </m:oMath>
      <w:r>
        <w:t xml:space="preserve"> </w:t>
      </w:r>
      <w:r>
        <w:t xml:space="preserve">of</w:t>
      </w:r>
      <w:r>
        <w:t xml:space="preserve"> </w:t>
      </w:r>
      <m:oMath>
        <m:r>
          <m:t>180</m:t>
        </m:r>
      </m:oMath>
      <w:r>
        <w:t xml:space="preserve"> </w:t>
      </w:r>
      <w:r>
        <w:t xml:space="preserve">pass under the sandbox’s</w:t>
      </w:r>
      <w:r>
        <w:t xml:space="preserve"> </w:t>
      </w:r>
      <w:r>
        <w:t xml:space="preserve">resource limits. An earlier version of the same harness failed</w:t>
      </w:r>
      <w:r>
        <w:t xml:space="preserve"> </w:t>
      </w:r>
      <m:oMath>
        <m:r>
          <m:t>100</m:t>
        </m:r>
        <m:r>
          <m:rPr>
            <m:sty m:val="p"/>
          </m:rPr>
          <m:t>%</m:t>
        </m:r>
      </m:oMath>
      <w:r>
        <w:t xml:space="preserve"> </w:t>
      </w:r>
      <w:r>
        <w:t xml:space="preserve">of</w:t>
      </w:r>
      <w:r>
        <w:t xml:space="preserve"> </w:t>
      </w:r>
      <w:r>
        <w:t xml:space="preserve">executions because the host rejects one of the requested limits outright, a</w:t>
      </w:r>
      <w:r>
        <w:t xml:space="preserve"> </w:t>
      </w:r>
      <w:r>
        <w:t xml:space="preserve">condition that surfaces as a candidate failure rather than as an error. Any</w:t>
      </w:r>
      <w:r>
        <w:t xml:space="preserve"> </w:t>
      </w:r>
      <w:r>
        <w:t xml:space="preserve">study that grades by execution should report its reference-solution pass rate</w:t>
      </w:r>
      <w:r>
        <w:t xml:space="preserve"> </w:t>
      </w:r>
      <w:r>
        <w:t xml:space="preserve">for the same reason a calibration curve is reported: without it, a broken</w:t>
      </w:r>
      <w:r>
        <w:t xml:space="preserve"> </w:t>
      </w:r>
      <w:r>
        <w:t xml:space="preserve">harness and a capability wall are indistinguishable.</w:t>
      </w:r>
    </w:p>
    <w:bookmarkEnd w:id="63"/>
    <w:bookmarkStart w:id="64"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exact fallbacks at both ends, plain self-consistency when the evidence is absent and CISC when it is at full strength, 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64"/>
    <w:bookmarkStart w:id="65" w:name="references"/>
    <w:p>
      <w:pPr>
        <w:pStyle w:val="Heading1"/>
      </w:pPr>
      <w:r>
        <w:t xml:space="preserve">References</w:t>
      </w:r>
    </w:p>
    <w:p>
      <w:pPr>
        <w:pStyle w:val="FirstParagraph"/>
      </w:pPr>
      <w:r>
        <w:t xml:space="preserve">99</w:t>
      </w:r>
    </w:p>
    <w:p>
      <w:pPr>
        <w:pStyle w:val="BodyText"/>
      </w:pP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w:t>
      </w:r>
    </w:p>
    <w:p>
      <w:pPr>
        <w:pStyle w:val="BodyText"/>
      </w:pP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w:t>
      </w:r>
    </w:p>
    <w:p>
      <w:pPr>
        <w:pStyle w:val="BodyText"/>
      </w:pP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L. Kish,</w:t>
      </w:r>
      <w:r>
        <w:t xml:space="preserve"> </w:t>
      </w:r>
      <w:r>
        <w:rPr>
          <w:i/>
          <w:iCs/>
        </w:rPr>
        <w:t xml:space="preserve">Survey Sampling</w:t>
      </w:r>
      <w:r>
        <w:t xml:space="preserve">. New York, NY, USA: Wiley, 1965.</w:t>
      </w:r>
    </w:p>
    <w:p>
      <w:pPr>
        <w:pStyle w:val="BodyText"/>
      </w:pP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p>
      <w:pPr>
        <w:pStyle w:val="BodyText"/>
      </w:pPr>
      <w:r>
        <w:t xml:space="preserve">D. Hendrycks</w:t>
      </w:r>
      <w:r>
        <w:t xml:space="preserve"> </w:t>
      </w:r>
      <w:r>
        <w:rPr>
          <w:i/>
          <w:iCs/>
        </w:rPr>
        <w:t xml:space="preserve">et al.</w:t>
      </w:r>
      <w:r>
        <w:t xml:space="preserve">,</w:t>
      </w:r>
      <w:r>
        <w:t xml:space="preserve"> </w:t>
      </w:r>
      <w:r>
        <w:t xml:space="preserve">“Measuring mathematical problem solving with the MATH dataset,”</w:t>
      </w:r>
      <w:r>
        <w:t xml:space="preserve"> </w:t>
      </w:r>
      <w:r>
        <w:t xml:space="preserve">in</w:t>
      </w:r>
      <w:r>
        <w:t xml:space="preserve"> </w:t>
      </w:r>
      <w:r>
        <w:rPr>
          <w:i/>
          <w:iCs/>
        </w:rPr>
        <w:t xml:space="preserve">Proc. NeurIPS Datasets and Benchmarks</w:t>
      </w:r>
      <w:r>
        <w:t xml:space="preserve">, 2021.</w:t>
      </w:r>
    </w:p>
    <w:p>
      <w:pPr>
        <w:pStyle w:val="BodyText"/>
      </w:pPr>
      <w:r>
        <w:t xml:space="preserve">H. Lightman</w:t>
      </w:r>
      <w:r>
        <w:t xml:space="preserve"> </w:t>
      </w:r>
      <w:r>
        <w:rPr>
          <w:i/>
          <w:iCs/>
        </w:rPr>
        <w:t xml:space="preserve">et al.</w:t>
      </w:r>
      <w:r>
        <w:t xml:space="preserve">,</w:t>
      </w:r>
      <w:r>
        <w:t xml:space="preserve"> </w:t>
      </w:r>
      <w:r>
        <w:t xml:space="preserve">“Let’s verify step by step,”</w:t>
      </w:r>
      <w:r>
        <w:t xml:space="preserve"> </w:t>
      </w:r>
      <w:r>
        <w:t xml:space="preserve">in</w:t>
      </w:r>
      <w:r>
        <w:t xml:space="preserve"> </w:t>
      </w:r>
      <w:r>
        <w:rPr>
          <w:i/>
          <w:iCs/>
        </w:rPr>
        <w:t xml:space="preserve">Proc. ICLR</w:t>
      </w:r>
      <w:r>
        <w:t xml:space="preserve">, 2024. (MATH-500 test subset.)</w:t>
      </w:r>
    </w:p>
    <w:p>
      <w:pPr>
        <w:pStyle w:val="BodyText"/>
      </w:pPr>
      <w:r>
        <w:t xml:space="preserve">Y. Xia</w:t>
      </w:r>
      <w:r>
        <w:t xml:space="preserve"> </w:t>
      </w:r>
      <w:r>
        <w:rPr>
          <w:i/>
          <w:iCs/>
        </w:rPr>
        <w:t xml:space="preserve">et al.</w:t>
      </w:r>
      <w:r>
        <w:t xml:space="preserve">,</w:t>
      </w:r>
      <w:r>
        <w:t xml:space="preserve"> </w:t>
      </w:r>
      <w:r>
        <w:t xml:space="preserve">“LeetCodeDataset: A temporal dataset for robust evaluation and efficient training of code LLMs,”</w:t>
      </w:r>
      <w:r>
        <w:t xml:space="preserve"> </w:t>
      </w:r>
      <w:r>
        <w:t xml:space="preserve">arXiv:2504.14655, 2025.</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3" Target="media/rId13.png" /><Relationship Type="http://schemas.openxmlformats.org/officeDocument/2006/relationships/image" Id="rId47" Target="media/rId47.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2026-08-01T13:38:07Z</dcterms:created>
  <dcterms:modified xsi:type="dcterms:W3CDTF">2026-08-01T13:38:07Z</dcterms:modified>
</cp:coreProperties>
</file>

<file path=docProps/custom.xml><?xml version="1.0" encoding="utf-8"?>
<Properties xmlns="http://schemas.openxmlformats.org/officeDocument/2006/custom-properties" xmlns:vt="http://schemas.openxmlformats.org/officeDocument/2006/docPropsVTypes"/>
</file>