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beats majority voting when a frozen</w:t>
      </w:r>
      <w:r>
        <w:t xml:space="preserve"> </w:t>
      </w:r>
      <w:r>
        <w:t xml:space="preserve">model’s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 published scheme is monotone increasing in confidence, so an</w:t>
      </w:r>
      <w:r>
        <w:t xml:space="preserve"> </w:t>
      </w:r>
      <w:r>
        <w:t xml:space="preserve">anti-correlated channel poisons the vote, and calibration gates survive</w:t>
      </w:r>
      <w:r>
        <w:t xml:space="preserve"> </w:t>
      </w:r>
      <w:r>
        <w:t xml:space="preserve">inversion only by discarding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 measured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, shrunk toward zero and mapped through a</w:t>
      </w:r>
      <w:r>
        <w:t xml:space="preserve"> </w:t>
      </w:r>
      <w:r>
        <w:t xml:space="preserve">Bayes-discriminant link that at base rate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 Inside the dead zone the vote is</w:t>
      </w:r>
      <w:r>
        <w:t xml:space="preserve"> </w:t>
      </w:r>
      <w:r>
        <w:t xml:space="preserve">bit-identical to plain self-consistency. A label-free variant recovers the sign from agreement pseudo-labels, provably</w:t>
      </w:r>
      <w:r>
        <w:t xml:space="preserve"> </w:t>
      </w:r>
      <w:r>
        <w:t xml:space="preserve">below a plurality-error rate of one half and demonstrably wrongly past it. On a synthetic oracle it recovers channels that pin published protocols to</w:t>
      </w:r>
      <w:r>
        <w:t xml:space="preserve"> </w:t>
      </w:r>
      <w:r>
        <w:t xml:space="preserve">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 cracks the</w:t>
      </w:r>
      <w:r>
        <w:t xml:space="preserve"> </w:t>
      </w:r>
      <w:r>
        <w:t xml:space="preserve">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); against a</w:t>
      </w:r>
      <w:r>
        <w:t xml:space="preserve"> </w:t>
      </w:r>
      <w:r>
        <w:t xml:space="preserve">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 the advantage narrows to distortion, echo and</w:t>
      </w:r>
      <w:r>
        <w:t xml:space="preserve"> </w:t>
      </w:r>
      <w:r>
        <w:t xml:space="preserve">label-free operation. Two real-trace campaigns bound it: the channel is null on saturated</w:t>
      </w:r>
      <w:r>
        <w:t xml:space="preserve"> </w:t>
      </w:r>
      <w:r>
        <w:t xml:space="preserve">benchmarks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), yet the</w:t>
      </w:r>
      <w:r>
        <w:t xml:space="preserve"> </w:t>
      </w:r>
      <w:r>
        <w:t xml:space="preserve">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</w:t>
      </w:r>
      <w:r>
        <w:t xml:space="preserve"> </w:t>
      </w:r>
      <w:r>
        <w:t xml:space="preserve">substrates in two domains. Abstention is the correct default, and the dead zone</w:t>
      </w:r>
      <w:r>
        <w:t xml:space="preserve"> </w:t>
      </w:r>
      <w:r>
        <w:t xml:space="preserve">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what reaches the vote is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not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conditional, and this paper states the condition.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harness, not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real, not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, where it had</w:t>
      </w:r>
      <w:r>
        <w:t xml:space="preserve"> </w:t>
      </w:r>
      <w:r>
        <w:t xml:space="preserve">been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(e) The abstention is a measurement, and a fragile one here.</w:t>
      </w:r>
      <w:r>
        <w:t xml:space="preserve"> </w:t>
      </w:r>
      <w:r>
        <w:t xml:space="preserve">A rule that</w:t>
      </w:r>
      <w:r>
        <w:t xml:space="preserve"> </w:t>
      </w:r>
      <w:r>
        <w:t xml:space="preserve">never acts reproduces (b) exactly, so the campaign on its own separates a</w:t>
      </w:r>
      <w:r>
        <w:t xml:space="preserve"> </w:t>
      </w:r>
      <w:r>
        <w:t xml:space="preserve">working safety mechanism from an absent signal not at all. Three replays of the</w:t>
      </w:r>
      <w:r>
        <w:t xml:space="preserve"> </w:t>
      </w:r>
      <w:r>
        <w:t xml:space="preserve">same cached pools separate a little more.</w:t>
      </w:r>
      <w:r>
        <w:t xml:space="preserve"> </w:t>
      </w:r>
      <w:r>
        <w:rPr>
          <w:i/>
          <w:iCs/>
        </w:rPr>
        <w:t xml:space="preserve">Stability:</w:t>
      </w:r>
      <w:r>
        <w:t xml:space="preserve"> </w:t>
      </w:r>
      <w:r>
        <w:t xml:space="preserve">bootstrapping the</w:t>
      </w:r>
      <w:r>
        <w:t xml:space="preserve"> </w:t>
      </w:r>
      <w:r>
        <w:t xml:space="preserve">items, the 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resamples—with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t xml:space="preserve">the reported abstention is a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margin, not a reading of the</w:t>
      </w:r>
      <w:r>
        <w:t xml:space="preserve"> </w:t>
      </w:r>
      <w:r>
        <w:t xml:space="preserve">evidence—while the label-free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—though finding (f) will show</w:t>
      </w:r>
      <w:r>
        <w:t xml:space="preserve"> </w:t>
      </w:r>
      <w:r>
        <w:t xml:space="preserve">that figure describes the significance gate alone.</w:t>
      </w:r>
      <w:r>
        <w:t xml:space="preserve"> </w:t>
      </w:r>
      <w:r>
        <w:rPr>
          <w:i/>
          <w:iCs/>
        </w:rPr>
        <w:t xml:space="preserve">Specificity:</w:t>
      </w:r>
      <w:r>
        <w:t xml:space="preserve"> </w:t>
      </w:r>
      <w:r>
        <w:t xml:space="preserve">permuting confidences within items, which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The dead zone’s null behaviour is therefore calibrated on the real</w:t>
      </w:r>
      <w:r>
        <w:t xml:space="preserve"> </w:t>
      </w:r>
      <w:r>
        <w:t xml:space="preserve">substrate itself, which is the one piece of evidence here that the mechanism is</w:t>
      </w:r>
      <w:r>
        <w:t xml:space="preserve"> </w:t>
      </w:r>
      <w:r>
        <w:t xml:space="preserve">doing work.</w:t>
      </w:r>
      <w:r>
        <w:t xml:space="preserve"> </w:t>
      </w:r>
      <w:r>
        <w:rPr>
          <w:i/>
          <w:iCs/>
        </w:rPr>
        <w:t xml:space="preserve">Cost: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matters; but the sign the estimator derived is the sign the oracle</w:t>
      </w:r>
      <w:r>
        <w:t xml:space="preserve"> </w:t>
      </w:r>
      <w:r>
        <w:t xml:space="preserve">wanted, and (b) should be read as</w:t>
      </w:r>
      <w:r>
        <w:t xml:space="preserve"> </w:t>
      </w:r>
      <w:r>
        <w:rPr>
          <w:i/>
          <w:iCs/>
        </w:rPr>
        <w:t xml:space="preserve">costs nothing measurable at this</w:t>
      </w:r>
      <w:r>
        <w:rPr>
          <w:i/>
          <w:iCs/>
        </w:rP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It does not demonstrate that abstaining was right.</w:t>
      </w:r>
    </w:p>
    <w:p>
      <w:pPr>
        <w:pStyle w:val="BodyText"/>
      </w:pPr>
      <w:r>
        <w:rPr>
          <w:i/>
          <w:iCs/>
        </w:rPr>
        <w:t xml:space="preserve">(f) What the gate could have detected here.</w:t>
      </w:r>
      <w:r>
        <w:t xml:space="preserve"> </w:t>
      </w:r>
      <w:r>
        <w:t xml:space="preserve">Finding (e) measures</w:t>
      </w:r>
      <w:r>
        <w:t xml:space="preserve"> </w:t>
      </w:r>
      <w:r>
        <w:t xml:space="preserve">specificity; sensitivity needs a channel of known strength, so one is planted</w:t>
      </w:r>
      <w:r>
        <w:t xml:space="preserve"> </w:t>
      </w:r>
      <w:r>
        <w:t xml:space="preserve">into these same pools—real answers, difficulty and duplication untouched,</w:t>
      </w:r>
      <w:r>
        <w:t xml:space="preserve"> </w:t>
      </w:r>
      <w:r>
        <w:t xml:space="preserve">only the confidence vector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Four results,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cell.</w:t>
      </w:r>
      <w:r>
        <w:t xml:space="preserve"> </w:t>
      </w:r>
      <w:r>
        <w:rPr>
          <w:i/>
          <w:iCs/>
        </w:rPr>
        <w:t xml:space="preserve">One:</w:t>
      </w:r>
      <w:r>
        <w:t xml:space="preserve"> </w:t>
      </w:r>
      <w:r>
        <w:t xml:space="preserve">the gate’s operating characteristic is a</w:t>
      </w:r>
      <w:r>
        <w:t xml:space="preserve"> </w:t>
      </w:r>
      <w:r>
        <w:t xml:space="preserve">function of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and not of the family—half-power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0.56</m:t>
        </m:r>
      </m:oMath>
      <w:r>
        <w:t xml:space="preserve">, and the derived exponent capturing the whole oracle gain from</w:t>
      </w:r>
      <w:r>
        <w:t xml:space="preserve"> </w:t>
      </w:r>
      <m:oMath>
        <m:r>
          <m:t>0.83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; at the Gaussian thresholds the Laplace family is already at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capture—so detection is a property of the rank</w:t>
      </w:r>
      <w:r>
        <w:t xml:space="preserve"> </w:t>
      </w:r>
      <w:r>
        <w:t xml:space="preserve">functional rather than of the generator, and the link survives the normality</w:t>
      </w:r>
      <w:r>
        <w:t xml:space="preserve"> </w:t>
      </w:r>
      <w:r>
        <w:t xml:space="preserve">violation. The measured channel of (a),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sits at the half-power</w:t>
      </w:r>
      <w:r>
        <w:t xml:space="preserve"> </w:t>
      </w:r>
      <w:r>
        <w:t xml:space="preserve">floor: finding (e)’s coin flip restated as an operating characteristic.</w:t>
      </w:r>
      <w:r>
        <w:t xml:space="preserve"> </w:t>
      </w:r>
      <w:r>
        <w:rPr>
          <w:i/>
          <w:iCs/>
        </w:rPr>
        <w:t xml:space="preserve">Two:</w:t>
      </w:r>
      <w:r>
        <w:t xml:space="preserve"> </w:t>
      </w:r>
      <w:r>
        <w:t xml:space="preserve">conditional on the gate opening, the sign is never wrong, in any</w:t>
      </w:r>
      <w:r>
        <w:t xml:space="preserve"> </w:t>
      </w:r>
      <w:r>
        <w:t xml:space="preserve">cell of any family.</w:t>
      </w:r>
      <w:r>
        <w:t xml:space="preserve"> </w:t>
      </w:r>
      <w:r>
        <w:rPr>
          <w:i/>
          <w:iCs/>
        </w:rPr>
        <w:t xml:space="preserve">Three:</w:t>
      </w:r>
      <w:r>
        <w:t xml:space="preserve"> </w:t>
      </w:r>
      <w:r>
        <w:t xml:space="preserve">the scope boundaries are real.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strength—a pooled</w:t>
      </w:r>
      <w:r>
        <w:t xml:space="preserve"> </w:t>
      </w:r>
      <w:r>
        <w:t xml:space="preserve">pair statistic barely sees information carried by a single rank position—and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correctly holds</w:t>
      </w:r>
      <w:r>
        <w:t xml:space="preserve"> </w:t>
      </w:r>
      <w:r>
        <w:t xml:space="preserve">its nominal false-open rate on it.</w:t>
      </w:r>
      <w:r>
        <w:t xml:space="preserve"> </w:t>
      </w:r>
      <w:r>
        <w:rPr>
          <w:i/>
          <w:iCs/>
        </w:rPr>
        <w:t xml:space="preserve">Four, a defect:</w:t>
      </w:r>
      <w:r>
        <w:t xml:space="preserve"> </w:t>
      </w:r>
      <w:r>
        <w:t xml:space="preserve">the label-free arm</w:t>
      </w:r>
      <w:r>
        <w:t xml:space="preserve"> </w:t>
      </w:r>
      <w:r>
        <w:t xml:space="preserve">never acts in any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(b)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substrate, not of the estimator.</w:t>
      </w:r>
    </w:p>
    <w:p>
      <w:pPr>
        <w:pStyle w:val="BodyText"/>
      </w:pPr>
      <w:r>
        <w:rPr>
          <w:i/>
          <w:iCs/>
        </w:rPr>
        <w:t xml:space="preserve">Abstention behaved as designed, for two different reasons.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both label-free paths, and the two failures are worth</w:t>
      </w:r>
      <w:r>
        <w:t xml:space="preserve"> </w:t>
      </w:r>
      <w:r>
        <w:t xml:space="preserve">separating. The fully label-free arm was stopped by alarms E4 and E2: only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items reach the margin gate with a pseudo-label that varies, against a</w:t>
      </w:r>
      <w:r>
        <w:t xml:space="preserve"> </w:t>
      </w:r>
      <w:r>
        <w:t xml:space="preserve">floor of</w:t>
      </w:r>
      <w:r>
        <w:t xml:space="preserve"> </w:t>
      </w:r>
      <m:oMath>
        <m:r>
          <m:t>50</m:t>
        </m:r>
      </m:oMath>
      <w:r>
        <w:t xml:space="preserve">, and relaxing the gate’s quantile all the way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raises</w:t>
      </w:r>
      <w:r>
        <w:t xml:space="preserve"> </w:t>
      </w:r>
      <w:r>
        <w:t xml:space="preserve">that only to</w:t>
      </w:r>
      <w:r>
        <w:t xml:space="preserve"> </w:t>
      </w:r>
      <m:oMath>
        <m:r>
          <m:t>40</m:t>
        </m:r>
      </m:oMath>
      <w:r>
        <w:t xml:space="preserve">, so the arm is untestable here at any channel strength.</w:t>
      </w:r>
      <w:r>
        <w:t xml:space="preserve"> </w:t>
      </w:r>
      <w:r>
        <w:t xml:space="preserve">The semi-label-free arm was stopped by something else entirely: its</w:t>
      </w:r>
      <w:r>
        <w:t xml:space="preserve"> </w:t>
      </w:r>
      <m:oMath>
        <m:r>
          <m:t>30</m:t>
        </m:r>
      </m:oMath>
      <w:r>
        <w:t xml:space="preserve">-item</w:t>
      </w:r>
      <w:r>
        <w:t xml:space="preserve"> </w:t>
      </w:r>
      <w:r>
        <w:t xml:space="preserve">sign set reaches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0.73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gate, while the evaluation set on</w:t>
      </w:r>
      <w:r>
        <w:t xml:space="preserve"> </w:t>
      </w:r>
      <w:r>
        <w:t xml:space="preserve">the same substrate reaches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2.33</m:t>
        </m:r>
      </m:oMath>
      <w:r>
        <w:t xml:space="preserve">. That is a power shortfall in the sign</w:t>
      </w:r>
      <w:r>
        <w:t xml:space="preserve"> </w:t>
      </w:r>
      <w:r>
        <w:t xml:space="preserve">set, not an absent channel, and the remedy is more labels rather than a</w:t>
      </w:r>
      <w:r>
        <w:t xml:space="preserve"> </w:t>
      </w:r>
      <w:r>
        <w:t xml:space="preserve">different method.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 E4 is an</w:t>
      </w:r>
      <w:r>
        <w:t xml:space="preserve"> </w:t>
      </w:r>
      <w:r>
        <w:t xml:space="preserve">item-supply condition rather than a reading of the channel, and finding (f)</w:t>
      </w:r>
      <w:r>
        <w:t xml:space="preserve"> </w:t>
      </w:r>
      <w:r>
        <w:t xml:space="preserve">shows it has two routes: on the saturated pools of Section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margin gate’s quantile cut degenerates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and the gated set is empty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channel, whereas here the cut is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set is non-empty,</w:t>
      </w:r>
      <w:r>
        <w:t xml:space="preserve"> </w:t>
      </w:r>
      <w:r>
        <w:t xml:space="preserve">so the alarm reports a genuine shortfall against the floor. Only the first is a defect.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failure, not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fired—the same item-supply condition, with the quantile cut at</w:t>
      </w:r>
      <w:r>
        <w:t xml:space="preserve"> </w:t>
      </w:r>
      <m:oMath>
        <m:r>
          <m:t>0.750</m:t>
        </m:r>
      </m:oMath>
      <w:r>
        <w:t xml:space="preserve"> </w:t>
      </w:r>
      <w:r>
        <w:t xml:space="preserve">and the gated set again non-empty, and not the degenerate case</w:t>
      </w:r>
      <w:r>
        <w:t xml:space="preserve"> </w:t>
      </w:r>
      <w:r>
        <w:t xml:space="preserve">finding (f) reports. That abstention is testable,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shows only that the</w:t>
      </w:r>
      <w:r>
        <w:t xml:space="preserve"> </w:t>
      </w:r>
      <w:r>
        <w:t xml:space="preserve">implementation respects an invariance it was built to have;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default, and</w:t>
      </w:r>
      <w:r>
        <w:t xml:space="preserve"> </w:t>
      </w:r>
      <w:r>
        <w:t xml:space="preserve">treating it as an optional refinement is the mistake.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input, not a fixed property</w:t>
      </w:r>
      <w:r>
        <w:t xml:space="preserve"> </w:t>
      </w:r>
      <w:r>
        <w:t xml:space="preserve">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3"/>
    <w:bookmarkStart w:id="85" w:name="app:notation"/>
    <w:p>
      <w:pPr>
        <w:pStyle w:val="Heading1"/>
      </w:pPr>
      <w:r>
        <w:t xml:space="preserve">Notation</w:t>
      </w:r>
    </w:p>
    <w:bookmarkStart w:id="84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4"/>
    <w:bookmarkEnd w:id="85"/>
    <w:bookmarkStart w:id="13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6" w:name="bib:wang2023selfconsistency"/>
      <w:bookmarkEnd w:id="86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7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8" w:name="bib:tian2023just"/>
      <w:bookmarkEnd w:id="88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9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90" w:name="bib:xiong2024can"/>
      <w:bookmarkEnd w:id="90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1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2" w:name="bib:kadavath2022language"/>
      <w:bookmarkEnd w:id="92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3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4" w:name="bib:taubenfeld2025cisc"/>
      <w:bookmarkEnd w:id="94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5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6" w:name="bib:reasc2026"/>
      <w:bookmarkEnd w:id="96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7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8" w:name="bib:deepconf2025"/>
      <w:bookmarkEnd w:id="98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9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100" w:name="bib:huang2024rankcalibration"/>
      <w:bookmarkEnd w:id="100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1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2" w:name="bib:dawid1979maximum"/>
      <w:bookmarkEnd w:id="102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3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4" w:name="bib:parisi2014ranking"/>
      <w:bookmarkEnd w:id="104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5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6" w:name="bib:li2023divers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7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8" w:name="bib:aggarwal2023adaptive"/>
      <w:bookmarkEnd w:id="108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9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10" w:name="bib:li2024escape"/>
      <w:bookmarkEnd w:id="110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1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2" w:name="bib:borda2025"/>
      <w:bookmarkEnd w:id="112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3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4" w:name="bib:whitehill2009whose"/>
      <w:bookmarkEnd w:id="114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5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6" w:name="bib:karger2011iterative"/>
      <w:bookmarkEnd w:id="116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7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8" w:name="bib:fuse2026"/>
      <w:bookmarkEnd w:id="118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9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20" w:name="bib:beyondmajority2025"/>
      <w:bookmarkEnd w:id="120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1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2" w:name="bib:vanelteren1960"/>
      <w:bookmarkEnd w:id="122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3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4" w:name="bib:james1961estimation"/>
      <w:bookmarkEnd w:id="124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5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6" w:name="bib:kish1965"/>
      <w:bookmarkEnd w:id="126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7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8" w:name="bib:rao1981analysis"/>
      <w:bookmarkEnd w:id="128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9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30" w:name="bib:gsm8k2021"/>
      <w:bookmarkEnd w:id="130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31" w:name="bib:math500"/>
      <w:bookmarkEnd w:id="131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2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3" w:name="bib:lightman2024verify"/>
      <w:bookmarkEnd w:id="133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4" w:name="bib:leetcodedataset"/>
      <w:bookmarkEnd w:id="134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5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6" w:name="bib:kuhn2023semantic"/>
      <w:bookmarkEnd w:id="136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7">
        <w:r>
          <w:rPr>
            <w:rStyle w:val="Hyperlink"/>
          </w:rPr>
          <w:t xml:space="preserve">https://arxiv.org/pdf/2302.09664</w:t>
        </w:r>
      </w:hyperlink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2026-08-03T10:50:33Z</dcterms:created>
  <dcterms:modified xsi:type="dcterms:W3CDTF">2026-08-03T10:50:33Z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