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4.png" ContentType="image/png"/>
  <Override PartName="/word/media/rId5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improves on majority voting when a frozen</w:t>
      </w:r>
      <w:r>
        <w:t xml:space="preserve"> </w:t>
      </w:r>
      <w:r>
        <w:t xml:space="preserve">model’s self-reported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</w:t>
      </w:r>
      <w:r>
        <w:t xml:space="preserve"> </w:t>
      </w:r>
      <w:r>
        <w:t xml:space="preserve">published scheme is monotone increasing in confidence, so an anti-correlated</w:t>
      </w:r>
      <w:r>
        <w:t xml:space="preserve"> </w:t>
      </w:r>
      <w:r>
        <w:t xml:space="preserve">channel poisons the vote, and binary calibration gates survive inversion only</w:t>
      </w:r>
      <w:r>
        <w:t xml:space="preserve"> </w:t>
      </w:r>
      <w:r>
        <w:t xml:space="preserve">by discarding discriminative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</w:t>
      </w:r>
      <w:r>
        <w:t xml:space="preserve"> </w:t>
      </w:r>
      <w:r>
        <w:t xml:space="preserve">measured,</w:t>
      </w:r>
      <w:r>
        <w:t xml:space="preserve"> </w:t>
      </w:r>
      <w:r>
        <w:rPr>
          <w:i/>
          <w:iCs/>
        </w:rPr>
        <w:t xml:space="preserve">signed</w:t>
      </w:r>
      <w:r>
        <w:t xml:space="preserve">, 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an item-clustered standard error, positive-part</w:t>
      </w:r>
      <w:r>
        <w:t xml:space="preserve"> </w:t>
      </w:r>
      <w:r>
        <w:t xml:space="preserve">James–Stein shrinkage, and a Bayes-discriminant link, which at the default</w:t>
      </w:r>
      <w:r>
        <w:t xml:space="preserve"> </w:t>
      </w:r>
      <w:r>
        <w:t xml:space="preserve">base rate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probit of the shrunk pooled AUC. Inside the shrinkage dead zone the vote is</w:t>
      </w:r>
      <w:r>
        <w:t xml:space="preserve"> </w:t>
      </w:r>
      <w:r>
        <w:t xml:space="preserve">bit-identical to plain self-consistency. A label-free variant estimates the</w:t>
      </w:r>
      <w:r>
        <w:t xml:space="preserve"> </w:t>
      </w:r>
      <w:r>
        <w:t xml:space="preserve">sign from agreement pseudo-labels under an attenuation identity that</w:t>
      </w:r>
      <w:r>
        <w:t xml:space="preserve"> </w:t>
      </w:r>
      <w:r>
        <w:t xml:space="preserve">guarantees sign consistency while the plurality-error rate stays below one</w:t>
      </w:r>
      <w:r>
        <w:t xml:space="preserve"> </w:t>
      </w:r>
      <w:r>
        <w:t xml:space="preserve">half; past that boundary it mis-signs, which the paper measures and reports.</w:t>
      </w:r>
      <w:r>
        <w:t xml:space="preserve"> </w:t>
      </w:r>
      <w:r>
        <w:t xml:space="preserve">On a synthetic-oracle harness it recovers anti-correlated channels that pin</w:t>
      </w:r>
      <w:r>
        <w:t xml:space="preserve"> </w:t>
      </w:r>
      <w:r>
        <w:t xml:space="preserve">every published protocol to 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</w:t>
      </w:r>
      <w:r>
        <w:t xml:space="preserve"> </w:t>
      </w:r>
      <w:r>
        <w:t xml:space="preserve">cracks the 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).</w:t>
      </w:r>
      <w:r>
        <w:t xml:space="preserve"> </w:t>
      </w:r>
      <w:r>
        <w:t xml:space="preserve">Against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grid, which the sweep shows is a far</w:t>
      </w:r>
      <w:r>
        <w:t xml:space="preserve"> </w:t>
      </w:r>
      <w:r>
        <w:t xml:space="preserve">stronger baseline than the published protocols, the advantage narrows to</w:t>
      </w:r>
      <w:r>
        <w:t xml:space="preserve"> </w:t>
      </w:r>
      <w:r>
        <w:t xml:space="preserve">distortion, echo, and label-free operation. Two real-trace campaigns then</w:t>
      </w:r>
      <w:r>
        <w:t xml:space="preserve"> </w:t>
      </w:r>
      <w:r>
        <w:t xml:space="preserve">bound the setting: the channel is null on saturated benchmarks</w:t>
      </w:r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yet the stratum any such method can act on measures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 substrates in two domains, so abstention is the correct</w:t>
      </w:r>
      <w:r>
        <w:t xml:space="preserve"> </w:t>
      </w:r>
      <w:r>
        <w:t xml:space="preserve">default and the dead zone 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weighted voting,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Because each trace can also report a confidence score (verbalized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]), a natural refinement is to weight votes by confidence.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author’s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rather than assumes away.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where a flip could help,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on every substrate tried, in two domains, and does not widen as items 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 rather</w:t>
      </w:r>
      <w:r>
        <w:t xml:space="preserve"> </w:t>
      </w:r>
      <w:r>
        <w:t xml:space="preserve">than a conservative one.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,</w:t>
      </w:r>
      <w:hyperlink w:anchor="bib:borda2025">
        <w:r>
          <w:rPr>
            <w:rStyle w:val="Hyperlink"/>
          </w:rPr>
          <w:t xml:space="preserve">12</w:t>
        </w:r>
      </w:hyperlink>
      <w:r>
        <w:t xml:space="preserve">] and early-stopping families [</w:t>
      </w:r>
      <w:hyperlink w:anchor="bib:aggarwal2023adaptive">
        <w:r>
          <w:rPr>
            <w:rStyle w:val="Hyperlink"/>
          </w:rPr>
          <w:t xml:space="preserve">13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14</w:t>
        </w:r>
      </w:hyperlink>
      <w:r>
        <w:t xml:space="preserve">] refine the budget;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by the author (RLEV-VoI, redundancy-discounted voting with value-of-information stopping) 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 dominated everywhere by a simple deduplication baseline, and is reported as a negative result. Its post-mortem isolated the confidence dilemma studied 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5334000" cy="330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A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  <m:r>
                    <m:t> </m:t>
                  </m:r>
                  <m:sSub>
                    <m:e>
                      <m:r>
                        <m:t>φ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 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γ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sub>
                <m:sup>
                  <m:sSub>
                    <m:e>
                      <m:r>
                        <m:t>γ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the vote then sees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rather than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(98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1" w:name="sec:lf"/>
    <w:p>
      <w:pPr>
        <w:pStyle w:val="Heading1"/>
      </w:pPr>
      <w:r>
        <w:t xml:space="preserve">Label-Free Estimation</w:t>
      </w:r>
    </w:p>
    <w:bookmarkStart w:id="37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sign-consistency-and-its-boundary"/>
    <w:p>
      <w:pPr>
        <w:pStyle w:val="Heading2"/>
      </w:pPr>
      <w:r>
        <w:t xml:space="preserve">Sign consistency and its boundary</w:t>
      </w:r>
    </w:p>
    <w:bookmarkStart w:id="38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38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conditional; it is stated as such rather than papered over.</w:t>
      </w:r>
    </w:p>
    <w:bookmarkEnd w:id="39"/>
    <w:bookmarkStart w:id="40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the author hit, diagnosed, and fixed, and which the released tests pin.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0"/>
    <w:bookmarkEnd w:id="41"/>
    <w:bookmarkStart w:id="47" w:name="sec:hetero"/>
    <w:p>
      <w:pPr>
        <w:pStyle w:val="Heading1"/>
      </w:pPr>
      <w:r>
        <w:t xml:space="preserve">Heterogeneity: Impossibility and Escape</w:t>
      </w:r>
    </w:p>
    <w:bookmarkStart w:id="45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2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 Empirically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End w:id="42"/>
    <w:bookmarkStart w:id="43" w:name="prop:curse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3"/>
    <w:bookmarkStart w:id="44" w:name="prop:twoworld"/>
    <w:p>
      <w:pPr>
        <w:pStyle w:val="BodyText"/>
      </w:pPr>
      <w:r>
        <w:rPr>
          <w:b/>
          <w:bCs/>
        </w:rPr>
        <w:t xml:space="preserve">Proposition 7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For any observed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, the worlds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induce identical observable laws (constructively,</w:t>
      </w:r>
      <w:r>
        <w:rPr>
          <w:i/>
          <w:iCs/>
        </w:rPr>
        <w:t xml:space="preserve"> </w:t>
      </w:r>
      <m:oMath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computed against either truth satisfies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). No label-free method can separate them.</w:t>
      </w:r>
    </w:p>
    <w:bookmarkEnd w:id="44"/>
    <w:p>
      <w:pPr>
        <w:pStyle w:val="BodyText"/>
      </w:pPr>
      <w:r>
        <w:t xml:space="preserve">Consequently the per-item oracle (</w:t>
      </w:r>
      <m:oMath>
        <m:r>
          <m:t>0.983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5"/>
    <w:bookmarkStart w:id="46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show is the only defensible default.</w:t>
      </w:r>
    </w:p>
    <w:bookmarkEnd w:id="46"/>
    <w:bookmarkEnd w:id="47"/>
    <w:bookmarkStart w:id="53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48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.917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48"/>
    <w:bookmarkStart w:id="52" w:name="fig:sweep"/>
    <w:p>
      <w:pPr>
        <w:pStyle w:val="CaptionedFigure"/>
      </w:pPr>
      <w:r>
        <w:drawing>
          <wp:inline>
            <wp:extent cx="5334000" cy="322520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s/tact_sweep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2"/>
    <w:bookmarkEnd w:id="53"/>
    <w:bookmarkStart w:id="77" w:name="sec:results"/>
    <w:p>
      <w:pPr>
        <w:pStyle w:val="Heading1"/>
      </w:pPr>
      <w:r>
        <w:t xml:space="preserve">Results</w:t>
      </w:r>
    </w:p>
    <w:bookmarkStart w:id="55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4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.585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.200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c>
          <w:tcPr>
            <w:gridSpan w:val="6"/>
          </w:tcPr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alarm fires and the method refuses to leave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—the conditional</w:t>
            </w:r>
          </w:p>
        </w:tc>
      </w:tr>
      <w:tr>
        <w:tc>
          <w:tcPr>
            <w:gridSpan w:val="6"/>
          </w:tcPr>
          <w:p>
            <w:pPr>
              <w:pStyle w:val="Compact"/>
              <w:jc w:val="left"/>
            </w:pPr>
            <w:r>
              <w:t xml:space="preserve">guarantee of 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working as stated.</w:t>
            </w:r>
          </w:p>
        </w:tc>
      </w:tr>
    </w:tbl>
    <w:bookmarkEnd w:id="54"/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±</m:t>
        </m:r>
        <m:r>
          <m:t>1.06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±</m:t>
        </m:r>
        <m:r>
          <m:t>2.80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0.880</m:t>
        </m:r>
      </m:oMath>
      <w:r>
        <w:t xml:space="preserve"> </w:t>
      </w:r>
      <w:r>
        <w:t xml:space="preserve">vs. </w:t>
      </w:r>
      <m:oMath>
        <m:r>
          <m:t>0.892</m:t>
        </m:r>
      </m:oMath>
      <w:r>
        <w:t xml:space="preserve">;</w:t>
      </w:r>
      <w:r>
        <w:t xml:space="preserve"> </w:t>
      </w:r>
      <m:oMath>
        <m:r>
          <m:t>0.902</m:t>
        </m:r>
      </m:oMath>
      <w:r>
        <w:t xml:space="preserve"> </w:t>
      </w:r>
      <w:r>
        <w:t xml:space="preserve">vs. </w:t>
      </w:r>
      <m:oMath>
        <m:r>
          <m:t>0.917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0.993</m:t>
        </m:r>
      </m:oMath>
      <w:r>
        <w:t xml:space="preserve">;</w:t>
      </w:r>
      <w:r>
        <w:t xml:space="preserve"> </w:t>
      </w:r>
      <m:oMath>
        <m:r>
          <m:t>0.988</m:t>
        </m:r>
      </m:oMath>
      <w:r>
        <w:t xml:space="preserve"> </w:t>
      </w:r>
      <w:r>
        <w:t xml:space="preserve">vs. </w:t>
      </w:r>
      <m:oMath>
        <m:r>
          <m:t>0.993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5"/>
    <w:bookmarkStart w:id="60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no label-free method could do better than a coin flip on the sign here, and pretending otherwise would be the real failure.</w:t>
      </w:r>
    </w:p>
    <w:bookmarkStart w:id="59" w:name="fig:adv"/>
    <w:p>
      <w:pPr>
        <w:pStyle w:val="CaptionedFigure"/>
      </w:pPr>
      <w:r>
        <w:drawing>
          <wp:inline>
            <wp:extent cx="5334000" cy="27262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s/tact_adversarial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59"/>
    <w:bookmarkEnd w:id="60"/>
    <w:bookmarkStart w:id="66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legitimate method sits at the floor with zero discordant pairs, and the naive self-referential control lands slightly below it—the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7</w:t>
        </w:r>
      </w:hyperlink>
      <w:r>
        <w:t xml:space="preserve">. One observation is reported as-is rather than tuned for: the label-free variant outperforms the dev variant in the grouped cell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0.927</m:t>
        </m:r>
      </m:oMath>
      <w:r>
        <w:t xml:space="preserve">) because its lower exponent cap (</w:t>
      </w:r>
      <m:oMath>
        <m:r>
          <m:t>2</m:t>
        </m:r>
      </m:oMath>
      <w:r>
        <w:t xml:space="preserve"> </w:t>
      </w:r>
      <w:r>
        <w:t xml:space="preserve">vs. </w:t>
      </w:r>
      <m:oMath>
        <m:r>
          <m:t>4</m:t>
        </m:r>
      </m:oMath>
      <w:r>
        <w:t xml:space="preserve">) regularizes better when</w:t>
      </w:r>
      <w:r>
        <w:t xml:space="preserve"> </w:t>
      </w:r>
      <m:oMath>
        <m:r>
          <m:rPr>
            <m:sty m:val="p"/>
          </m:rPr>
          <m:t>|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1</m:t>
        </m:r>
      </m:oMath>
      <w:r>
        <w:t xml:space="preserve">; cap robustness is left as an ablation.</w:t>
      </w:r>
    </w:p>
    <w:bookmarkStart w:id="61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.983</w:t>
            </w:r>
          </w:p>
        </w:tc>
      </w:tr>
    </w:tbl>
    <w:bookmarkEnd w:id="61"/>
    <w:bookmarkStart w:id="65" w:name="fig:group"/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s/group_eval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legitimate method at the floor; the negative control slightly below it.</w:t>
      </w:r>
    </w:p>
    <w:bookmarkEnd w:id="65"/>
    <w:bookmarkEnd w:id="66"/>
    <w:bookmarkStart w:id="67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 rather than catastrophically.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0.947</m:t>
        </m:r>
      </m:oMath>
      <w:r>
        <w:t xml:space="preserve"> </w:t>
      </w:r>
      <w:r>
        <w:t xml:space="preserve">vs. </w:t>
      </w:r>
      <m:oMath>
        <m:r>
          <m:t>0.760</m:t>
        </m:r>
      </m:oMath>
      <w:r>
        <w:t xml:space="preserve">), and F4 (both grid baselines trail by</w:t>
      </w:r>
      <w:r>
        <w:t xml:space="preserve"> </w:t>
      </w:r>
      <m:oMath>
        <m:r>
          <m:t>0.032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0.048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0.005</m:t>
        </m:r>
      </m:oMath>
      <w:r>
        <w:t xml:space="preserve">–</w:t>
      </w:r>
      <m:oMath>
        <m:r>
          <m:t>0.015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7"/>
    <w:bookmarkStart w:id="69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98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work, and runs in 82 seconds.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68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68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69"/>
    <w:bookmarkStart w:id="70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0.768</m:t>
        </m:r>
      </m:oMath>
      <w:r>
        <w:t xml:space="preserve"> </w:t>
      </w:r>
      <w:r>
        <w:t xml:space="preserve">for both: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 rather than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0"/>
    <w:bookmarkStart w:id="71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</w:t>
      </w:r>
      <w:r>
        <w:t xml:space="preserve"> </w:t>
      </w:r>
      <w:r>
        <w:t xml:space="preserve">(50 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], 50 CommonsenseQA),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per item with verbalized confidence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1"/>
    <w:bookmarkStart w:id="73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 rather than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</w:t>
      </w:r>
    </w:p>
    <w:bookmarkStart w:id="72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2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3"/>
    <w:bookmarkStart w:id="75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4" w:name="tab:window"/>
    <w:p>
      <w:pPr>
        <w:pStyle w:val="TableCaption"/>
      </w:pPr>
      <w:r>
        <w:t xml:space="preserve">The addressable stratum across substrates.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measured here; HumanEval+/MBPP+ is recomputed from published oracle-minus-</w:t>
      </w:r>
      <w:r>
        <w:t xml:space="preserve"> </w:t>
      </w:r>
      <w:r>
        <w:t xml:space="preserve">selector tables. As items harden they pass from saturated to</w:t>
      </w:r>
      <w:r>
        <w:t xml:space="preserve"> </w:t>
      </w:r>
      <w:r>
        <w:t xml:space="preserve">capability-limited without the window widening.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. Rows marked \dagger are measured here; HumanEval+/MBPP+ is recomputed from published oracle-minus- selector tables. As items harden they pass from saturated to capability-limited without the window widen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label-free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CommonsenseQA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informative,</w:t>
            </w:r>
            <w: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decisive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label-free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level-5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decisive,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rescuable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label-free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decisive,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rescuable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Code, executable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Code, executable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7.5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budget-constrained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level-5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11.8</m:t>
              </m:r>
              <m:r>
                <m:rPr>
                  <m:sty m:val="p"/>
                </m:rPr>
                <m:t>%</m:t>
              </m:r>
            </m:oMath>
          </w:p>
        </w:tc>
      </w:tr>
    </w:tbl>
    <w:bookmarkEnd w:id="74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An earlier version of the same harness</w:t>
      </w:r>
      <w:r>
        <w:t xml:space="preserve"> </w:t>
      </w:r>
      <w:r>
        <w:t xml:space="preserve">failed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 because the host rejects one of the requested</w:t>
      </w:r>
      <w:r>
        <w:t xml:space="preserve"> </w:t>
      </w:r>
      <w:r>
        <w:t xml:space="preserve">limits outright, and that condition presents as a candidate failure rather</w:t>
      </w:r>
      <w:r>
        <w:t xml:space="preserve"> </w:t>
      </w:r>
      <w:r>
        <w:t xml:space="preserve">than as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5"/>
    <w:bookmarkStart w:id="76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fired. That abstention is testable rather than a matter of taste,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6"/>
    <w:bookmarkEnd w:id="77"/>
    <w:bookmarkStart w:id="78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circularity: the adversarial regimes (distortions, heterogeneity, echo) lie outside the estimator’s working model;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7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 rather</w:t>
      </w:r>
      <w:r>
        <w:t xml:space="preserve"> </w:t>
      </w:r>
      <w:r>
        <w:t xml:space="preserve">than an optional refinement.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on every substrate</w:t>
      </w:r>
      <w:r>
        <w:t xml:space="preserve"> </w:t>
      </w:r>
      <w:r>
        <w:t xml:space="preserve">tried,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</w:p>
    <w:bookmarkEnd w:id="78"/>
    <w:bookmarkStart w:id="7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79"/>
    <w:bookmarkStart w:id="81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0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. Each script</w:t>
      </w:r>
      <w:r>
        <w:t xml:space="preserve"> </w:t>
      </w:r>
      <w:r>
        <w:t xml:space="preserve">writes the artifact its table cites.</w:t>
      </w:r>
    </w:p>
    <w:bookmarkEnd w:id="81"/>
    <w:bookmarkStart w:id="132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2" w:name="bib:wang2023selfconsistency"/>
      <w:bookmarkEnd w:id="82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3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4" w:name="bib:tian2023just"/>
      <w:bookmarkEnd w:id="84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5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86" w:name="bib:xiong2024can"/>
      <w:bookmarkEnd w:id="86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87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88" w:name="bib:kadavath2022language"/>
      <w:bookmarkEnd w:id="88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89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0" w:name="bib:taubenfeld2025cisc"/>
      <w:bookmarkEnd w:id="90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1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2" w:name="bib:reasc2026"/>
      <w:bookmarkEnd w:id="92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3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4" w:name="bib:deepconf2025"/>
      <w:bookmarkEnd w:id="94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5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96" w:name="bib:huang2024rankcalibration"/>
      <w:bookmarkEnd w:id="96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97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98" w:name="bib:dawid1979maximum"/>
      <w:bookmarkEnd w:id="98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99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0" w:name="bib:parisi2014ranking"/>
      <w:bookmarkEnd w:id="100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1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2" w:name="bib:li2023diverse"/>
      <w:bookmarkEnd w:id="102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3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4" w:name="bib:borda2025"/>
      <w:bookmarkEnd w:id="104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05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06" w:name="bib:aggarwal2023adaptive"/>
      <w:bookmarkEnd w:id="106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7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08" w:name="bib:li2024escape"/>
      <w:bookmarkEnd w:id="108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09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0" w:name="bib:whitehill2009whose"/>
      <w:bookmarkEnd w:id="110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1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2" w:name="bib:karger2011iterative"/>
      <w:bookmarkEnd w:id="112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3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4" w:name="bib:fuse2026"/>
      <w:bookmarkEnd w:id="114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5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16" w:name="bib:beyondmajority2025"/>
      <w:bookmarkEnd w:id="116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17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18" w:name="bib:vanelteren1960"/>
      <w:bookmarkEnd w:id="118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19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0" w:name="bib:james1961estimation"/>
      <w:bookmarkEnd w:id="120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1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2" w:name="bib:kish1965"/>
      <w:bookmarkEnd w:id="122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3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4" w:name="bib:rao1981analysis"/>
      <w:bookmarkEnd w:id="124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5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26" w:name="bib:gsm8k2021"/>
      <w:bookmarkEnd w:id="126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27" w:name="bib:math500"/>
      <w:bookmarkEnd w:id="127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28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29" w:name="bib:lightman2024verify"/>
      <w:bookmarkEnd w:id="129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0" w:name="bib:leetcodedataset"/>
      <w:bookmarkEnd w:id="130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1">
        <w:r>
          <w:rPr>
            <w:rStyle w:val="Hyperlink"/>
          </w:rPr>
          <w:t xml:space="preserve">https://arxiv.org/pdf/2504.14655</w:t>
        </w:r>
      </w:hyperlink>
    </w:p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4" Target="media/rId14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hyperlink" Id="rId103" Target="https://aclanthology.org/2023.acl-long.291.pdf" TargetMode="External" /><Relationship Type="http://schemas.openxmlformats.org/officeDocument/2006/relationships/hyperlink" Id="rId85" Target="https://aclanthology.org/2023.emnlp-main.330.pdf" TargetMode="External" /><Relationship Type="http://schemas.openxmlformats.org/officeDocument/2006/relationships/hyperlink" Id="rId107" Target="https://aclanthology.org/2023.emnlp-main.761.pdf" TargetMode="External" /><Relationship Type="http://schemas.openxmlformats.org/officeDocument/2006/relationships/hyperlink" Id="rId97" Target="https://aclanthology.org/2024.emnlp-main.18.pdf" TargetMode="External" /><Relationship Type="http://schemas.openxmlformats.org/officeDocument/2006/relationships/hyperlink" Id="rId91" Target="https://aclanthology.org/2025.findings-acl.1030.pdf" TargetMode="External" /><Relationship Type="http://schemas.openxmlformats.org/officeDocument/2006/relationships/hyperlink" Id="rId93" Target="https://aclanthology.org/2026.findings-acl.1085.pdf" TargetMode="External" /><Relationship Type="http://schemas.openxmlformats.org/officeDocument/2006/relationships/hyperlink" Id="rId83" Target="https://arxiv.org/pdf/2203.11171" TargetMode="External" /><Relationship Type="http://schemas.openxmlformats.org/officeDocument/2006/relationships/hyperlink" Id="rId89" Target="https://arxiv.org/pdf/2207.05221" TargetMode="External" /><Relationship Type="http://schemas.openxmlformats.org/officeDocument/2006/relationships/hyperlink" Id="rId109" Target="https://arxiv.org/pdf/2401.10480" TargetMode="External" /><Relationship Type="http://schemas.openxmlformats.org/officeDocument/2006/relationships/hyperlink" Id="rId131" Target="https://arxiv.org/pdf/2504.14655" TargetMode="External" /><Relationship Type="http://schemas.openxmlformats.org/officeDocument/2006/relationships/hyperlink" Id="rId95" Target="https://arxiv.org/pdf/2508.15260" TargetMode="External" /><Relationship Type="http://schemas.openxmlformats.org/officeDocument/2006/relationships/hyperlink" Id="rId117" Target="https://arxiv.org/pdf/2510.01499" TargetMode="External" /><Relationship Type="http://schemas.openxmlformats.org/officeDocument/2006/relationships/hyperlink" Id="rId115" Target="https://arxiv.org/pdf/2604.18547" TargetMode="External" /><Relationship Type="http://schemas.openxmlformats.org/officeDocument/2006/relationships/hyperlink" Id="rId119" Target="https://catalog.hathitrust.org/Record/008896012" TargetMode="External" /><Relationship Type="http://schemas.openxmlformats.org/officeDocument/2006/relationships/hyperlink" Id="rId128" Target="https://datasets-benchmarks-proceedings.neurips.cc/paper/2021/file/be83ab3ecd0db773eb2dc1b0a17836a1-Paper-round2.pdf" TargetMode="External" /><Relationship Type="http://schemas.openxmlformats.org/officeDocument/2006/relationships/hyperlink" Id="rId121" Target="https://digitalassets.lib.berkeley.edu/math/ucb/text/math_s4_v1_article-19.pdf" TargetMode="External" /><Relationship Type="http://schemas.openxmlformats.org/officeDocument/2006/relationships/hyperlink" Id="rId125" Target="https://doi.org/10.1080/01621459.1981.10477633" TargetMode="External" /><Relationship Type="http://schemas.openxmlformats.org/officeDocument/2006/relationships/hyperlink" Id="rId99" Target="https://doi.org/10.2307/2346806" TargetMode="External" /><Relationship Type="http://schemas.openxmlformats.org/officeDocument/2006/relationships/hyperlink" Id="rId80" Target="https://github.com/vito1317/adaptive-reasoning-consensus" TargetMode="External" /><Relationship Type="http://schemas.openxmlformats.org/officeDocument/2006/relationships/hyperlink" Id="rId87" Target="https://openreview.net/pdf?id=gjeQKFxFpZ" TargetMode="External" /><Relationship Type="http://schemas.openxmlformats.org/officeDocument/2006/relationships/hyperlink" Id="rId101" Target="https://pmc.ncbi.nlm.nih.gov/articles/PMC3910607/pdf/pnas.201219097.pdf" TargetMode="External" /><Relationship Type="http://schemas.openxmlformats.org/officeDocument/2006/relationships/hyperlink" Id="rId111" Target="https://proceedings.neurips.cc/paper_files/paper/2009/file/f899139df5e1059396431415e770c6dd-Paper.pdf" TargetMode="External" /><Relationship Type="http://schemas.openxmlformats.org/officeDocument/2006/relationships/hyperlink" Id="rId113" Target="https://proceedings.neurips.cc/paper_files/paper/2011/file/c667d53acd899a97a85de0c201ba99be-Paper.pdf" TargetMode="External" /><Relationship Type="http://schemas.openxmlformats.org/officeDocument/2006/relationships/hyperlink" Id="rId105" Target="https://proceedings.neurips.cc/paper_files/paper/2025/file/1c7eff166a8e345f664f0faa8f4e4d2e-Paper-Conference.pdf" TargetMode="External" /><Relationship Type="http://schemas.openxmlformats.org/officeDocument/2006/relationships/hyperlink" Id="rId123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aclanthology.org/2023.acl-long.291.pdf" TargetMode="External" /><Relationship Type="http://schemas.openxmlformats.org/officeDocument/2006/relationships/hyperlink" Id="rId85" Target="https://aclanthology.org/2023.emnlp-main.330.pdf" TargetMode="External" /><Relationship Type="http://schemas.openxmlformats.org/officeDocument/2006/relationships/hyperlink" Id="rId107" Target="https://aclanthology.org/2023.emnlp-main.761.pdf" TargetMode="External" /><Relationship Type="http://schemas.openxmlformats.org/officeDocument/2006/relationships/hyperlink" Id="rId97" Target="https://aclanthology.org/2024.emnlp-main.18.pdf" TargetMode="External" /><Relationship Type="http://schemas.openxmlformats.org/officeDocument/2006/relationships/hyperlink" Id="rId91" Target="https://aclanthology.org/2025.findings-acl.1030.pdf" TargetMode="External" /><Relationship Type="http://schemas.openxmlformats.org/officeDocument/2006/relationships/hyperlink" Id="rId93" Target="https://aclanthology.org/2026.findings-acl.1085.pdf" TargetMode="External" /><Relationship Type="http://schemas.openxmlformats.org/officeDocument/2006/relationships/hyperlink" Id="rId83" Target="https://arxiv.org/pdf/2203.11171" TargetMode="External" /><Relationship Type="http://schemas.openxmlformats.org/officeDocument/2006/relationships/hyperlink" Id="rId89" Target="https://arxiv.org/pdf/2207.05221" TargetMode="External" /><Relationship Type="http://schemas.openxmlformats.org/officeDocument/2006/relationships/hyperlink" Id="rId109" Target="https://arxiv.org/pdf/2401.10480" TargetMode="External" /><Relationship Type="http://schemas.openxmlformats.org/officeDocument/2006/relationships/hyperlink" Id="rId131" Target="https://arxiv.org/pdf/2504.14655" TargetMode="External" /><Relationship Type="http://schemas.openxmlformats.org/officeDocument/2006/relationships/hyperlink" Id="rId95" Target="https://arxiv.org/pdf/2508.15260" TargetMode="External" /><Relationship Type="http://schemas.openxmlformats.org/officeDocument/2006/relationships/hyperlink" Id="rId117" Target="https://arxiv.org/pdf/2510.01499" TargetMode="External" /><Relationship Type="http://schemas.openxmlformats.org/officeDocument/2006/relationships/hyperlink" Id="rId115" Target="https://arxiv.org/pdf/2604.18547" TargetMode="External" /><Relationship Type="http://schemas.openxmlformats.org/officeDocument/2006/relationships/hyperlink" Id="rId119" Target="https://catalog.hathitrust.org/Record/008896012" TargetMode="External" /><Relationship Type="http://schemas.openxmlformats.org/officeDocument/2006/relationships/hyperlink" Id="rId128" Target="https://datasets-benchmarks-proceedings.neurips.cc/paper/2021/file/be83ab3ecd0db773eb2dc1b0a17836a1-Paper-round2.pdf" TargetMode="External" /><Relationship Type="http://schemas.openxmlformats.org/officeDocument/2006/relationships/hyperlink" Id="rId121" Target="https://digitalassets.lib.berkeley.edu/math/ucb/text/math_s4_v1_article-19.pdf" TargetMode="External" /><Relationship Type="http://schemas.openxmlformats.org/officeDocument/2006/relationships/hyperlink" Id="rId125" Target="https://doi.org/10.1080/01621459.1981.10477633" TargetMode="External" /><Relationship Type="http://schemas.openxmlformats.org/officeDocument/2006/relationships/hyperlink" Id="rId99" Target="https://doi.org/10.2307/2346806" TargetMode="External" /><Relationship Type="http://schemas.openxmlformats.org/officeDocument/2006/relationships/hyperlink" Id="rId80" Target="https://github.com/vito1317/adaptive-reasoning-consensus" TargetMode="External" /><Relationship Type="http://schemas.openxmlformats.org/officeDocument/2006/relationships/hyperlink" Id="rId87" Target="https://openreview.net/pdf?id=gjeQKFxFpZ" TargetMode="External" /><Relationship Type="http://schemas.openxmlformats.org/officeDocument/2006/relationships/hyperlink" Id="rId101" Target="https://pmc.ncbi.nlm.nih.gov/articles/PMC3910607/pdf/pnas.201219097.pdf" TargetMode="External" /><Relationship Type="http://schemas.openxmlformats.org/officeDocument/2006/relationships/hyperlink" Id="rId111" Target="https://proceedings.neurips.cc/paper_files/paper/2009/file/f899139df5e1059396431415e770c6dd-Paper.pdf" TargetMode="External" /><Relationship Type="http://schemas.openxmlformats.org/officeDocument/2006/relationships/hyperlink" Id="rId113" Target="https://proceedings.neurips.cc/paper_files/paper/2011/file/c667d53acd899a97a85de0c201ba99be-Paper.pdf" TargetMode="External" /><Relationship Type="http://schemas.openxmlformats.org/officeDocument/2006/relationships/hyperlink" Id="rId105" Target="https://proceedings.neurips.cc/paper_files/paper/2025/file/1c7eff166a8e345f664f0faa8f4e4d2e-Paper-Conference.pdf" TargetMode="External" /><Relationship Type="http://schemas.openxmlformats.org/officeDocument/2006/relationships/hyperlink" Id="rId123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2026-08-01T18:06:04Z</dcterms:created>
  <dcterms:modified xsi:type="dcterms:W3CDTF">2026-08-01T18:06:04Z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