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14.png" ContentType="image/png"/>
  <Override PartName="/word/media/rId60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TACT: Trust-Anchored Confidence Tempering for</w:t>
      </w:r>
      <w:r>
        <w:br/>
      </w:r>
      <w:r>
        <w:t xml:space="preserve">Self-Consistency Voting in Large Language Models</w:t>
      </w:r>
    </w:p>
    <w:p>
      <w:pPr>
        <w:pStyle w:val="Author"/>
      </w:pPr>
      <w:r>
        <w:t xml:space="preserve">Wei-Chen Ko </w:t>
      </w:r>
      <w:r>
        <w:rPr>
          <w:rFonts w:hint="eastAsia"/>
        </w:rPr>
        <w:t xml:space="preserve">(柯瑋宸,</w:t>
      </w:r>
      <w:r>
        <w:t xml:space="preserve"> vito1317)</w:t>
      </w:r>
      <w:r>
        <w:br/>
      </w:r>
      <w:r>
        <w:t xml:space="preserve">Independent Researcher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Confidence-weighted self-consistency beats majority voting when a frozen</w:t>
      </w:r>
      <w:r>
        <w:t xml:space="preserve"> </w:t>
      </w:r>
      <w:r>
        <w:t xml:space="preserve">model’s confidence is calibrated in</w:t>
      </w:r>
      <w:r>
        <w:t xml:space="preserve"> </w:t>
      </w:r>
      <w:r>
        <w:rPr>
          <w:i/>
          <w:iCs/>
        </w:rPr>
        <w:t xml:space="preserve">direction</w:t>
      </w:r>
      <w:r>
        <w:t xml:space="preserve">. Every published scheme is monotone increasing in confidence, so an</w:t>
      </w:r>
      <w:r>
        <w:t xml:space="preserve"> </w:t>
      </w:r>
      <w:r>
        <w:t xml:space="preserve">anti-correlated channel poisons the vote, and calibration gates survive</w:t>
      </w:r>
      <w:r>
        <w:t xml:space="preserve"> </w:t>
      </w:r>
      <w:r>
        <w:t xml:space="preserve">inversion only by discarding signal.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derives the vote exponent from the measured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within-item discrimination of the channel: a pooled</w:t>
      </w:r>
      <w:r>
        <w:t xml:space="preserve"> </w:t>
      </w:r>
      <w:r>
        <w:t xml:space="preserve">van Elteren Somers’</w:t>
      </w:r>
      <w:r>
        <w:t xml:space="preserve"> </w:t>
      </w:r>
      <m:oMath>
        <m:r>
          <m:t>D</m:t>
        </m:r>
      </m:oMath>
      <w:r>
        <w:t xml:space="preserve">, shrunk toward zero and mapped through a</w:t>
      </w:r>
      <w:r>
        <w:t xml:space="preserve"> </w:t>
      </w:r>
      <w:r>
        <w:t xml:space="preserve">Bayes-discriminant link that at base rate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collapses to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z</m:t>
        </m: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. Inside the dead zone the vote is</w:t>
      </w:r>
      <w:r>
        <w:t xml:space="preserve"> </w:t>
      </w:r>
      <w:r>
        <w:t xml:space="preserve">bit-identical to plain self-consistency. Under a class-conditional-noise</w:t>
      </w:r>
      <w:r>
        <w:t xml:space="preserve"> </w:t>
      </w:r>
      <w:r>
        <w:t xml:space="preserve">assumption, a label-free variant preserves the sign of the estimate when the</w:t>
      </w:r>
      <w:r>
        <w:t xml:space="preserve"> </w:t>
      </w:r>
      <w:r>
        <w:t xml:space="preserve">pair-weighted plurality-error rate is below one half. Controlled experiments</w:t>
      </w:r>
      <w:r>
        <w:t xml:space="preserve"> </w:t>
      </w:r>
      <w:r>
        <w:t xml:space="preserve">beyond that boundary show sign reversal. On a synthetic oracle it recovers channels that pin published protocols to</w:t>
      </w:r>
      <w:r>
        <w:t xml:space="preserve"> </w:t>
      </w:r>
      <w:r>
        <w:t xml:space="preserve">the majority floor (</w:t>
      </w:r>
      <m:oMath>
        <m:r>
          <m:t>1.000</m:t>
        </m:r>
      </m:oMath>
      <w:r>
        <w:t xml:space="preserve"> </w:t>
      </w:r>
      <w:r>
        <w:t xml:space="preserve">vs. </w:t>
      </w:r>
      <m:oMath>
        <m:r>
          <m:t>0.762</m:t>
        </m:r>
      </m:oMath>
      <w:r>
        <w:t xml:space="preserve">) and cracks the</w:t>
      </w:r>
      <w:r>
        <w:t xml:space="preserve"> </w:t>
      </w:r>
      <w:r>
        <w:t xml:space="preserve">heterogeneity floor with zero paired losses (</w:t>
      </w:r>
      <m:oMath>
        <m:r>
          <m:t>0.923</m:t>
        </m:r>
      </m:oMath>
      <w:r>
        <w:t xml:space="preserve"> </w:t>
      </w:r>
      <w:r>
        <w:t xml:space="preserve">vs. </w:t>
      </w:r>
      <m:oMath>
        <m:r>
          <m:t>0.785</m:t>
        </m:r>
      </m:oMath>
      <w:r>
        <w:t xml:space="preserve">); against a</w:t>
      </w:r>
      <w:r>
        <w:t xml:space="preserve"> </w:t>
      </w:r>
      <w:r>
        <w:t xml:space="preserve">dev-picked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grid the advantage narrows to distortion, echo and</w:t>
      </w:r>
      <w:r>
        <w:t xml:space="preserve"> </w:t>
      </w:r>
      <w:r>
        <w:t xml:space="preserve">label-free operation. Two real-trace campaigns bound it: the channel is null on saturated</w:t>
      </w:r>
      <w:r>
        <w:t xml:space="preserve"> </w:t>
      </w:r>
      <w:r>
        <w:t xml:space="preserve">benchmarks and positive on competition mathematics (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), yet the</w:t>
      </w:r>
      <w:r>
        <w:t xml:space="preserve"> </w:t>
      </w:r>
      <w:r>
        <w:t xml:space="preserve">stratum any such method can act on measures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across five</w:t>
      </w:r>
      <w:r>
        <w:t xml:space="preserve"> </w:t>
      </w:r>
      <w:r>
        <w:t xml:space="preserve">substrates in two domains. Accordingly, the dead zone leaves the vote unchanged</w:t>
      </w:r>
      <w:r>
        <w:t xml:space="preserve"> </w:t>
      </w:r>
      <w:r>
        <w:t xml:space="preserve">whenever the pooled evidence does not clear its pre-specified threshold.</w:t>
      </w:r>
    </w:p>
    <w:p>
      <w:pPr>
        <w:pStyle w:val="BodyText"/>
      </w:pPr>
      <w:r>
        <w:rPr>
          <w:b/>
          <w:bCs/>
        </w:rPr>
        <w:t xml:space="preserve">Keywords—</w:t>
      </w:r>
      <w:r>
        <w:t xml:space="preserve"> </w:t>
      </w:r>
      <w:r>
        <w:t xml:space="preserve">large language models, self-consistency, confidence calibration, label-free estimation, rank statistics</w:t>
      </w:r>
    </w:p>
    <w:bookmarkEnd w:id="9"/>
    <w:bookmarkStart w:id="1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Self-consistency (</w:t>
      </w:r>
      <w:r>
        <w:rPr>
          <w:smallCaps/>
        </w:rPr>
        <w:t xml:space="preserve">sc</w:t>
      </w:r>
      <w:r>
        <w:t xml:space="preserve">) [</w:t>
      </w:r>
      <w:hyperlink w:anchor="bib:wang2023selfconsistency">
        <w:r>
          <w:rPr>
            <w:rStyle w:val="Hyperlink"/>
          </w:rPr>
          <w:t xml:space="preserve">1</w:t>
        </w:r>
      </w:hyperlink>
      <w:r>
        <w:t xml:space="preserve">] improves the reasoning accuracy of a frozen large language model (LLM) by sampling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chain-of-thought traces and returning the plurality answer. Each trace can also report a confidence score, verbalized [</w:t>
      </w:r>
      <w:hyperlink w:anchor="bib:tian2023just">
        <w:r>
          <w:rPr>
            <w:rStyle w:val="Hyperlink"/>
          </w:rPr>
          <w:t xml:space="preserve">2</w:t>
        </w:r>
      </w:hyperlink>
      <w:r>
        <w:t xml:space="preserve">,</w:t>
      </w:r>
      <w:hyperlink w:anchor="bib:xiong2024can">
        <w:r>
          <w:rPr>
            <w:rStyle w:val="Hyperlink"/>
          </w:rPr>
          <w:t xml:space="preserve">3</w:t>
        </w:r>
      </w:hyperlink>
      <w:r>
        <w:t xml:space="preserve">], derived from token log-probabilities, or elicited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nor/>
          </m:rPr>
          <m:t>True</m:t>
        </m:r>
        <m:r>
          <m:rPr>
            <m:sty m:val="p"/>
          </m:rPr>
          <m:t>)</m:t>
        </m:r>
      </m:oMath>
      <w:r>
        <w:t xml:space="preserve"> </w:t>
      </w:r>
      <w:r>
        <w:t xml:space="preserve">[</w:t>
      </w:r>
      <w:hyperlink w:anchor="bib:kadavath2022language">
        <w:r>
          <w:rPr>
            <w:rStyle w:val="Hyperlink"/>
          </w:rPr>
          <w:t xml:space="preserve">4</w:t>
        </w:r>
      </w:hyperlink>
      <w:r>
        <w:t xml:space="preserve">], so weighting votes by confidence is a natural refinement. Confidence-Informed Self-Consistency (CISC) 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] showed that this recovers the accuracy of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 a fraction of the sampling budget, and introduced Within-Question Discrimination (WQD) to identify discrimination as the confidence property relevant to voting, independently of calibration.</w:t>
      </w:r>
    </w:p>
    <w:p>
      <w:pPr>
        <w:pStyle w:val="BodyText"/>
      </w:pPr>
      <w:r>
        <w:t xml:space="preserve">The methods surveyed here leave one structural case untreated. Their weighting</w:t>
      </w:r>
      <w:r>
        <w:t xml:space="preserve"> </w:t>
      </w:r>
      <w:r>
        <w:t xml:space="preserve">rules are monotone</w:t>
      </w:r>
      <w:r>
        <w:t xml:space="preserve"> </w:t>
      </w:r>
      <w:r>
        <w:rPr>
          <w:i/>
          <w:iCs/>
        </w:rPr>
        <w:t xml:space="preserve">increasing</w:t>
      </w:r>
      <w:r>
        <w:t xml:space="preserve"> </w:t>
      </w:r>
      <w:r>
        <w:t xml:space="preserve">in confidence, including CISC’s softmax</w:t>
      </w:r>
      <w:r>
        <w:t xml:space="preserve"> </w:t>
      </w:r>
      <w:r>
        <w:t xml:space="preserve">weights, reliability-aware pseudo-counts [</w:t>
      </w:r>
      <w:hyperlink w:anchor="bib:reasc2026">
        <w:r>
          <w:rPr>
            <w:rStyle w:val="Hyperlink"/>
          </w:rPr>
          <w:t xml:space="preserve">6</w:t>
        </w:r>
      </w:hyperlink>
      <w:r>
        <w:t xml:space="preserve">], and</w:t>
      </w:r>
      <w:r>
        <w:t xml:space="preserve"> </w:t>
      </w:r>
      <w:r>
        <w:t xml:space="preserve">warmup-thresholded filtering [</w:t>
      </w:r>
      <w:hyperlink w:anchor="bib:deepconf2025">
        <w:r>
          <w:rPr>
            <w:rStyle w:val="Hyperlink"/>
          </w:rPr>
          <w:t xml:space="preserve">7</w:t>
        </w:r>
      </w:hyperlink>
      <w:r>
        <w:t xml:space="preserve">]. They tune the magnitude of</w:t>
      </w:r>
      <w:r>
        <w:t xml:space="preserve"> </w:t>
      </w:r>
      <w:r>
        <w:t xml:space="preserve">positive weighting without searching for an anti-correlated channel. Such</w:t>
      </w:r>
      <w:r>
        <w:t xml:space="preserve"> </w:t>
      </w:r>
      <w:r>
        <w:t xml:space="preserve">direction errors can arise when reinforcement fine-tuning distorts verbalized</w:t>
      </w:r>
      <w:r>
        <w:t xml:space="preserve"> </w:t>
      </w:r>
      <w:r>
        <w:t xml:space="preserve">confidence or distribution shift reverses an in-domain signal. In the</w:t>
      </w:r>
      <w:r>
        <w:t xml:space="preserve"> </w:t>
      </w:r>
      <w:r>
        <w:t xml:space="preserve">experiments reported here, a simple anti-correlated channel 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;</w:t>
      </w:r>
      <w:r>
        <w:t xml:space="preserve"> </w:t>
      </w:r>
      <w:r>
        <w:t xml:space="preserve">Section </w:t>
      </w:r>
      <w:hyperlink w:anchor="sec:setup">
        <w:r>
          <w:rPr>
            <w:rStyle w:val="Hyperlink"/>
          </w:rPr>
          <w:t xml:space="preserve">3</w:t>
        </w:r>
      </w:hyperlink>
      <w:r>
        <w:t xml:space="preserve">) drives confidence-weighted baselines from near-perfect</w:t>
      </w:r>
      <w:r>
        <w:t xml:space="preserve"> </w:t>
      </w:r>
      <w:r>
        <w:t xml:space="preserve">accuracy to far below the majority-vote floor, while signed weighting recovers</w:t>
      </w:r>
      <w:r>
        <w:t xml:space="preserve"> </w:t>
      </w:r>
      <w:r>
        <w:t xml:space="preserve">the signal. A binary dev-set gate that disables the channel when calibration</w:t>
      </w:r>
      <w:r>
        <w:t xml:space="preserve"> </w:t>
      </w:r>
      <w:r>
        <w:t xml:space="preserve">error is high survives the inversion but discards discriminative information:</w:t>
      </w:r>
      <w:r>
        <w:t xml:space="preserve"> </w:t>
      </w:r>
      <w:r>
        <w:t xml:space="preserve">a systematically under-confident yet perfectly ranked channel fails an ECE</w:t>
      </w:r>
      <w:r>
        <w:t xml:space="preserve"> </w:t>
      </w:r>
      <w:r>
        <w:t xml:space="preserve">gate for reasons unrelated to voting utility</w:t>
      </w:r>
      <w:r>
        <w:t xml:space="preserve"> </w:t>
      </w:r>
      <w:r>
        <w:t xml:space="preserve">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,</w:t>
      </w:r>
      <w:hyperlink w:anchor="bib:huang2024rankcalibration">
        <w:r>
          <w:rPr>
            <w:rStyle w:val="Hyperlink"/>
          </w:rPr>
          <w:t xml:space="preserve">8</w:t>
        </w:r>
      </w:hyperlink>
      <w:r>
        <w:t xml:space="preserve">].</w:t>
      </w:r>
    </w:p>
    <w:p>
      <w:pPr>
        <w:pStyle w:val="BodyText"/>
      </w:pPr>
      <w:r>
        <w:t xml:space="preserve">This paper frames the problem as estimating one scalar: the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within-item discrimination of the confidence channel, and mapping that scalar, with its uncertainty, to a vote exponent.</w:t>
      </w:r>
    </w:p>
    <w:p>
      <w:pPr>
        <w:pStyle w:val="BodyText"/>
      </w:pPr>
      <w:r>
        <w:rPr>
          <w:b/>
          <w:bCs/>
        </w:rPr>
        <w:t xml:space="preserve">Signed confidence tempering.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votes with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γ</m:t>
        </m:r>
        <m:sSub>
          <m:e>
            <m:r>
              <m:t>φ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r>
              <m:t>φ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standardized van der</w:t>
      </w:r>
      <w:r>
        <w:t xml:space="preserve"> </w:t>
      </w:r>
      <w:r>
        <w:t xml:space="preserve">Waerden score of trace</w:t>
      </w:r>
      <w:r>
        <w:t xml:space="preserve"> </w:t>
      </w:r>
      <m:oMath>
        <m:r>
          <m:t>i</m:t>
        </m:r>
      </m:oMath>
      <w:r>
        <w:t xml:space="preserve">’s within-item confidence midrank. The exponent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is derived from a pooled van Elteren Somers’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(equal to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rPr>
            <m:sty m:val="p"/>
          </m:rPr>
          <m:t>W</m:t>
        </m:r>
        <m:r>
          <m:rPr>
            <m:sty m:val="p"/>
          </m:rPr>
          <m:t>Q</m:t>
        </m:r>
        <m:r>
          <m:rPr>
            <m:sty m:val="p"/>
          </m:rPr>
          <m:t>D</m:t>
        </m:r>
        <m:r>
          <m:rPr>
            <m:sty m:val="p"/>
          </m:rPr>
          <m:t>−</m:t>
        </m:r>
        <m:r>
          <m:t>1</m:t>
        </m:r>
      </m:oMath>
      <w:r>
        <w:t xml:space="preserve">) with an exact tie-corrected null variance and an</w:t>
      </w:r>
      <w:r>
        <w:t xml:space="preserve"> </w:t>
      </w:r>
      <w:r>
        <w:t xml:space="preserve">item-clustered jackknife standard error, shrunk by positive-part James–Stein</w:t>
      </w:r>
      <w:r>
        <w:t xml:space="preserve"> </w:t>
      </w:r>
      <w:r>
        <w:t xml:space="preserve">with a significance floor, then mapped through a Bayes-discriminant link. Two</w:t>
      </w:r>
      <w:r>
        <w:t xml:space="preserve"> </w:t>
      </w:r>
      <w:r>
        <w:t xml:space="preserve">anchors are exact: inside the dead zone the vote is</w:t>
      </w:r>
      <w:r>
        <w:t xml:space="preserve"> </w:t>
      </w:r>
      <w:r>
        <w:rPr>
          <w:i/>
          <w:iCs/>
        </w:rPr>
        <w:t xml:space="preserve">bit-identical</w:t>
      </w:r>
      <w:r>
        <w:t xml:space="preserve"> </w:t>
      </w:r>
      <w:r>
        <w:t xml:space="preserve">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via a shared code path, and the log-value feature map reproduces</w:t>
      </w:r>
      <w:r>
        <w:t xml:space="preserve"> </w:t>
      </w:r>
      <w:r>
        <w:t xml:space="preserve">CISC-power. Since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uses only within-item ranks, the method is</w:t>
      </w:r>
      <w:r>
        <w:t xml:space="preserve"> </w:t>
      </w:r>
      <w:r>
        <w:t xml:space="preserve">invariant to every strictly monotone distortion of the confidence scale, and</w:t>
      </w:r>
      <w:r>
        <w:t xml:space="preserve"> </w:t>
      </w:r>
      <w:r>
        <w:t xml:space="preserve">under compression it beats the best exponent in the tested grid</w:t>
      </w:r>
      <w:r>
        <w:t xml:space="preserve"> </w:t>
      </w:r>
      <m:oMath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m:oMath>
        <m:r>
          <m:t>1.000</m:t>
        </m:r>
      </m:oMath>
      <w:r>
        <w:t xml:space="preserve"> </w:t>
      </w:r>
      <w:r>
        <w:t xml:space="preserve">vs. </w:t>
      </w:r>
      <m:oMath>
        <m:r>
          <m:t>0.963</m:t>
        </m:r>
      </m:oMath>
      <w:r>
        <w:t xml:space="preserve">). Because that optimum sits at the</w:t>
      </w:r>
      <w:r>
        <w:t xml:space="preserve"> </w:t>
      </w:r>
      <w:r>
        <w:t xml:space="preserve">largest exponent tried, the comparison applies only to the reported grid.</w:t>
      </w:r>
    </w:p>
    <w:p>
      <w:pPr>
        <w:pStyle w:val="BodyText"/>
      </w:pPr>
      <w:r>
        <w:rPr>
          <w:b/>
          <w:bCs/>
        </w:rPr>
        <w:t xml:space="preserve">Label-free estimation and its boundary.</w:t>
      </w:r>
      <w:r>
        <w:t xml:space="preserve"> </w:t>
      </w:r>
      <w:r>
        <w:t xml:space="preserve">The crowdsourcing lineage</w:t>
      </w:r>
      <w:r>
        <w:t xml:space="preserve"> </w:t>
      </w:r>
      <w:r>
        <w:t xml:space="preserve">estimates reliability from cross-annotator covariance</w:t>
      </w:r>
      <w:r>
        <w:t xml:space="preserve"> </w:t>
      </w:r>
      <w:r>
        <w:t xml:space="preserve">[</w:t>
      </w:r>
      <w:hyperlink w:anchor="bib:dawid1979maximum">
        <w:r>
          <w:rPr>
            <w:rStyle w:val="Hyperlink"/>
          </w:rPr>
          <w:t xml:space="preserve">9</w:t>
        </w:r>
      </w:hyperlink>
      <w:r>
        <w:t xml:space="preserve">,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]; one exchangeable channel from one</w:t>
      </w:r>
      <w:r>
        <w:t xml:space="preserve"> </w:t>
      </w:r>
      <w:r>
        <w:t xml:space="preserve">model offers no such structure.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estimates the signed discrimination</w:t>
      </w:r>
      <w:r>
        <w:t xml:space="preserve"> </w:t>
      </w:r>
      <w:r>
        <w:t xml:space="preserve">from deduplication-weighted agreement pseudo-labels under a proven</w:t>
      </w:r>
      <w:r>
        <w:t xml:space="preserve"> </w:t>
      </w:r>
      <w:r>
        <w:t xml:space="preserve">class-conditional-noise identity,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D</m:t>
        </m:r>
      </m:oMath>
      <w:r>
        <w:t xml:space="preserve">. For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expected estimate preserves the sign and attenuates its</w:t>
      </w:r>
      <w:r>
        <w:t xml:space="preserve"> </w:t>
      </w:r>
      <w:r>
        <w:t xml:space="preserve">magnitude. A split-half inversion</w:t>
      </w:r>
      <w:r>
        <w:t xml:space="preserve"> </w:t>
      </w:r>
      <w:r>
        <w:t xml:space="preserve">de-attenuates conservatively and sign-aware alarms return the method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 the identifiability boundary. Section </w:t>
      </w:r>
      <w:hyperlink w:anchor="sec:limits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measures the reversal</w:t>
      </w:r>
      <w:r>
        <w:t xml:space="preserve"> </w:t>
      </w:r>
      <w:r>
        <w:t xml:space="preserve">that occurs after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t xml:space="preserve">crosses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Identifiability under heterogeneity.</w:t>
      </w:r>
      <w:r>
        <w:t xml:space="preserve"> </w:t>
      </w:r>
      <w:r>
        <w:t xml:space="preserve">With i.i.d. per-item coupling and no observable covariate, per-item label-free adaptation</w:t>
      </w:r>
      <w:r>
        <w:t xml:space="preserve"> </w:t>
      </w:r>
      <w:r>
        <w:t xml:space="preserve">is closed: any monotone use of an item’s own agreement statistic collapses to</w:t>
      </w:r>
      <w:r>
        <w:t xml:space="preserve"> </w:t>
      </w:r>
      <w:r>
        <w:t xml:space="preserve">plurality reinforcement, the observable sign opposes the truth on</w:t>
      </w:r>
      <w:r>
        <w:t xml:space="preserve"> </w:t>
      </w:r>
      <m:oMath>
        <m:r>
          <m:t>96</m:t>
        </m:r>
        <m:r>
          <m:rPr>
            <m:sty m:val="p"/>
          </m:rPr>
          <m:t>%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 plurality-wrong items with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t xml:space="preserve">, the ones where a flip could win, and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rPr>
            <m:nor/>
          </m:rPr>
          <m:t>minority right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rPr>
            <m:nor/>
          </m:rPr>
          <m:t>plurality right</m:t>
        </m:r>
        <m:r>
          <m:rPr>
            <m:sty m:val="p"/>
          </m:rPr>
          <m:t>}</m:t>
        </m:r>
      </m:oMath>
      <w:r>
        <w:t xml:space="preserve"> </w:t>
      </w:r>
      <w:r>
        <w:t xml:space="preserve">induce the same observable law. Indexed instead by an observable covariate,</w:t>
      </w:r>
      <w:r>
        <w:t xml:space="preserve"> </w:t>
      </w:r>
      <w:r>
        <w:t xml:space="preserve">the same estimator run per group recovers each group’s signed coupling with</w:t>
      </w:r>
      <w:r>
        <w:t xml:space="preserve"> </w:t>
      </w:r>
      <w:r>
        <w:t xml:space="preserve">zero paired losses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(Section </w:t>
      </w:r>
      <w:hyperlink w:anchor="sec:hetero">
        <w:r>
          <w:rPr>
            <w:rStyle w:val="Hyperlink"/>
          </w:rPr>
          <w:t xml:space="preserve">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Falsification and measurement on real traces.</w:t>
      </w:r>
      <w:r>
        <w:t xml:space="preserve"> </w:t>
      </w:r>
      <w:r>
        <w:t xml:space="preserve">Four rejection criteria</w:t>
      </w:r>
      <w:r>
        <w:t xml:space="preserve"> </w:t>
      </w:r>
      <w:r>
        <w:t xml:space="preserve">were fixed before implementation. The strongest comparisons were the</w:t>
      </w:r>
      <w:r>
        <w:t xml:space="preserve"> </w:t>
      </w:r>
      <w:r>
        <w:rPr>
          <w:i/>
          <w:iCs/>
        </w:rPr>
        <w:t xml:space="preserve">published</w:t>
      </w:r>
      <w:r>
        <w:t xml:space="preserve"> </w:t>
      </w:r>
      <w:r>
        <w:t xml:space="preserve">dev-calibrated CISC protocol, whose tuned temperature already</w:t>
      </w:r>
      <w:r>
        <w:t xml:space="preserve"> </w:t>
      </w:r>
      <w:r>
        <w:t xml:space="preserve">interpolates</w:t>
      </w:r>
      <w:r>
        <w:t xml:space="preserve"> </w:t>
      </w:r>
      <w:r>
        <w:rPr>
          <w:smallCaps/>
        </w:rPr>
        <w:t xml:space="preserve">sc</w:t>
      </w:r>
      <m:oMath>
        <m:r>
          <m:rPr>
            <m:sty m:val="p"/>
          </m:rPr>
          <m:t>↔</m:t>
        </m:r>
      </m:oMath>
      <w:r>
        <w:t xml:space="preserve">CISC, and a dev-picked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exponent</w:t>
      </w:r>
      <w:r>
        <w:t xml:space="preserve"> </w:t>
      </w:r>
      <w:r>
        <w:t xml:space="preserve">grid. The signed grid is stronger on the homogeneous sweep: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trails it</w:t>
      </w:r>
      <w:r>
        <w:t xml:space="preserve"> </w:t>
      </w:r>
      <w:r>
        <w:t xml:space="preserve">in the mid-range, while its advantages occur under distortion, confident echo,</w:t>
      </w:r>
      <w:r>
        <w:t xml:space="preserve"> </w:t>
      </w:r>
      <w:r>
        <w:t xml:space="preserve">and label-free operation. Two real-trace campaigns and a five-substrate window</w:t>
      </w:r>
      <w:r>
        <w:t xml:space="preserve"> </w:t>
      </w:r>
      <w:r>
        <w:t xml:space="preserve">measurement then bound the scope of label-free aggregation. The channel is null on saturated</w:t>
      </w:r>
      <w:r>
        <w:t xml:space="preserve"> </w:t>
      </w:r>
      <w:r>
        <w:t xml:space="preserve">benchmarks (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 and positive on competition</w:t>
      </w:r>
      <w:r>
        <w:t xml:space="preserve"> </w:t>
      </w:r>
      <w:r>
        <w:t xml:space="preserve">mathematics (</w:t>
      </w:r>
      <m:oMath>
        <m:r>
          <m:rPr>
            <m:sty m:val="p"/>
          </m:rPr>
          <m:t>+</m:t>
        </m:r>
        <m:r>
          <m:t>0.250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t xml:space="preserve">), so the premise holds where the model is</w:t>
      </w:r>
      <w:r>
        <w:t xml:space="preserve"> </w:t>
      </w:r>
      <w:r>
        <w:t xml:space="preserve">uncertain; but the stratum such a method can act on is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</w:t>
      </w:r>
      <w:r>
        <w:t xml:space="preserve"> </w:t>
      </w:r>
      <w:r>
        <w:t xml:space="preserve">across all five substrates, in two domains, and does not widen as items</w:t>
      </w:r>
      <w:r>
        <w:t xml:space="preserve"> </w:t>
      </w:r>
      <w:r>
        <w:t xml:space="preserve">harden.</w:t>
      </w:r>
      <w:r>
        <w:t xml:space="preserve"> </w:t>
      </w:r>
      <w:r>
        <w:t xml:space="preserve">On both real substrates the in-pool oracle remains below the pre-registered</w:t>
      </w:r>
      <w:r>
        <w:t xml:space="preserve"> </w:t>
      </w:r>
      <w:r>
        <w:t xml:space="preserve">endpoint, and the dead zone therefore leaves the observed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decisions intact.</w:t>
      </w:r>
    </w:p>
    <w:bookmarkEnd w:id="10"/>
    <w:bookmarkStart w:id="11" w:name="sec:related"/>
    <w:p>
      <w:pPr>
        <w:pStyle w:val="Heading1"/>
      </w:pPr>
      <w:r>
        <w:t xml:space="preserve">Related Work</w:t>
      </w:r>
    </w:p>
    <w:p>
      <w:pPr>
        <w:pStyle w:val="FirstParagraph"/>
      </w:pPr>
      <w:r>
        <w:rPr>
          <w:b/>
          <w:bCs/>
        </w:rPr>
        <w:t xml:space="preserve">Confidence-weighted self-consistency.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[</w:t>
      </w:r>
      <w:hyperlink w:anchor="bib:wang2023selfconsistency">
        <w:r>
          <w:rPr>
            <w:rStyle w:val="Hyperlink"/>
          </w:rPr>
          <w:t xml:space="preserve">1</w:t>
        </w:r>
      </w:hyperlink>
      <w:r>
        <w:t xml:space="preserve">] treats sampled traces as i.i.d. votes. CISC 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] weights votes by softmax-normalized confidence with a temperature tuned on a labeled split, and its WQD metric makes the discrimination-vs-calibration point that also motivates this work; the rank-calibration line [</w:t>
      </w:r>
      <w:hyperlink w:anchor="bib:huang2024rankcalibration">
        <w:r>
          <w:rPr>
            <w:rStyle w:val="Hyperlink"/>
          </w:rPr>
          <w:t xml:space="preserve">8</w:t>
        </w:r>
      </w:hyperlink>
      <w:r>
        <w:t xml:space="preserve">] reaches the same conclusion independently. Weighted variants [</w:t>
      </w:r>
      <w:hyperlink w:anchor="bib:li2023diverse">
        <w:r>
          <w:rPr>
            <w:rStyle w:val="Hyperlink"/>
          </w:rPr>
          <w:t xml:space="preserve">11</w:t>
        </w:r>
      </w:hyperlink>
      <w:r>
        <w:t xml:space="preserve">] and early-stopping families</w:t>
      </w:r>
      <w:r>
        <w:t xml:space="preserve"> </w:t>
      </w:r>
      <w:r>
        <w:t xml:space="preserve">[</w:t>
      </w:r>
      <w:hyperlink w:anchor="bib:aggarwal2023adaptive">
        <w:r>
          <w:rPr>
            <w:rStyle w:val="Hyperlink"/>
          </w:rPr>
          <w:t xml:space="preserve">12</w:t>
        </w:r>
      </w:hyperlink>
      <w:r>
        <w:t xml:space="preserve">,</w:t>
      </w:r>
      <w:hyperlink w:anchor="bib:li2024escape">
        <w:r>
          <w:rPr>
            <w:rStyle w:val="Hyperlink"/>
          </w:rPr>
          <w:t xml:space="preserve">13</w:t>
        </w:r>
      </w:hyperlink>
      <w:r>
        <w:t xml:space="preserve">] refine the budget. Self-certainty</w:t>
      </w:r>
      <w:r>
        <w:t xml:space="preserve"> </w:t>
      </w:r>
      <w:r>
        <w:t xml:space="preserve">[</w:t>
      </w:r>
      <w:hyperlink w:anchor="bib:borda2025">
        <w:r>
          <w:rPr>
            <w:rStyle w:val="Hyperlink"/>
          </w:rPr>
          <w:t xml:space="preserve">14</w:t>
        </w:r>
      </w:hyperlink>
      <w:r>
        <w:t xml:space="preserve">] is the closest relative in spirit, being the one published</w:t>
      </w:r>
      <w:r>
        <w:t xml:space="preserve"> </w:t>
      </w:r>
      <w:r>
        <w:t xml:space="preserve">selector that scores candidates by a rank-like quantity, but it ranks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candidates with a fixed positive</w:t>
      </w:r>
      <w:r>
        <w:t xml:space="preserve"> </w:t>
      </w:r>
      <w:r>
        <w:t xml:space="preserve">orientation and is not evaluated here; reliability-aware pseudo-counts [</w:t>
      </w:r>
      <w:hyperlink w:anchor="bib:reasc2026">
        <w:r>
          <w:rPr>
            <w:rStyle w:val="Hyperlink"/>
          </w:rPr>
          <w:t xml:space="preserve">6</w:t>
        </w:r>
      </w:hyperlink>
      <w:r>
        <w:t xml:space="preserve">] and warmup-thresholded filtering [</w:t>
      </w:r>
      <w:hyperlink w:anchor="bib:deepconf2025">
        <w:r>
          <w:rPr>
            <w:rStyle w:val="Hyperlink"/>
          </w:rPr>
          <w:t xml:space="preserve">7</w:t>
        </w:r>
      </w:hyperlink>
      <w:r>
        <w:t xml:space="preserve">] adapt online but only re-scale positive trust. None of these searches a negative exponent. The</w:t>
      </w:r>
      <w:r>
        <w:t xml:space="preserve"> </w:t>
      </w:r>
      <w:r>
        <w:t xml:space="preserve">weight family can represent negative trust, but the published hyperparameter</w:t>
      </w:r>
      <w:r>
        <w:t xml:space="preserve"> </w:t>
      </w:r>
      <w:r>
        <w:t xml:space="preserve">grids omit its sign. SignGrid-dev demonstrates this by opening the same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 </w:t>
      </w:r>
      <w:r>
        <w:t xml:space="preserve">family to</w:t>
      </w:r>
      <w:r>
        <w:t xml:space="preserve"> </w:t>
      </w:r>
      <w:r>
        <w:t xml:space="preserve">negative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and reaching the signed oracle across the negative half-axis.</w:t>
      </w:r>
      <w:r>
        <w:t xml:space="preserve"> </w:t>
      </w:r>
      <w:r>
        <w:t xml:space="preserve">What no published protocol does is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that sign, with or without</w:t>
      </w:r>
      <w:r>
        <w:t xml:space="preserve"> </w:t>
      </w:r>
      <w:r>
        <w:t xml:space="preserve">labels. CISC’s tuned temperature already supplies dev-calibrated</w:t>
      </w:r>
      <w:r>
        <w:t xml:space="preserve"> </w:t>
      </w:r>
      <w:r>
        <w:rPr>
          <w:smallCaps/>
        </w:rPr>
        <w:t xml:space="preserve">sc</w:t>
      </w:r>
      <m:oMath>
        <m:r>
          <m:rPr>
            <m:sty m:val="p"/>
          </m:rPr>
          <m:t>↔</m:t>
        </m:r>
      </m:oMath>
      <w:r>
        <w:t xml:space="preserve">CISC interpolation.</w:t>
      </w:r>
      <w:r>
        <w:t xml:space="preserve"> </w:t>
      </w:r>
      <w:r>
        <w:rPr>
          <w:smallCaps/>
        </w:rPr>
        <w:t xml:space="preserve">tact</w:t>
      </w:r>
      <w:r>
        <w:t xml:space="preserve">-dev adds signed estimation, rank</w:t>
      </w:r>
      <w:r>
        <w:t xml:space="preserve"> </w:t>
      </w:r>
      <w:r>
        <w:t xml:space="preserve">invariance, and an analytic grid-free map.</w:t>
      </w:r>
    </w:p>
    <w:p>
      <w:pPr>
        <w:pStyle w:val="BodyText"/>
      </w:pPr>
      <w:r>
        <w:rPr>
          <w:b/>
          <w:bCs/>
        </w:rPr>
        <w:t xml:space="preserve">Reliability estimation without labels.</w:t>
      </w:r>
      <w:r>
        <w:t xml:space="preserve"> </w:t>
      </w:r>
      <w:r>
        <w:t xml:space="preserve">Estimating worker reliability from agreement is classical [</w:t>
      </w:r>
      <w:hyperlink w:anchor="bib:dawid1979maximum">
        <w:r>
          <w:rPr>
            <w:rStyle w:val="Hyperlink"/>
          </w:rPr>
          <w:t xml:space="preserve">9</w:t>
        </w:r>
      </w:hyperlink>
      <w:r>
        <w:t xml:space="preserve">,</w:t>
      </w:r>
      <w:hyperlink w:anchor="bib:whitehill2009whose">
        <w:r>
          <w:rPr>
            <w:rStyle w:val="Hyperlink"/>
          </w:rPr>
          <w:t xml:space="preserve">15</w:t>
        </w:r>
      </w:hyperlink>
      <w:r>
        <w:t xml:space="preserve">,</w:t>
      </w:r>
      <w:hyperlink w:anchor="bib:karger2011iterative">
        <w:r>
          <w:rPr>
            <w:rStyle w:val="Hyperlink"/>
          </w:rPr>
          <w:t xml:space="preserve">16</w:t>
        </w:r>
      </w:hyperlink>
      <w:r>
        <w:t xml:space="preserve">]; spectral meta-learners [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 and recent LLM ensemble work [</w:t>
      </w:r>
      <w:hyperlink w:anchor="bib:fuse2026">
        <w:r>
          <w:rPr>
            <w:rStyle w:val="Hyperlink"/>
          </w:rPr>
          <w:t xml:space="preserve">17</w:t>
        </w:r>
      </w:hyperlink>
      <w:r>
        <w:t xml:space="preserve">,</w:t>
      </w:r>
      <w:hyperlink w:anchor="bib:beyondmajority2025">
        <w:r>
          <w:rPr>
            <w:rStyle w:val="Hyperlink"/>
          </w:rPr>
          <w:t xml:space="preserve">18</w:t>
        </w:r>
      </w:hyperlink>
      <w:r>
        <w:t xml:space="preserve">] exploit covariance across</w:t>
      </w:r>
      <w:r>
        <w:t xml:space="preserve"> </w:t>
      </w:r>
      <w:r>
        <w:rPr>
          <w:i/>
          <w:iCs/>
        </w:rPr>
        <w:t xml:space="preserve">multiple</w:t>
      </w:r>
      <w:r>
        <w:t xml:space="preserve"> </w:t>
      </w:r>
      <w:r>
        <w:t xml:space="preserve">predictors. The setting here has one exchangeable channel from one model and only per-item vote structure. Correlated errors can invalidate agreement proxies in this setting. The proposed estimator therefore combines a quantified attenuation identity with conservative de-attenuation and explicit alarms.</w:t>
      </w:r>
    </w:p>
    <w:p>
      <w:pPr>
        <w:pStyle w:val="BodyText"/>
      </w:pPr>
      <w:r>
        <w:rPr>
          <w:b/>
          <w:bCs/>
        </w:rPr>
        <w:t xml:space="preserve">Shrinkage and rank statistics.</w:t>
      </w:r>
      <w:r>
        <w:t xml:space="preserve"> </w:t>
      </w:r>
      <w:r>
        <w:t xml:space="preserve">The estimator assembles classical parts: stratified rank statistics [</w:t>
      </w:r>
      <w:hyperlink w:anchor="bib:vanelteren1960">
        <w:r>
          <w:rPr>
            <w:rStyle w:val="Hyperlink"/>
          </w:rPr>
          <w:t xml:space="preserve">19</w:t>
        </w:r>
      </w:hyperlink>
      <w:r>
        <w:t xml:space="preserve">], the James–Stein positive-part estimator [</w:t>
      </w:r>
      <w:hyperlink w:anchor="bib:james1961estimation">
        <w:r>
          <w:rPr>
            <w:rStyle w:val="Hyperlink"/>
          </w:rPr>
          <w:t xml:space="preserve">20</w:t>
        </w:r>
      </w:hyperlink>
      <w:r>
        <w:t xml:space="preserve">], effective-sample-size corrections [</w:t>
      </w:r>
      <w:hyperlink w:anchor="bib:kish1965">
        <w:r>
          <w:rPr>
            <w:rStyle w:val="Hyperlink"/>
          </w:rPr>
          <w:t xml:space="preserve">21</w:t>
        </w:r>
      </w:hyperlink>
      <w:r>
        <w:t xml:space="preserve">,</w:t>
      </w:r>
      <w:hyperlink w:anchor="bib:rao1981analysis">
        <w:r>
          <w:rPr>
            <w:rStyle w:val="Hyperlink"/>
          </w:rPr>
          <w:t xml:space="preserve">22</w:t>
        </w:r>
      </w:hyperlink>
      <w:r>
        <w:t xml:space="preserve">], and normal-scores discriminant analysis. The contribution is their combination with exact</w:t>
      </w:r>
      <w:r>
        <w:t xml:space="preserve"> </w:t>
      </w:r>
      <w:r>
        <w:rPr>
          <w:smallCaps/>
        </w:rPr>
        <w:t xml:space="preserve">sc</w:t>
      </w:r>
      <w:r>
        <w:t xml:space="preserve">/CISC anchors and a signed vote exponent.</w:t>
      </w:r>
    </w:p>
    <w:p>
      <w:pPr>
        <w:pStyle w:val="BodyText"/>
      </w:pPr>
      <w:r>
        <w:rPr>
          <w:b/>
          <w:bCs/>
        </w:rPr>
        <w:t xml:space="preserve">Honest sibling result.</w:t>
      </w:r>
      <w:r>
        <w:t xml:space="preserve"> </w:t>
      </w:r>
      <w:r>
        <w:t xml:space="preserve">A preceding system in the same line of work</w:t>
      </w:r>
      <w:r>
        <w:t xml:space="preserve"> </w:t>
      </w:r>
      <w:r>
        <w:t xml:space="preserve">(RLEV-VoI, redundancy-discounted voting with value-of-information stopping)</w:t>
      </w:r>
      <w:r>
        <w:t xml:space="preserve"> </w:t>
      </w:r>
      <w:r>
        <w:t xml:space="preserve">was evaluated under the same falsification discipline and</w:t>
      </w:r>
      <w:r>
        <w:t xml:space="preserve"> </w:t>
      </w:r>
      <w:r>
        <w:rPr>
          <w:i/>
          <w:iCs/>
        </w:rPr>
        <w:t xml:space="preserve">failed</w:t>
      </w:r>
      <w:r>
        <w:t xml:space="preserve"> </w:t>
      </w:r>
      <w:r>
        <w:t xml:space="preserve">it,</w:t>
      </w:r>
      <w:r>
        <w:t xml:space="preserve"> </w:t>
      </w:r>
      <w:r>
        <w:t xml:space="preserve">dominated everywhere by a simple deduplication baseline, and is reported as a</w:t>
      </w:r>
      <w:r>
        <w:t xml:space="preserve"> </w:t>
      </w:r>
      <w:r>
        <w:t xml:space="preserve">negative result. Its post-mortem isolated the confidence dilemma studied</w:t>
      </w:r>
      <w:r>
        <w:t xml:space="preserve"> </w:t>
      </w:r>
      <w:r>
        <w:t xml:space="preserve">here.</w:t>
      </w:r>
    </w:p>
    <w:bookmarkEnd w:id="11"/>
    <w:bookmarkStart w:id="19" w:name="sec:setup"/>
    <w:p>
      <w:pPr>
        <w:pStyle w:val="Heading1"/>
      </w:pPr>
      <w:r>
        <w:t xml:space="preserve">Problem Setup</w:t>
      </w:r>
    </w:p>
    <w:bookmarkStart w:id="12" w:name="notation"/>
    <w:p>
      <w:pPr>
        <w:pStyle w:val="Heading2"/>
      </w:pPr>
      <w:r>
        <w:t xml:space="preserve">Notation</w:t>
      </w:r>
    </w:p>
    <w:p>
      <w:pPr>
        <w:pStyle w:val="FirstParagraph"/>
      </w:pPr>
      <w:r>
        <w:t xml:space="preserve">Every symbol used in the paper is collected in Table </w:t>
      </w:r>
      <w:hyperlink w:anchor="tab:notation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(Appendix </w:t>
      </w:r>
      <w:hyperlink w:anchor="app:notation">
        <w:r>
          <w:rPr>
            <w:rStyle w:val="Hyperlink"/>
          </w:rPr>
          <w:t xml:space="preserve">11</w:t>
        </w:r>
      </w:hyperlink>
      <w:r>
        <w:t xml:space="preserve">), grouped by the section that introduces it.</w:t>
      </w:r>
      <w:r>
        <w:t xml:space="preserve"> </w:t>
      </w:r>
      <w:r>
        <w:t xml:space="preserve">Items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; item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sampled traces. Trace</w:t>
      </w:r>
      <w:r>
        <w:t xml:space="preserve"> </w:t>
      </w:r>
      <m:oMath>
        <m:r>
          <m:rPr>
            <m:sty m:val="p"/>
          </m:rPr>
          <m:t>(</m:t>
        </m:r>
        <m:r>
          <m:t>q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yields an answer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in a discrete set and a confidence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 correctness is</w:t>
      </w:r>
      <w:r>
        <w:t xml:space="preserve"> </w:t>
      </w:r>
      <m:oMath>
        <m:sSub>
          <m:e>
            <m:r>
              <m:t>y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q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</m:oMath>
      <w:r>
        <w:t xml:space="preserve">, unobserved at test time.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counts votes for answer</w:t>
      </w:r>
      <w:r>
        <w:t xml:space="preserve"> </w:t>
      </w:r>
      <m:oMath>
        <m:r>
          <m:t>A</m:t>
        </m:r>
      </m:oMath>
      <w:r>
        <w:t xml:space="preserve">. CISC-power weights votes by</w:t>
      </w:r>
      <w:r>
        <w:t xml:space="preserve"> </w:t>
      </w:r>
      <m:oMath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 xml:space="preserve"> </m:t>
            </m:r>
            <m:r>
              <m:t>γ</m:t>
            </m:r>
          </m:sup>
        </m:sSubSup>
      </m:oMath>
      <w:r>
        <w:t xml:space="preserve"> </w:t>
      </w:r>
      <w:r>
        <w:t xml:space="preserve">with a fixed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"/>
    <w:bookmarkStart w:id="18" w:name="the-confidence-dilemma"/>
    <w:p>
      <w:pPr>
        <w:pStyle w:val="Heading2"/>
      </w:pPr>
      <w:r>
        <w:t xml:space="preserve">The confidence dilemma</w:t>
      </w:r>
    </w:p>
    <w:p>
      <w:pPr>
        <w:pStyle w:val="FirstParagraph"/>
      </w:pPr>
      <w:r>
        <w:t xml:space="preserve">The synthetic oracle draws, per item, traces from a cluster mixture with a latent correct answer and generates confidence as</w:t>
      </w:r>
      <w:r>
        <w:t xml:space="preserve"> </w:t>
      </w:r>
      <w:bookmarkStart w:id="13" w:name="eq:confmodel"/>
      <w:r>
        <w:t xml:space="preserve"> </w:t>
      </w:r>
      <w:bookmarkEnd w:id="13"/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clip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κ</m:t>
              </m:r>
              <m:r>
                <m:t xml:space="preserve"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 xml:space="preserve"> </m:t>
              </m:r>
              <m:r>
                <m:t>0.01</m:t>
              </m:r>
              <m:r>
                <m:rPr>
                  <m:sty m:val="p"/>
                </m:rPr>
                <m:t>,</m:t>
              </m:r>
              <m:r>
                <m:t xml:space="preserve"> </m:t>
              </m:r>
              <m:r>
                <m:t>0.99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noise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coupling</w:t>
      </w:r>
      <w:r>
        <w:t xml:space="preserve"> 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]</m:t>
        </m:r>
      </m:oMath>
      <w:r>
        <w:t xml:space="preserve">. Fig. </w:t>
      </w:r>
      <w:hyperlink w:anchor="fig:baseline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maps the baseline landscape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proposed method existed: unconditional weighting (CISC,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) collapses on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; an ECE gate never opens off the well-calibrated diagonal; a sign-corrected AUC gate over dev labels nearly saturates the homogeneous sweep. This pre-measurement limits prospective gains to monotone confidence distortion, covariate heterogeneity, small dev sets, and label-free operation. The evaluation focuses on those cells.</w:t>
      </w:r>
    </w:p>
    <w:bookmarkStart w:id="17" w:name="fig:baselines"/>
    <w:p>
      <w:pPr>
        <w:pStyle w:val="CaptionedFigure"/>
      </w:pPr>
      <w:r>
        <w:drawing>
          <wp:inline>
            <wp:extent cx="3121335" cy="2575903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figs/kappa_sweep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2575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pre-measured problem statement: accuracy of baseline confidence policies at fixed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as the true coupling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varies. A trivial sign-corrected AUC gate (green) nearly saturates the homogeneous sweep; the headroom for any new method (shaded) concentrates in the mid-range and, off this plot, in distortion, heterogeneity, and label-free cells.</w:t>
      </w:r>
    </w:p>
    <w:bookmarkEnd w:id="17"/>
    <w:bookmarkEnd w:id="18"/>
    <w:bookmarkEnd w:id="19"/>
    <w:bookmarkStart w:id="37" w:name="sec:method"/>
    <w:p>
      <w:pPr>
        <w:pStyle w:val="Heading1"/>
      </w:pPr>
      <w:r>
        <w:t xml:space="preserve">TACT</w:t>
      </w:r>
    </w:p>
    <w:bookmarkStart w:id="22" w:name="vote-family"/>
    <w:p>
      <w:pPr>
        <w:pStyle w:val="Heading2"/>
      </w:pPr>
      <w:r>
        <w:t xml:space="preserve">Vote family</w:t>
      </w:r>
    </w:p>
    <w:p>
      <w:pPr>
        <w:pStyle w:val="FirstParagraph"/>
      </w:pPr>
      <w:r>
        <w:t xml:space="preserve">Within item</w:t>
      </w:r>
      <w:r>
        <w:t xml:space="preserve"> </w:t>
      </w:r>
      <m:oMath>
        <m:r>
          <m:t>q</m:t>
        </m:r>
      </m:oMath>
      <w:r>
        <w:t xml:space="preserve">, let</w:t>
      </w:r>
      <w:r>
        <w:t xml:space="preserve"> </w:t>
      </w:r>
      <m:oMath>
        <m:sSub>
          <m:e>
            <m:r>
              <m:t>R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be the midrank of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(ties averaged) and</w:t>
      </w:r>
      <w:r>
        <w:t xml:space="preserve"> </w:t>
      </w:r>
      <w:bookmarkStart w:id="20" w:name="eq:vdw"/>
      <w:r>
        <w:t xml:space="preserve"> </w:t>
      </w:r>
      <w:bookmarkEnd w:id="20"/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 xml:space="preserve">  </m:t>
          </m:r>
          <m:sSub>
            <m:e>
              <m:r>
                <m:t>v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realized</w:t>
      </w:r>
      <w:r>
        <w:t xml:space="preserve"> </w:t>
      </w:r>
      <w:r>
        <w:t xml:space="preserve">standard deviation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within the item (the no-tie value is</w:t>
      </w:r>
      <w:r>
        <w:t xml:space="preserve"> </w:t>
      </w:r>
      <m:oMath>
        <m:r>
          <m:t>0.62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; a closed form would silently rescale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across budgets), and</w:t>
      </w:r>
      <w:r>
        <w:t xml:space="preserve"> </w:t>
      </w:r>
      <m:oMath>
        <m:r>
          <m:t>φ</m:t>
        </m:r>
        <m:r>
          <m:rPr>
            <m:sty m:val="p"/>
          </m:rPr>
          <m:t>≡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(all-tied confidences vote as plain</w:t>
      </w:r>
      <w:r>
        <w:t xml:space="preserve"> </w:t>
      </w:r>
      <w:r>
        <w:rPr>
          <w:smallCaps/>
        </w:rPr>
        <w:t xml:space="preserve">sc</w:t>
      </w:r>
      <w:r>
        <w:t xml:space="preserve">). The vote is</w:t>
      </w:r>
      <w:r>
        <w:t xml:space="preserve"> </w:t>
      </w:r>
      <w:bookmarkStart w:id="21" w:name="eq:vote"/>
      <w:r>
        <w:t xml:space="preserve"> </w:t>
      </w:r>
      <w:bookmarkEnd w:id="21"/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 xml:space="preserve"> 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γ</m:t>
              </m:r>
              <m:r>
                <m:t xml:space="preserve"> </m:t>
              </m:r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when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implementation</w:t>
      </w:r>
      <w:r>
        <w:t xml:space="preserve"> </w:t>
      </w:r>
      <w:r>
        <w:rPr>
          <w:i/>
          <w:iCs/>
        </w:rPr>
        <w:t xml:space="preserve">calls the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routine itself</w:t>
      </w:r>
      <w:r>
        <w:t xml:space="preserve">, making the zero-trust anchor bitwise exact rather than equal in distribution. Because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depends 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through within-item ranks, every strictly monotone distortion of the confidence scale leaves</w:t>
      </w:r>
      <w:r>
        <w:t xml:space="preserve"> </w:t>
      </w:r>
      <w:hyperlink w:anchor="eq:vote">
        <w:r>
          <w:rPr>
            <w:rStyle w:val="Hyperlink"/>
          </w:rPr>
          <w:t xml:space="preserve">[eq:vote]</w:t>
        </w:r>
      </w:hyperlink>
      <w:r>
        <w:t xml:space="preserve"> </w:t>
      </w:r>
      <w:r>
        <w:t xml:space="preserve">unchanged.</w:t>
      </w:r>
    </w:p>
    <w:bookmarkEnd w:id="22"/>
    <w:bookmarkStart w:id="24" w:name="reliability-statistic"/>
    <w:p>
      <w:pPr>
        <w:pStyle w:val="Heading2"/>
      </w:pPr>
      <w:r>
        <w:t xml:space="preserve">Reliability statistic</w:t>
      </w:r>
    </w:p>
    <w:p>
      <w:pPr>
        <w:pStyle w:val="FirstParagraph"/>
      </w:pPr>
      <w:r>
        <w:t xml:space="preserve">For item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</m:oMath>
      <w:r>
        <w:t xml:space="preserve"> </w:t>
      </w:r>
      <w:r>
        <w:t xml:space="preserve">positive and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negative labels (dev:</w:t>
      </w:r>
      <w:r>
        <w:t xml:space="preserve"> </w:t>
      </w:r>
      <m:oMath>
        <m:r>
          <m:t>y</m:t>
        </m:r>
      </m:oMath>
      <w:r>
        <w:t xml:space="preserve">; label-free: the pseudo-label of Section </w:t>
      </w:r>
      <w:hyperlink w:anchor="sec:lf">
        <w:r>
          <w:rPr>
            <w:rStyle w:val="Hyperlink"/>
          </w:rPr>
          <w:t xml:space="preserve">5</w:t>
        </w:r>
      </w:hyperlink>
      <w:r>
        <w:t xml:space="preserve">), the Mann–Whitney statistic on midranks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 xml:space="preserve"> 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 xml:space="preserve">  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</m:num>
            <m:den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 CISC’s notation. Pooling uses van Elteren pair-count weights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[</w:t>
      </w:r>
      <w:hyperlink w:anchor="bib:vanelteren1960">
        <w:r>
          <w:rPr>
            <w:rStyle w:val="Hyperlink"/>
          </w:rPr>
          <w:t xml:space="preserve">19</w:t>
        </w:r>
      </w:hyperlink>
      <w:r>
        <w:t xml:space="preserve">]:</w:t>
      </w:r>
      <w:r>
        <w:t xml:space="preserve"> </w:t>
      </w:r>
      <w:bookmarkStart w:id="23" w:name="eq:pooled"/>
      <w:r>
        <w:t xml:space="preserve"> </w:t>
      </w:r>
      <w:bookmarkEnd w:id="23"/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the within-item exchangeability null,</w:t>
      </w:r>
      <w:r>
        <w:t xml:space="preserve"> </w:t>
      </w:r>
      <m:oMath>
        <m:sSub>
          <m:e>
            <m:r>
              <m:t>U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has the exact tie-corrected variance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⋅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m</m:t>
            </m:r>
          </m:e>
          <m:sub>
            <m:r>
              <m:t>q</m:t>
            </m:r>
          </m:sub>
          <m:sup>
            <m:r>
              <m:t>3</m:t>
            </m:r>
          </m:sup>
        </m:sSubSup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 yielding a null standard error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</m:oMath>
      <w:r>
        <w:t xml:space="preserve">; between-item heterogeneity is captured by the closed-form delete-one-item jackknife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</m:oMath>
      <w:r>
        <w:t xml:space="preserve">. The conservative choice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 xml:space="preserve"> 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 xml:space="preserve">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rPr>
              <m:sty m:val="p"/>
            </m:rPr>
            <m:t>,</m:t>
          </m:r>
          <m:r>
            <m:t xml:space="preserve">  </m:t>
          </m:r>
          <m:r>
            <m:t>r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 pairwise functional,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: an exponent estimated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transfers to deployment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bookmarkEnd w:id="24"/>
    <w:bookmarkStart w:id="27" w:name="tempering-map"/>
    <w:p>
      <w:pPr>
        <w:pStyle w:val="Heading2"/>
      </w:pPr>
      <w:r>
        <w:t xml:space="preserve">Tempering map</w:t>
      </w:r>
    </w:p>
    <w:p>
      <w:pPr>
        <w:pStyle w:val="FirstParagraph"/>
      </w:pPr>
      <w:r>
        <w:rPr>
          <w:i/>
          <w:iCs/>
        </w:rPr>
        <w:t xml:space="preserve">Shrinkage.</w:t>
      </w:r>
      <w:r>
        <w:t xml:space="preserve"> </w:t>
      </w:r>
      <w:r>
        <w:t xml:space="preserve">Positive-part James–Stein with a significance floor</w:t>
      </w:r>
      <w:r>
        <w:t xml:space="preserve"> </w:t>
      </w:r>
      <m:oMath>
        <m:r>
          <m:t>ν</m:t>
        </m:r>
      </m:oMath>
      <w:r>
        <w:t xml:space="preserve">:</w:t>
      </w:r>
      <w:r>
        <w:t xml:space="preserve"> </w:t>
      </w:r>
      <w:bookmarkStart w:id="25" w:name="eq:js"/>
      <w:r>
        <w:t xml:space="preserve"> </w:t>
      </w:r>
      <w:bookmarkEnd w:id="25"/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)</m:t>
          </m:r>
          <m:r>
            <m:t xml:space="preserve"> 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 xml:space="preserve"> 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dead zone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  <m:r>
          <m:rPr>
            <m:sty m:val="p"/>
          </m:rPr>
          <m:t>}</m:t>
        </m:r>
      </m:oMath>
      <w:r>
        <w:t xml:space="preserve">;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b>
        </m:sSub>
        <m:r>
          <m:rPr>
            <m:sty m:val="p"/>
          </m:rPr>
          <m:t>=</m:t>
        </m:r>
        <m:r>
          <m:t>1.28</m:t>
        </m:r>
      </m:oMath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2.33</m:t>
        </m:r>
      </m:oMath>
      <w:r>
        <w:t xml:space="preserve">. With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 </w:t>
      </w:r>
      <w:r>
        <w:t xml:space="preserve">is exactly the empirical-Bayes posterior mean under a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prior with plug-in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[</w:t>
      </w:r>
      <w:hyperlink w:anchor="bib:james1961estimation">
        <w:r>
          <w:rPr>
            <w:rStyle w:val="Hyperlink"/>
          </w:rPr>
          <w:t xml:space="preserve">20</w:t>
        </w:r>
      </w:hyperlink>
      <w:r>
        <w:t xml:space="preserve">]. The map is odd, continuous, never exceeds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t xml:space="preserve">, and is monotone in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and anti-monotone in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Link.</w:t>
      </w:r>
      <w:r>
        <w:t xml:space="preserve"> </w:t>
      </w:r>
      <w:r>
        <w:t xml:space="preserve">Model</w:t>
      </w:r>
      <w:r>
        <w:t xml:space="preserve"> </w:t>
      </w:r>
      <m:oMath>
        <m:r>
          <m:t>φ</m:t>
        </m:r>
        <m:r>
          <m:t xml:space="preserve"> </m:t>
        </m:r>
        <m:r>
          <m:rPr>
            <m:sty m:val="p"/>
          </m:rPr>
          <m:t>|</m:t>
        </m:r>
        <m:r>
          <m:t xml:space="preserve"> </m:t>
        </m:r>
        <m:r>
          <m:t>y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within item with the</w:t>
      </w:r>
      <w:r>
        <w:t xml:space="preserve"> </w:t>
      </w:r>
      <w:r>
        <w:rPr>
          <w:i/>
          <w:iCs/>
        </w:rPr>
        <w:t xml:space="preserve">mixture</w:t>
      </w:r>
      <w:r>
        <w:t xml:space="preserve"> </w:t>
      </w:r>
      <w:r>
        <w:t xml:space="preserve">standardized to unit variance, which is what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enforces, so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 xml:space="preserve"> 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t xml:space="preserve">is the base rate of correct traces. The Bayes-optimal per-trace log-weight coefficient is then</w:t>
      </w:r>
      <w:r>
        <w:t xml:space="preserve"> </w:t>
      </w:r>
      <w:bookmarkStart w:id="26" w:name="eq:link"/>
      <w:r>
        <w:t xml:space="preserve"> </w:t>
      </w:r>
      <w:bookmarkEnd w:id="26"/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=</m:t>
          </m:r>
          <m:r>
            <m:t>u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t xml:space="preserve"> 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capped at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(</w:t>
      </w:r>
      <m:oMath>
        <m:r>
          <m:t>4</m:t>
        </m:r>
      </m:oMath>
      <w:r>
        <w:t xml:space="preserve"> </w:t>
      </w:r>
      <w:r>
        <w:t xml:space="preserve">dev,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label-free). The uncorrected link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under-weights strong channels by up to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0.9</m:t>
        </m:r>
      </m:oMath>
      <w:r>
        <w:t xml:space="preserve">. The link assumes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is within-item normal, which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supplies only asymptotically: at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 score takes four values before standardization. The scale consequence is handled by using the realized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, but the distributional one is not, and it bites hardest in the small-budget setting this paper advertises (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estimates transferring to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).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 the cap binds and the link’s shape is irrelevant; small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where it has to hold and where it is least justified.</w:t>
      </w:r>
    </w:p>
    <w:bookmarkEnd w:id="27"/>
    <w:bookmarkStart w:id="32" w:name="sec:oneline"/>
    <w:p>
      <w:pPr>
        <w:pStyle w:val="Heading2"/>
      </w:pPr>
      <w:r>
        <w:rPr>
          <w:smallCaps/>
        </w:rPr>
        <w:t xml:space="preserve">tact</w:t>
      </w:r>
      <w:r>
        <w:t xml:space="preserve"> </w:t>
      </w:r>
      <w:r>
        <w:t xml:space="preserve">in one expression</w:t>
      </w:r>
    </w:p>
    <w:p>
      <w:pPr>
        <w:pStyle w:val="FirstParagraph"/>
      </w:pPr>
      <w:r>
        <w:t xml:space="preserve">Two simplifications collapse the pipeline. Factoring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out of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 </w:t>
      </w:r>
      <w:r>
        <w:t xml:space="preserve">makes the shrinkage a multiplicative gain in the pooled</w:t>
      </w:r>
      <w:r>
        <w:t xml:space="preserve"> </w:t>
      </w:r>
      <m:oMath>
        <m:r>
          <m:t>z</m:t>
        </m:r>
      </m:oMath>
      <w:r>
        <w:t xml:space="preserve">-statistic</w:t>
      </w:r>
      <w:r>
        <w:t xml:space="preserve"> </w:t>
      </w:r>
      <m:oMath>
        <m:r>
          <m:t>ζ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t xml:space="preserve">alone, and substituting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 xml:space="preserve"> </m:t>
        </m:r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t xml:space="preserve"> </w:t>
      </w:r>
      <w:r>
        <w:t xml:space="preserve">into</w:t>
      </w:r>
      <w:r>
        <w:t xml:space="preserve"> </w:t>
      </w:r>
      <w:hyperlink w:anchor="eq:link">
        <w:r>
          <w:rPr>
            <w:rStyle w:val="Hyperlink"/>
          </w:rPr>
          <w:t xml:space="preserve">[eq:link]</w:t>
        </w:r>
      </w:hyperlink>
      <w:r>
        <w:t xml:space="preserve"> </w:t>
      </w:r>
      <w:r>
        <w:t xml:space="preserve">removes the nested radical.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is then</w:t>
      </w:r>
      <w:r>
        <w:t xml:space="preserve"> </w:t>
      </w:r>
      <w:bookmarkStart w:id="28" w:name="eq:oneline"/>
      <w:r>
        <w:t xml:space="preserve"> </w:t>
      </w:r>
      <w:bookmarkEnd w:id="28"/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 xml:space="preserve"> </m:t>
              </m:r>
              <m:eqAr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q</m:t>
                      </m:r>
                    </m:sub>
                  </m:sSub>
                  <m:r>
                    <m:t>&amp;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arg</m:t>
                  </m:r>
                  <m:limLow>
                    <m:e>
                      <m:r>
                        <m:rPr>
                          <m:sty m:val="p"/>
                        </m:rPr>
                        <m:t>max</m:t>
                      </m:r>
                    </m:e>
                    <m:lim>
                      <m:r>
                        <m:t>A</m:t>
                      </m:r>
                    </m:lim>
                  </m:limLow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 xml:space="preserve"> 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q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γ</m:t>
                      </m:r>
                      <m:r>
                        <m:t xml:space="preserve"> </m:t>
                      </m:r>
                      <m:sSub>
                        <m:e>
                          <m:r>
                            <m:t>φ</m:t>
                          </m:r>
                        </m:e>
                        <m:sub>
                          <m:r>
                            <m:t>q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,</m:t>
                  </m:r>
                </m:e>
                <m:e>
                  <m:r>
                    <m:t>γ</m:t>
                  </m:r>
                  <m:r>
                    <m:t>&amp;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t>z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  <m:sSub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γ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max</m:t>
                          </m:r>
                        </m:sub>
                      </m:sSub>
                    </m:sub>
                    <m:sup>
                      <m:sSub>
                        <m:e>
                          <m:r>
                            <m:t>γ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max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,</m:t>
                  </m:r>
                </m:e>
              </m:eqArr>
              <m:r>
                <m:t xml:space="preserve"> </m:t>
              </m:r>
            </m:e>
          </m:borderBox>
        </m:oMath>
      </m:oMathPara>
    </w:p>
    <w:p>
      <w:pPr>
        <w:pStyle w:val="FirstParagraph"/>
      </w:pPr>
      <w:bookmarkStart w:id="29" w:name="eq:oneline2"/>
      <w:r>
        <w:t xml:space="preserve"> </w:t>
      </w:r>
      <w:bookmarkEnd w:id="29"/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  <m:r>
                    <m:t xml:space="preserve"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ζ</m:t>
                      </m:r>
                    </m:e>
                    <m:sup>
                      <m:r>
                        <m:t>2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+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  <m:r>
            <m:t xml:space="preserve"> </m:t>
          </m:r>
          <m:r>
            <m:t>ζ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acc>
                <m:accPr>
                  <m:chr m:val="̂"/>
                </m:accPr>
                <m:e>
                  <m:r>
                    <m:t>D</m:t>
                  </m:r>
                </m:e>
              </m:acc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q:pooled">
        <w:r>
          <w:rPr>
            <w:rStyle w:val="Hyperlink"/>
          </w:rPr>
          <w:t xml:space="preserve">[eq:pooled]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from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. At the</w:t>
      </w:r>
      <w:r>
        <w:t xml:space="preserve"> </w:t>
      </w:r>
      <w:r>
        <w:t xml:space="preserve">default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exponent is exactly</w:t>
      </w:r>
      <w:r>
        <w:t xml:space="preserve"> </w:t>
      </w:r>
      <w:bookmarkStart w:id="30" w:name="eq:half"/>
      <w:r>
        <w:t xml:space="preserve"> </w:t>
      </w:r>
      <w:bookmarkEnd w:id="30"/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 xml:space="preserve">  </m:t>
          </m:r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one probit and one square root, where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is the shrunk</w:t>
      </w:r>
      <w:r>
        <w:t xml:space="preserve"> </w:t>
      </w:r>
      <w:r>
        <w:rPr>
          <w:i/>
          <w:iCs/>
        </w:rPr>
        <w:t xml:space="preserve">pooled</w:t>
      </w:r>
      <w:r>
        <w:t xml:space="preserve"> </w:t>
      </w:r>
      <w:r>
        <w:t xml:space="preserve">statistic of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; it is distinct from the per-item</w:t>
      </w:r>
      <w: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q:pooled">
        <w:r>
          <w:rPr>
            <w:rStyle w:val="Hyperlink"/>
          </w:rPr>
          <w:t xml:space="preserve">[eq:pooled]</w:t>
        </w:r>
      </w:hyperlink>
      <w:r>
        <w:t xml:space="preserve">. The map is not fitted to outcomes: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a</w:t>
      </w:r>
      <w:r>
        <w:t xml:space="preserve"> </w:t>
      </w:r>
      <w:r>
        <w:t xml:space="preserve">significance level and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 clip, both fixed before any data is</w:t>
      </w:r>
      <w:r>
        <w:t xml:space="preserve"> </w:t>
      </w:r>
      <w:r>
        <w:t xml:space="preserve">seen. The clip is not cosmetic, though.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 it binds, and</w:t>
      </w:r>
      <w:r>
        <w:t xml:space="preserve"> </w:t>
      </w:r>
      <w:r>
        <w:t xml:space="preserve">what reaches the vote is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 not the derived magnitude</w:t>
      </w:r>
      <w:r>
        <w:t xml:space="preserve"> </w:t>
      </w:r>
      <w:r>
        <w:t xml:space="preserve">(Section </w:t>
      </w:r>
      <w:hyperlink w:anchor="sec:results">
        <w:r>
          <w:rPr>
            <w:rStyle w:val="Hyperlink"/>
          </w:rPr>
          <w:t xml:space="preserve">8</w:t>
        </w:r>
      </w:hyperlink>
      <w:r>
        <w:t xml:space="preserve">). The dead zone is now visible as a single condition,</w:t>
      </w:r>
      <w:r>
        <w:t xml:space="preserve"> </w:t>
      </w:r>
      <m:oMath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</m:oMath>
      <w:r>
        <w:t xml:space="preserve">, on which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is identically zero and</w:t>
      </w:r>
      <w:r>
        <w:t xml:space="preserve"> </w:t>
      </w:r>
      <w:hyperlink w:anchor="eq:oneline">
        <w:r>
          <w:rPr>
            <w:rStyle w:val="Hyperlink"/>
          </w:rPr>
          <w:t xml:space="preserve">[eq:oneline]</w:t>
        </w:r>
      </w:hyperlink>
      <w:r>
        <w:t xml:space="preserve"> </w:t>
      </w:r>
      <w:r>
        <w:t xml:space="preserve">is bitwise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by Proposition </w:t>
      </w:r>
      <w:hyperlink w:anchor="prop:sc">
        <w:r>
          <w:rPr>
            <w:rStyle w:val="Hyperlink"/>
          </w:rPr>
          <w:t xml:space="preserve">1</w:t>
        </w:r>
      </w:hyperlink>
      <w:r>
        <w:t xml:space="preserve">. Equations</w:t>
      </w:r>
      <w:r>
        <w:t xml:space="preserve"> </w:t>
      </w:r>
      <w:hyperlink w:anchor="eq:oneline">
        <w:r>
          <w:rPr>
            <w:rStyle w:val="Hyperlink"/>
          </w:rPr>
          <w:t xml:space="preserve">[eq:oneline]</w:t>
        </w:r>
      </w:hyperlink>
      <w:r>
        <w:t xml:space="preserve">–</w:t>
      </w:r>
      <w:hyperlink w:anchor="eq:half">
        <w:r>
          <w:rPr>
            <w:rStyle w:val="Hyperlink"/>
          </w:rPr>
          <w:t xml:space="preserve">[eq:half]</w:t>
        </w:r>
      </w:hyperlink>
      <w:r>
        <w:t xml:space="preserve"> </w:t>
      </w:r>
      <w:r>
        <w:t xml:space="preserve">are verified equivalent to the shipped</w:t>
      </w:r>
      <w:r>
        <w:t xml:space="preserve"> </w:t>
      </w:r>
      <w:r>
        <w:t xml:space="preserve">implementation over randomised inputs including every boundary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tests/test_formula.py</w:t>
      </w:r>
      <w:r>
        <w:t xml:space="preserve">).</w:t>
      </w:r>
    </w:p>
    <w:bookmarkStart w:id="31" w:name="alg:tact"/>
    <w:p>
      <w:pPr>
        <w:pStyle w:val="BodyText"/>
      </w:pPr>
      <w:r>
        <w:t xml:space="preserve"> </w:t>
      </w:r>
    </w:p>
    <w:bookmarkEnd w:id="31"/>
    <w:p>
      <w:pPr>
        <w:pStyle w:val="BodyText"/>
      </w:pPr>
      <w:r>
        <w:t xml:space="preserve">labeled dev pools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 test pools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budget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floor</w:t>
      </w:r>
      <w:r>
        <w:t xml:space="preserve"> </w:t>
      </w:r>
      <m:oMath>
        <m:r>
          <m:t>ν</m:t>
        </m:r>
      </m:oMath>
      <w:r>
        <w:t xml:space="preserve">, cap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one scalar</w:t>
      </w:r>
      <w:r>
        <w:t xml:space="preserve"> </w:t>
      </w:r>
      <m:oMath>
        <m:r>
          <m:t>γ</m:t>
        </m:r>
      </m:oMath>
      <w:r>
        <w:t xml:space="preserve">; an answer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←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←</m:t>
        </m:r>
        <m:r>
          <m:rPr>
            <m:sty m:val="p"/>
          </m:rPr>
          <m:t>∅</m:t>
        </m:r>
      </m:oMath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q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;</w:t>
      </w:r>
      <m:oMath>
        <m:r>
          <m:t>H</m:t>
        </m:r>
        <m:r>
          <m:rPr>
            <m:sty m:val="p"/>
          </m:rPr>
          <m:t>←</m:t>
        </m:r>
        <m:r>
          <m:t>H</m:t>
        </m:r>
        <m:r>
          <m:rPr>
            <m:sty m:val="p"/>
          </m:rPr>
          <m:t>∪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m:oMath>
        <m:r>
          <m:t>R</m:t>
        </m:r>
        <m:r>
          <m:rPr>
            <m:sty m:val="p"/>
          </m:rPr>
          <m:t>←</m:t>
        </m:r>
      </m:oMath>
      <w:r>
        <w:t xml:space="preserve"> </w:t>
      </w:r>
      <w:r>
        <w:t xml:space="preserve">within-item midranks of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</m:sub>
        </m:sSub>
      </m:oMath>
      <w:r>
        <w:t xml:space="preserve"> </w:t>
      </w:r>
      <m:oMath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t>2</m:t>
        </m:r>
        <m:sSub>
          <m:e>
            <m:r>
              <m:t>U</m:t>
            </m:r>
          </m:e>
          <m:sub>
            <m:r>
              <m:t>q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←</m:t>
        </m:r>
        <m:r>
          <m:rPr>
            <m:scr m:val="script"/>
            <m:sty m:val="p"/>
          </m:rPr>
          <m:t>S</m:t>
        </m:r>
        <m:r>
          <m:rPr>
            <m:sty m:val="p"/>
          </m:rPr>
          <m:t>∪</m:t>
        </m:r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,</m:t>
        </m:r>
        <m:r>
          <m:t xml:space="preserve"> </m:t>
        </m:r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,</m:t>
        </m:r>
        <m:r>
          <m:t xml:space="preserve"> </m:t>
        </m:r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←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q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q</m:t>
                </m:r>
              </m:sub>
            </m:sSub>
          </m:e>
        </m:nary>
        <m:sSub>
          <m:e>
            <m:r>
              <m:t>D</m:t>
            </m:r>
          </m:e>
          <m:sub>
            <m:r>
              <m:t>q</m:t>
            </m:r>
          </m:sub>
        </m:sSub>
        <m:r>
          <m:t xml:space="preserve"> 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q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q</m:t>
                </m:r>
              </m:sub>
            </m:sSub>
          </m:e>
        </m:nary>
      </m:oMath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←</m:t>
        </m:r>
        <m:r>
          <m:rPr>
            <m:sty m:val="p"/>
          </m:rPr>
          <m:t>max</m:t>
        </m:r>
        <m:r>
          <m:rPr>
            <m:sty m:val="p"/>
          </m:rPr>
          <m:t>{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 xml:space="preserve"> 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t xml:space="preserve"> 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←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e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 xml:space="preserve"> </m:t>
        </m:r>
        <m:r>
          <m:t>0.05</m:t>
        </m:r>
        <m:r>
          <m:rPr>
            <m:sty m:val="p"/>
          </m:rPr>
          <m:t>,</m:t>
        </m:r>
        <m:r>
          <m:t xml:space="preserve"> </m:t>
        </m:r>
        <m:r>
          <m:t>0.95</m:t>
        </m:r>
        <m:r>
          <m:rPr>
            <m:sty m:val="p"/>
          </m:rPr>
          <m:t>)</m:t>
        </m:r>
      </m:oMath>
      <w:r>
        <w:t xml:space="preserve"> </w:t>
      </w:r>
      <m:oMath>
        <m:r>
          <m:t>ζ</m:t>
        </m:r>
        <m:r>
          <m:rPr>
            <m:sty m:val="p"/>
          </m:rPr>
          <m:t>←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m:oMath>
        <m:r>
          <m:t>γ</m:t>
        </m:r>
        <m:r>
          <m:rPr>
            <m:sty m:val="p"/>
          </m:rPr>
          <m:t>←</m:t>
        </m:r>
        <m:r>
          <m:t>0</m:t>
        </m:r>
      </m:oMath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←</m:t>
        </m:r>
        <m:acc>
          <m:accPr>
            <m:chr m:val="̂"/>
          </m:accPr>
          <m:e>
            <m:r>
              <m:t>D</m:t>
            </m:r>
          </m:e>
        </m:acc>
        <m:r>
          <m:t xml:space="preserve"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ν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ζ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m:oMath>
        <m:r>
          <m:t>z</m:t>
        </m:r>
        <m:r>
          <m:rPr>
            <m:sty m:val="p"/>
          </m:rPr>
          <m:t>←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D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 </w:t>
      </w:r>
      <m:oMath>
        <m:r>
          <m:t>γ</m:t>
        </m:r>
        <m:r>
          <m:rPr>
            <m:sty m:val="p"/>
          </m:rPr>
          <m:t>←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ad>
              <m:radPr>
                <m:degHide m:val="on"/>
              </m:radPr>
              <m:deg/>
              <m:e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acc>
                  <m:accPr>
                    <m:chr m:val="‾"/>
                  </m:accPr>
                  <m:e>
                    <m:r>
                      <m:t>p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p</m:t>
                    </m:r>
                  </m:e>
                </m:acc>
                <m:r>
                  <m:rPr>
                    <m:sty m:val="p"/>
                  </m:rPr>
                  <m:t>)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</m:e>
            </m:rad>
            <m:r>
              <m:rPr>
                <m:sty m:val="p"/>
              </m:rPr>
              <m:t>,</m:t>
            </m:r>
            <m:r>
              <m:t xml:space="preserve"> </m:t>
            </m:r>
            <m:r>
              <m:rPr>
                <m:sty m:val="p"/>
              </m:rPr>
              <m:t>±</m:t>
            </m:r>
            <m:sSub>
              <m:e>
                <m:r>
                  <m:t>γ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e>
        </m:d>
      </m:oMath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m:oMath>
        <m:r>
          <m:t>φ</m:t>
        </m:r>
        <m:r>
          <m:rPr>
            <m:sty m:val="p"/>
          </m:rPr>
          <m:t>←</m:t>
        </m:r>
      </m:oMath>
      <w:r>
        <w:t xml:space="preserve"> </w:t>
      </w:r>
      <w:r>
        <w:t xml:space="preserve">standardized van der Waerden scores of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</m:sub>
        </m:sSub>
      </m:oMath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:</m:t>
            </m:r>
            <m:sSub>
              <m:e>
                <m:r>
                  <m:t>a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r>
                  <m:t>γ</m:t>
                </m:r>
                <m:sSub>
                  <m:e>
                    <m:r>
                      <m:t>φ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 </w:t>
      </w:r>
      <m:oMath>
        <m:r>
          <m:t>γ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  <m:r>
          <m:rPr>
            <m:sty m:val="p"/>
          </m:rPr>
          <m:t>}</m:t>
        </m:r>
      </m:oMath>
    </w:p>
    <w:p>
      <w:pPr>
        <w:pStyle w:val="BodyText"/>
      </w:pPr>
      <w:r>
        <w:t xml:space="preserve">Algorithm </w:t>
      </w:r>
      <w:hyperlink w:anchor="alg:tact">
        <w:r>
          <w:rPr>
            <w:rStyle w:val="Hyperlink"/>
          </w:rPr>
          <w:t xml:space="preserve">[alg:tact]</w:t>
        </w:r>
      </w:hyperlink>
      <w:r>
        <w:t xml:space="preserve"> </w:t>
      </w:r>
      <w:r>
        <w:t xml:space="preserve">states the labeled path end to end. Both loops cost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log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per item, dominated by the within-item ranking, and the estimate</w:t>
      </w:r>
      <w:r>
        <w:t xml:space="preserve"> </w:t>
      </w:r>
      <w:r>
        <w:t xml:space="preserve">is a single scalar: nothing item-specific crosses from dev to test, which is</w:t>
      </w:r>
      <w:r>
        <w:t xml:space="preserve"> </w:t>
      </w:r>
      <w:r>
        <w:t xml:space="preserve">what makes the dead zone a global abstention.</w:t>
      </w:r>
    </w:p>
    <w:bookmarkEnd w:id="32"/>
    <w:bookmarkStart w:id="36" w:name="anchor-properties"/>
    <w:p>
      <w:pPr>
        <w:pStyle w:val="Heading2"/>
      </w:pPr>
      <w:r>
        <w:t xml:space="preserve">Anchor properties</w:t>
      </w:r>
    </w:p>
    <w:bookmarkStart w:id="33" w:name="prop:sc"/>
    <w:p>
      <w:pPr>
        <w:pStyle w:val="FirstParagraph"/>
      </w:pPr>
      <w:r>
        <w:rPr>
          <w:b/>
          <w:bCs/>
        </w:rPr>
        <w:t xml:space="preserve">Proposition 1</w:t>
      </w:r>
      <w:r>
        <w:t xml:space="preserve"> </w:t>
      </w:r>
      <w:r>
        <w:t xml:space="preserve">(Exact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reduction).</w:t>
      </w:r>
      <w:r>
        <w:t xml:space="preserve"> </w:t>
      </w:r>
      <w:r>
        <w:t xml:space="preserve"> </w:t>
      </w:r>
      <w:r>
        <w:rPr>
          <w:i/>
          <w:iCs/>
        </w:rPr>
        <w:t xml:space="preserve">At</w:t>
      </w:r>
      <w:r>
        <w:rPr>
          <w:i/>
          <w:iCs/>
        </w:rP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w:anchor="eq:vote">
        <w:r>
          <w:rPr>
            <w:rStyle w:val="Hyperlink"/>
            <w:i/>
            <w:iCs/>
          </w:rPr>
          <w:t xml:space="preserve">[eq:vote]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equals plain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as a function on every trace pool, including tie-breaks. Under</w:t>
      </w:r>
      <w:r>
        <w:rPr>
          <w:i/>
          <w:iCs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(</m:t>
        </m:r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ν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m:oMath>
        <m:r>
          <m:t>80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dev,</w:t>
      </w:r>
      <w:r>
        <w:rPr>
          <w:i/>
          <w:iCs/>
        </w:rP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label-free), and</w:t>
      </w:r>
      <w:r>
        <w:rPr>
          <w:i/>
          <w:iCs/>
        </w:rPr>
        <w:t xml:space="preserve"> </w:t>
      </w:r>
      <m:oMath>
        <m:r>
          <m:t>γ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continuous through the dead-zone boundary, so a false positive applies an infinitesimal exponent.</w:t>
      </w:r>
    </w:p>
    <w:bookmarkEnd w:id="33"/>
    <w:bookmarkStart w:id="34" w:name="prop:cisc"/>
    <w:p>
      <w:pPr>
        <w:pStyle w:val="BodyText"/>
      </w:pPr>
      <w:r>
        <w:rPr>
          <w:b/>
          <w:bCs/>
        </w:rPr>
        <w:t xml:space="preserve">Proposition 2</w:t>
      </w:r>
      <w:r>
        <w:t xml:space="preserve"> </w:t>
      </w:r>
      <w:r>
        <w:t xml:space="preserve">(Exact CISC reduction).</w:t>
      </w:r>
      <w:r>
        <w:t xml:space="preserve"> </w:t>
      </w:r>
      <w:r>
        <w:t xml:space="preserve"> </w:t>
      </w:r>
      <w:r>
        <w:rPr>
          <w:i/>
          <w:iCs/>
        </w:rPr>
        <w:t xml:space="preserve">With the feature map</w:t>
      </w:r>
      <w:r>
        <w:rPr>
          <w:i/>
          <w:iCs/>
        </w:rPr>
        <w:t xml:space="preserve"> </w:t>
      </w:r>
      <m:oMath>
        <m:sSubSup>
          <m:e>
            <m:r>
              <m:t>φ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log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log</m:t>
        </m:r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−</m:t>
        </m:r>
        <m:bar>
          <m:barPr>
            <m:pos m:val="top"/>
          </m:barPr>
          <m:e>
            <m:r>
              <m:rPr>
                <m:sty m:val="p"/>
              </m:rPr>
              <m:t>log</m:t>
            </m:r>
            <m:sSub>
              <m:e>
                <m:r>
                  <m:t>c</m:t>
                </m:r>
              </m:e>
              <m:sub>
                <m:r>
                  <m:t>q</m:t>
                </m:r>
              </m:sub>
            </m:sSub>
          </m:e>
        </m:bar>
      </m:oMath>
      <w:r>
        <w:rPr>
          <w:i/>
          <w:iCs/>
        </w:rPr>
        <w:t xml:space="preserve">, the weights equal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q</m:t>
            </m:r>
          </m:sub>
        </m:sSub>
        <m:r>
          <m:t xml:space="preserve"> </m:t>
        </m:r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 xml:space="preserve"> </m:t>
            </m:r>
            <m:r>
              <m:t>γ</m:t>
            </m:r>
          </m:sup>
        </m:sSubSup>
      </m:oMath>
      <w:r>
        <w:rPr>
          <w:i/>
          <w:iCs/>
        </w:rPr>
        <w:t xml:space="preserve"> </w:t>
      </w:r>
      <w:r>
        <w:rPr>
          <w:i/>
          <w:iCs/>
        </w:rPr>
        <w:t xml:space="preserve">with a per-item constant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q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(distinct from the coupling</w:t>
      </w:r>
      <w:r>
        <w:rPr>
          <w:i/>
          <w:iCs/>
        </w:rPr>
        <w:t xml:space="preserve"> </w:t>
      </w:r>
      <m:oMath>
        <m:r>
          <m:t>κ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hyperlink w:anchor="eq:confmodel">
        <w:r>
          <w:rPr>
            <w:rStyle w:val="Hyperlink"/>
            <w:i/>
            <w:iCs/>
          </w:rPr>
          <w:t xml:space="preserve">[eq:confmodel]</w:t>
        </w:r>
      </w:hyperlink>
      <w:r>
        <w:rPr>
          <w:i/>
          <w:iCs/>
        </w:rPr>
        <w:t xml:space="preserve">); hence the argmax, the ties, and the normalized vote shares coincide with CISC-power</w:t>
      </w:r>
      <m:oMath>
        <m:r>
          <m:rPr>
            <m:sty m:val="p"/>
          </m:rPr>
          <m:t>(</m:t>
        </m:r>
        <m:r>
          <m:t>γ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 every pool.</w:t>
      </w:r>
    </w:p>
    <w:bookmarkEnd w:id="34"/>
    <w:bookmarkStart w:id="35" w:name="prop:reg"/>
    <w:p>
      <w:pPr>
        <w:pStyle w:val="BodyText"/>
      </w:pPr>
      <w:r>
        <w:rPr>
          <w:b/>
          <w:bCs/>
        </w:rPr>
        <w:t xml:space="preserve">Proposition 3</w:t>
      </w:r>
      <w:r>
        <w:t xml:space="preserve"> </w:t>
      </w:r>
      <w:r>
        <w:t xml:space="preserve">(Regularity).</w:t>
      </w:r>
      <w:r>
        <w:t xml:space="preserve"> </w:t>
      </w:r>
      <w:r>
        <w:t xml:space="preserve"> </w:t>
      </w:r>
      <w:r>
        <w:rPr>
          <w:i/>
          <w:iCs/>
        </w:rPr>
        <w:t xml:space="preserve">The composite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continuous, odd, nondecreasing in</w:t>
      </w:r>
      <w:r>
        <w:rPr>
          <w:i/>
          <w:iCs/>
        </w:rP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rPr>
          <w:i/>
          <w:iCs/>
        </w:rPr>
        <w:t xml:space="preserve">, nonincreasing in</w:t>
      </w:r>
      <w:r>
        <w:rPr>
          <w:i/>
          <w:iCs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 magnitude, with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sSup>
          <m:e>
            <m:r>
              <m:t>0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bookmarkEnd w:id="35"/>
    <w:p>
      <w:pPr>
        <w:pStyle w:val="BodyText"/>
      </w:pPr>
      <w:r>
        <w:t xml:space="preserve">Proofs are elementary and pinned by unit tests in the released code (102 tests; the permutation-verified null variance, the EB identity in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, and the link derivation</w:t>
      </w:r>
      <w:r>
        <w:t xml:space="preserve"> </w:t>
      </w:r>
      <w:hyperlink w:anchor="eq:link">
        <w:r>
          <w:rPr>
            <w:rStyle w:val="Hyperlink"/>
          </w:rPr>
          <w:t xml:space="preserve">[eq:link]</w:t>
        </w:r>
      </w:hyperlink>
      <w:r>
        <w:t xml:space="preserve"> </w:t>
      </w:r>
      <w:r>
        <w:t xml:space="preserve">are each tested numerically).</w:t>
      </w:r>
    </w:p>
    <w:bookmarkEnd w:id="36"/>
    <w:bookmarkEnd w:id="37"/>
    <w:bookmarkStart w:id="45" w:name="sec:lf"/>
    <w:p>
      <w:pPr>
        <w:pStyle w:val="Heading1"/>
      </w:pPr>
      <w:r>
        <w:t xml:space="preserve">Label-Free Estimation</w:t>
      </w:r>
    </w:p>
    <w:bookmarkStart w:id="41" w:name="pipeline"/>
    <w:p>
      <w:pPr>
        <w:pStyle w:val="Heading2"/>
      </w:pPr>
      <w:r>
        <w:t xml:space="preserve">Pipeline</w:t>
      </w:r>
    </w:p>
    <w:p>
      <w:pPr>
        <w:pStyle w:val="FirstParagraph"/>
      </w:pPr>
      <w:r>
        <w:t xml:space="preserve">(i) </w:t>
      </w:r>
      <w:r>
        <w:rPr>
          <w:i/>
          <w:iCs/>
        </w:rPr>
        <w:t xml:space="preserve">Dedup:</w:t>
      </w:r>
      <w:r>
        <w:t xml:space="preserve"> </w:t>
      </w:r>
      <w:r>
        <w:t xml:space="preserve">single-linkage duplicate groups on the lexical-similarity channel at</w:t>
      </w:r>
      <w:r>
        <w:t xml:space="preserve"> </w:t>
      </w:r>
      <m:oMath>
        <m:r>
          <m:t>0.95</m:t>
        </m:r>
      </m:oMath>
      <w:r>
        <w:t xml:space="preserve">; each trace gets weight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nor/>
          </m:rPr>
          <m:t>group</m:t>
        </m:r>
        <m:r>
          <m:rPr>
            <m:sty m:val="p"/>
          </m:rPr>
          <m:t>|</m:t>
        </m:r>
      </m:oMath>
      <w:r>
        <w:t xml:space="preserve"> </w:t>
      </w:r>
      <w:r>
        <w:t xml:space="preserve">for plurality determination and pair weighting. (ii) </w:t>
      </w:r>
      <w:r>
        <w:rPr>
          <w:i/>
          <w:iCs/>
        </w:rPr>
        <w:t xml:space="preserve">Pseudo-label:</w:t>
      </w:r>
      <w:r>
        <w:t xml:space="preserve"> </w:t>
      </w:r>
      <m:oMath>
        <m:sSub>
          <m:e>
            <m:r>
              <m:t>g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dedup-weighted plurality. (iii) </w:t>
      </w:r>
      <w:r>
        <w:rPr>
          <w:i/>
          <w:iCs/>
        </w:rPr>
        <w:t xml:space="preserve">Margin gate:</w:t>
      </w:r>
      <w:r>
        <w:t xml:space="preserve"> </w:t>
      </w:r>
      <w:r>
        <w:t xml:space="preserve">keep the top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by dedup-weighted margin. (iv) Compute</w:t>
      </w:r>
      <w:r>
        <w:t xml:space="preserve"> </w:t>
      </w:r>
      <w:hyperlink w:anchor="eq:pooled">
        <w:r>
          <w:rPr>
            <w:rStyle w:val="Hyperlink"/>
          </w:rPr>
          <w:t xml:space="preserve">[eq:pooled]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t>g</m:t>
        </m:r>
      </m:oMath>
      <w:r>
        <w:t xml:space="preserve">, giving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Start w:id="38" w:name="alg:tactlf"/>
    <w:p>
      <w:pPr>
        <w:pStyle w:val="BodyText"/>
      </w:pPr>
      <w:r>
        <w:t xml:space="preserve"> </w:t>
      </w:r>
    </w:p>
    <w:bookmarkEnd w:id="38"/>
    <w:bookmarkStart w:id="39" w:name="ln:gate"/>
    <w:p>
      <w:pPr>
        <w:pStyle w:val="BodyText"/>
      </w:pPr>
      <w:r>
        <w:t xml:space="preserve"> </w:t>
      </w:r>
    </w:p>
    <w:bookmarkEnd w:id="39"/>
    <w:bookmarkStart w:id="40" w:name="ln:temper"/>
    <w:p>
      <w:pPr>
        <w:pStyle w:val="BodyText"/>
      </w:pPr>
      <w:r>
        <w:t xml:space="preserve"> </w:t>
      </w:r>
    </w:p>
    <w:bookmarkEnd w:id="40"/>
    <w:p>
      <w:pPr>
        <w:pStyle w:val="BodyText"/>
      </w:pPr>
      <w:r>
        <w:t xml:space="preserve">pools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, budget</w:t>
      </w:r>
      <w:r>
        <w:t xml:space="preserve"> </w:t>
      </w:r>
      <m:oMath>
        <m:r>
          <m:t>K</m:t>
        </m:r>
      </m:oMath>
      <w:r>
        <w:t xml:space="preserve">, dedup threshold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0.95</m:t>
        </m:r>
      </m:oMath>
      <w:r>
        <w:t xml:space="preserve">,</w:t>
      </w:r>
      <w:r>
        <w:t xml:space="preserve"> </w:t>
      </w:r>
      <w:r>
        <w:t xml:space="preserve">margin quantile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0.40</m:t>
        </m:r>
      </m:oMath>
      <w:r>
        <w:t xml:space="preserve">, floor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</m:oMath>
      <w:r>
        <w:t xml:space="preserve">, cap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</w:t>
      </w:r>
      <w:r>
        <w:t xml:space="preserve"> </w:t>
      </w:r>
      <w:r>
        <w:t xml:space="preserve">splits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20</m:t>
        </m:r>
      </m:oMath>
      <w:r>
        <w:t xml:space="preserve">, attenuation floor</w:t>
      </w:r>
      <w:r>
        <w:t xml:space="preserve"> </w:t>
      </w:r>
      <m:oMath>
        <m:r>
          <m:t>0.20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d</m:t>
        </m:r>
      </m:oMath>
      <w:r>
        <w:t xml:space="preserve">;</w:t>
      </w:r>
      <w:r>
        <w:t xml:space="preserve"> </w:t>
      </w:r>
      <m:oMath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below is the</w:t>
      </w:r>
      <w:r>
        <w:t xml:space="preserve"> </w:t>
      </w:r>
      <w:r>
        <w:t xml:space="preserve">estimated attenuation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</m:oMath>
      <w:r>
        <w:t xml:space="preserve">, not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m:oMath>
        <m:r>
          <m:t>γ</m:t>
        </m:r>
      </m:oMath>
      <w:r>
        <w:t xml:space="preserve">, equal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whenever any alarm fires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nor/>
          </m:rPr>
          <m:t>group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from single linkage at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u</m:t>
        </m:r>
        <m:r>
          <m:rPr>
            <m:sty m:val="p"/>
          </m:rPr>
          <m:t>p</m:t>
        </m:r>
        <m:r>
          <m:rPr>
            <m:sty m:val="p"/>
          </m:rPr>
          <m:t>≥</m:t>
        </m:r>
        <m:r>
          <m:t>θ</m:t>
        </m:r>
      </m:oMath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:</m:t>
            </m:r>
            <m:sSub>
              <m:e>
                <m:r>
                  <m:t>a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←</m:t>
        </m:r>
      </m:oMath>
      <w:r>
        <w:t xml:space="preserve"> </w:t>
      </w:r>
      <w:r>
        <w:t xml:space="preserve">top-two dedup-weighted share gap</w:t>
      </w:r>
      <w:r>
        <w:t xml:space="preserve"> </w:t>
      </w:r>
      <m:oMath>
        <m:r>
          <m:t>G</m:t>
        </m:r>
        <m:r>
          <m:rPr>
            <m:sty m:val="p"/>
          </m:rPr>
          <m:t>←</m:t>
        </m:r>
        <m:r>
          <m:rPr>
            <m:sty m:val="p"/>
          </m:rPr>
          <m:t>{</m:t>
        </m:r>
        <m:r>
          <m:t>q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≥</m:t>
        </m:r>
        <m:sSub>
          <m:e>
            <m:r>
              <m:t>Q</m:t>
            </m:r>
          </m:e>
          <m:sub>
            <m:r>
              <m:t>β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 xml:space="preserve"> </m:t>
        </m:r>
        <m:r>
          <m:rPr>
            <m:sty m:val="p"/>
          </m:rPr>
          <m:t>≥</m:t>
        </m:r>
        <m:r>
          <m:t>2</m:t>
        </m:r>
        <m:r>
          <m:rPr>
            <m:nor/>
          </m:rPr>
          <m:t xml:space="preserve"> distinct answers</m:t>
        </m:r>
        <m:r>
          <m:rPr>
            <m:sty m:val="p"/>
          </m:rPr>
          <m:t>}</m:t>
        </m:r>
      </m:oMath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 xml:space="preserve"> 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rPr>
            <m:nor/>
          </m:rPr>
          <m:t>Kish ratio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0.5</m:t>
        </m:r>
        <m:r>
          <m:t xml:space="preserve"> </m:t>
        </m:r>
        <m:r>
          <m:rPr>
            <m:sty m:val="p"/>
          </m:rPr>
          <m:t>]</m:t>
        </m:r>
      </m:oMath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z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 xml:space="preserve"> </m:t>
        </m:r>
        <m:r>
          <m:rPr>
            <m:sty m:val="p"/>
          </m:rPr>
          <m:t>|</m:t>
        </m:r>
        <m:r>
          <m:t>G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t xml:space="preserve"> </m:t>
        </m:r>
        <m:r>
          <m:rPr>
            <m:sty m:val="p"/>
          </m:rPr>
          <m:t>]</m:t>
        </m:r>
      </m:oMath>
      <w:r>
        <w:t xml:space="preserve"> </w:t>
      </w:r>
      <m:oMath>
        <m:sSub>
          <m:e>
            <m:r>
              <m:t>g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←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G</m:t>
        </m:r>
      </m:oMath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←</m:t>
        </m:r>
      </m:oMath>
      <w:r>
        <w:t xml:space="preserve"> </w:t>
      </w:r>
      <w:r>
        <w:t xml:space="preserve">pooled statistic over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t>g</m:t>
        </m:r>
      </m:oMath>
      <w:r>
        <w:t xml:space="preserve"> </w:t>
      </w:r>
      <m:oMath>
        <m:r>
          <m:t>s</m:t>
        </m:r>
        <m:r>
          <m:rPr>
            <m:sty m:val="p"/>
          </m:rPr>
          <m:t>←</m:t>
        </m:r>
        <m:r>
          <m:rPr>
            <m:sty m:val="p"/>
          </m:rPr>
          <m:t>sign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 xml:space="preserve"> </m:t>
        </m:r>
        <m:r>
          <m:t>ψ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0.05</m:t>
        </m:r>
        <m:r>
          <m:t xml:space="preserve"> </m:t>
        </m:r>
        <m:r>
          <m:rPr>
            <m:sty m:val="p"/>
          </m:rPr>
          <m:t>]</m:t>
        </m:r>
      </m:oMath>
      <w:r>
        <w:t xml:space="preserve"> </w:t>
      </w:r>
      <m:oMath>
        <m:r>
          <m:t>α</m:t>
        </m:r>
        <m:r>
          <m:rPr>
            <m:sty m:val="p"/>
          </m:rPr>
          <m:t>←</m:t>
        </m:r>
      </m:oMath>
      <w:r>
        <w:t xml:space="preserve"> </w:t>
      </w:r>
      <w:r>
        <w:t xml:space="preserve">mean two-half plurality agreement over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splits</w:t>
      </w:r>
      <w:r>
        <w:t xml:space="preserve"> </w:t>
      </w:r>
      <m:oMath>
        <m:r>
          <m:t>k</m:t>
        </m:r>
        <m:r>
          <m:rPr>
            <m:sty m:val="p"/>
          </m:rPr>
          <m:t>←</m:t>
        </m:r>
      </m:oMath>
      <w:r>
        <w:t xml:space="preserve"> </w:t>
      </w:r>
      <w:r>
        <w:t xml:space="preserve">inverse-Simpson size of the non-plurality mass</w:t>
      </w:r>
      <w:r>
        <w:t xml:space="preserve"> </w:t>
      </w:r>
      <m:oMath>
        <m:r>
          <m:t>p</m:t>
        </m:r>
        <m:r>
          <m:rPr>
            <m:sty m:val="p"/>
          </m:rPr>
          <m:t>←</m:t>
        </m:r>
        <m:d>
          <m:dPr>
            <m:begChr m:val="["/>
            <m:sepChr m:val=""/>
            <m:endChr m:val="]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</m:e>
            </m:rad>
            <m:r>
              <m:t xml:space="preserve"> </m:t>
            </m:r>
          </m:e>
        </m:d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 xml:space="preserve"> </m:t>
        </m:r>
        <m:r>
          <m:rPr>
            <m:nor/>
          </m:rPr>
          <m:t>discriminant</m:t>
        </m:r>
        <m:r>
          <m:rPr>
            <m:sty m:val="p"/>
          </m:rPr>
          <m:t>&lt;</m:t>
        </m:r>
        <m:r>
          <m:t>0.02</m:t>
        </m:r>
        <m:r>
          <m:t xml:space="preserve"> </m:t>
        </m:r>
        <m:r>
          <m:rPr>
            <m:sty m:val="p"/>
          </m:rPr>
          <m:t>]</m:t>
        </m:r>
      </m:oMath>
      <w:r>
        <w:t xml:space="preserve"> </w:t>
      </w:r>
      <m:oMath>
        <m:acc>
          <m:accPr>
            <m:chr m:val="̂"/>
          </m:accPr>
          <m:e>
            <m:r>
              <m:t>η</m:t>
            </m:r>
          </m:e>
        </m:acc>
        <m:r>
          <m:rPr>
            <m:sty m:val="p"/>
          </m:rPr>
          <m:t>←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95</m:t>
                </m:r>
              </m:sub>
            </m:sSub>
            <m:r>
              <m:rPr>
                <m:sty m:val="p"/>
              </m:rPr>
              <m:t>(</m:t>
            </m:r>
            <m:r>
              <m:t>2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 xml:space="preserve"> </m:t>
            </m:r>
            <m:r>
              <m:t>0.20</m:t>
            </m:r>
            <m:r>
              <m:rPr>
                <m:sty m:val="p"/>
              </m:rPr>
              <m:t>,</m:t>
            </m:r>
            <m:r>
              <m:t xml:space="preserve"> </m:t>
            </m:r>
            <m:r>
              <m:t>1</m:t>
            </m:r>
          </m:e>
        </m:d>
      </m:oMath>
      <w:r>
        <w:t xml:space="preserve"> </w:t>
      </w:r>
      <m:oMath>
        <m:r>
          <m:t>0</m:t>
        </m:r>
      </m:oMath>
      <w: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e</m:t>
        </m:r>
        <m:r>
          <m:rPr>
            <m:sty m:val="p"/>
          </m:rPr>
          <m:t>r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D</m:t>
                    </m:r>
                  </m:e>
                </m:acc>
              </m:e>
              <m:sub>
                <m:r>
                  <m:t>g</m:t>
                </m:r>
              </m:sub>
            </m:sSub>
            <m:r>
              <m:rPr>
                <m:sty m:val="p"/>
              </m:rPr>
              <m:t>/</m:t>
            </m:r>
            <m:acc>
              <m:accPr>
                <m:chr m:val="̂"/>
              </m:accPr>
              <m:e>
                <m:r>
                  <m:t>η</m:t>
                </m:r>
              </m:e>
            </m:acc>
            <m:r>
              <m:rPr>
                <m:sty m:val="p"/>
              </m:rPr>
              <m:t>,</m:t>
            </m:r>
            <m:r>
              <m:t xml:space="preserve"> </m:t>
            </m:r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E</m:t>
                </m:r>
              </m:e>
              <m:sub>
                <m:r>
                  <m:t>g</m:t>
                </m:r>
              </m:sub>
            </m:sSub>
            <m:r>
              <m:rPr>
                <m:sty m:val="p"/>
              </m:rPr>
              <m:t>/</m:t>
            </m:r>
            <m:acc>
              <m:accPr>
                <m:chr m:val="̂"/>
              </m:accPr>
              <m:e>
                <m:r>
                  <m:t>η</m:t>
                </m:r>
              </m:e>
            </m:acc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t xml:space="preserve">unset</w:t>
      </w:r>
    </w:p>
    <w:p>
      <w:pPr>
        <w:pStyle w:val="BodyText"/>
      </w:pPr>
      <w:r>
        <w:t xml:space="preserve">Two orderings in Algorithm </w:t>
      </w:r>
      <w:hyperlink w:anchor="alg:tactlf">
        <w:r>
          <w:rPr>
            <w:rStyle w:val="Hyperlink"/>
          </w:rPr>
          <w:t xml:space="preserve">[alg:tactlf]</w:t>
        </w:r>
      </w:hyperlink>
      <w:r>
        <w:t xml:space="preserve"> </w:t>
      </w:r>
      <w:r>
        <w:t xml:space="preserve">are load-bearing. The significance</w:t>
      </w:r>
      <w:r>
        <w:t xml:space="preserve"> </w:t>
      </w:r>
      <w:r>
        <w:t xml:space="preserve">gate on line </w:t>
      </w:r>
      <w:hyperlink w:anchor="ln:gate">
        <w:r>
          <w:rPr>
            <w:rStyle w:val="Hyperlink"/>
          </w:rPr>
          <w:t xml:space="preserve">[ln:gate]</w:t>
        </w:r>
      </w:hyperlink>
      <w:r>
        <w:t xml:space="preserve"> </w:t>
      </w:r>
      <w:r>
        <w:t xml:space="preserve">tests the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</m:sub>
        </m:sSub>
      </m:oMath>
      <w:r>
        <w:t xml:space="preserve">, whose sign is unbiased by</w:t>
      </w:r>
      <w:r>
        <w:t xml:space="preserve"> </w:t>
      </w:r>
      <w:r>
        <w:t xml:space="preserve">Proposition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, while the tempering on line </w:t>
      </w:r>
      <w:hyperlink w:anchor="ln:temper">
        <w:r>
          <w:rPr>
            <w:rStyle w:val="Hyperlink"/>
          </w:rPr>
          <w:t xml:space="preserve">[ln:temper]</w:t>
        </w:r>
      </w:hyperlink>
      <w:r>
        <w:t xml:space="preserve"> </w:t>
      </w:r>
      <w:r>
        <w:t xml:space="preserve">uses</w:t>
      </w:r>
      <w:r>
        <w:t xml:space="preserve"> </w:t>
      </w:r>
      <w:r>
        <w:t xml:space="preserve">the de-attenuated pair; testing the inflated statistic instead would let the</w:t>
      </w:r>
      <w:r>
        <w:t xml:space="preserve"> </w:t>
      </w:r>
      <w:r>
        <w:t xml:space="preserve">de-attenuation manufacture significance. And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t xml:space="preserve">is left unset on the</w:t>
      </w:r>
      <w:r>
        <w:t xml:space="preserve"> </w:t>
      </w:r>
      <w:r>
        <w:t xml:space="preserve">label-free path because the required base rate is unavailable without labels;</w:t>
      </w:r>
      <w:r>
        <w:t xml:space="preserve"> </w:t>
      </w:r>
      <w:r>
        <w:t xml:space="preserve">the mixture correction of</w:t>
      </w:r>
      <w:r>
        <w:t xml:space="preserve"> </w:t>
      </w:r>
      <w:hyperlink w:anchor="eq:link">
        <w:r>
          <w:rPr>
            <w:rStyle w:val="Hyperlink"/>
          </w:rPr>
          <w:t xml:space="preserve">[eq:link]</w:t>
        </w:r>
      </w:hyperlink>
      <w:r>
        <w:t xml:space="preserve"> </w:t>
      </w:r>
      <w:r>
        <w:t xml:space="preserve">is consequently omitted.</w:t>
      </w:r>
    </w:p>
    <w:bookmarkEnd w:id="41"/>
    <w:bookmarkStart w:id="43" w:name="sign-consistency-and-its-boundary"/>
    <w:p>
      <w:pPr>
        <w:pStyle w:val="Heading2"/>
      </w:pPr>
      <w:r>
        <w:t xml:space="preserve">Sign consistency and its boundary</w:t>
      </w:r>
    </w:p>
    <w:bookmarkStart w:id="42" w:name="prop:ccn"/>
    <w:p>
      <w:pPr>
        <w:pStyle w:val="FirstParagraph"/>
      </w:pPr>
      <w:r>
        <w:rPr>
          <w:b/>
          <w:bCs/>
        </w:rPr>
        <w:t xml:space="preserve">Proposition 4</w:t>
      </w:r>
      <w:r>
        <w:t xml:space="preserve"> </w:t>
      </w:r>
      <w:r>
        <w:t xml:space="preserve">(Attenuation identity).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rPr>
          <w:i/>
          <w:iCs/>
        </w:rPr>
        <w:t xml:space="preserve"> </w:t>
      </w:r>
      <w:r>
        <w:rPr>
          <w:i/>
          <w:iCs/>
        </w:rPr>
        <w:t xml:space="preserve">be the pair-weighted probability that an item’s plurality is wrong. If the plurality-error event is independent of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given</w:t>
      </w:r>
      <w:r>
        <w:rPr>
          <w:i/>
          <w:iCs/>
        </w:rPr>
        <w:t xml:space="preserve"> </w:t>
      </w:r>
      <m:oMath>
        <m:r>
          <m:t>y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(class-conditional noise), then</w:t>
      </w:r>
      <w:r>
        <w:rPr>
          <w:i/>
          <w:i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 xml:space="preserve"> </m:t>
        </m:r>
        <m:r>
          <m:t>D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In particular</w:t>
      </w:r>
      <w:r>
        <w:rPr>
          <w:i/>
          <w:iCs/>
        </w:rPr>
        <w:t xml:space="preserve"> </w:t>
      </w:r>
      <m:oMath>
        <m:r>
          <m:rPr>
            <m:sty m:val="p"/>
          </m:rPr>
          <m:t>sign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t>D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whenever</w:t>
      </w:r>
      <w:r>
        <w:rPr>
          <w:i/>
          <w:iCs/>
        </w:rP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i/>
          <w:iCs/>
        </w:rPr>
        <w:t xml:space="preserve">: the label-free estimate can only under-trust, never mis-sign.</w:t>
      </w:r>
    </w:p>
    <w:bookmarkEnd w:id="42"/>
    <w:p>
      <w:pPr>
        <w:pStyle w:val="BodyText"/>
      </w:pPr>
      <w:r>
        <w:t xml:space="preserve">The identity fails when the flip is</w:t>
      </w:r>
      <w:r>
        <w:t xml:space="preserve"> </w:t>
      </w:r>
      <w:r>
        <w:rPr>
          <w:i/>
          <w:iCs/>
        </w:rPr>
        <w:t xml:space="preserve">caused</w:t>
      </w:r>
      <w:r>
        <w:t xml:space="preserve"> </w:t>
      </w:r>
      <w:r>
        <w:t xml:space="preserve">by confidence, that is, under a confident echo. There the observable law under</w:t>
      </w:r>
      <w:r>
        <w:t xml:space="preserve"> </w:t>
      </w:r>
      <m:oMath>
        <m:r>
          <m:rPr>
            <m:sty m:val="p"/>
          </m:rPr>
          <m:t>{</m:t>
        </m:r>
      </m:oMath>
      <w:r>
        <w:t xml:space="preserve">majority right,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</m:oMath>
      <w:r>
        <w:t xml:space="preserve">majority wrong via confident echo,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is identical (the two-root ambiguity of [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 restated for a single channel), so any label-free guarantee is necessarily conditional, and this paper states the condition.</w:t>
      </w:r>
    </w:p>
    <w:bookmarkEnd w:id="43"/>
    <w:bookmarkStart w:id="44" w:name="de-attenuation-and-alarms"/>
    <w:p>
      <w:pPr>
        <w:pStyle w:val="Heading2"/>
      </w:pPr>
      <w:r>
        <w:t xml:space="preserve">De-attenuation and alarms</w:t>
      </w:r>
    </w:p>
    <w:p>
      <w:pPr>
        <w:pStyle w:val="FirstParagraph"/>
      </w:pPr>
      <w:r>
        <w:t xml:space="preserve">Split-half agreement over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random half-splits estimates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under a one-coin model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effective wrong alternatives (inverse-Simpson), inverted 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k</m:t>
            </m:r>
            <m:r>
              <m:t>α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divided by the</w:t>
      </w:r>
      <w:r>
        <w:t xml:space="preserve"> </w:t>
      </w:r>
      <w:r>
        <w:rPr>
          <w:i/>
          <w:iCs/>
        </w:rPr>
        <w:t xml:space="preserve">upper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bootstrap bound of</w:t>
      </w:r>
      <w:r>
        <w:t xml:space="preserve"> </w:t>
      </w:r>
      <m:oMath>
        <m:r>
          <m:t>2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(floored at</w:t>
      </w:r>
      <w:r>
        <w:t xml:space="preserve"> </w:t>
      </w:r>
      <m:oMath>
        <m:r>
          <m:t>0.2</m:t>
        </m:r>
      </m:oMath>
      <w:r>
        <w:t xml:space="preserve">), which can only under-inflate. Four semantically named alarms force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detects duplicate collapse,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checks sign-aware margin decoupling,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marks ambiguity in the split-half quadratic, and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z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marks an insufficient gated set. The margin-decoupling alarm conditions on the estimated trust direction. An earlier sign-naive version (</w:t>
      </w:r>
      <w:r>
        <w:t xml:space="preserve">“plurality has the highest mean</w:t>
      </w:r>
      <w:r>
        <w:t xml:space="preserve"> </w:t>
      </w:r>
      <m:oMath>
        <m:r>
          <m:t>φ</m:t>
        </m:r>
      </m:oMath>
      <w:r>
        <w:t xml:space="preserve">”</w:t>
      </w:r>
      <w:r>
        <w:t xml:space="preserve">) false-alarmed on every benign anti-correlated channel; the released tests cover the corrected implementation. The significance gate acts on the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(unbiased sign under Proposition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), whereas tempering uses the de-attenuated value. A semi-label-free mode takes only the sign from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</m:oMath>
      <w:r>
        <w:t xml:space="preserve"> </w:t>
      </w:r>
      <w:r>
        <w:t xml:space="preserve">dev labels, routing it into the pipeline and disabling the proxy-sign alarm. This removes the two-root ambiguity with a small labeled set.</w:t>
      </w:r>
    </w:p>
    <w:bookmarkEnd w:id="44"/>
    <w:bookmarkEnd w:id="45"/>
    <w:bookmarkStart w:id="51" w:name="sec:hetero"/>
    <w:p>
      <w:pPr>
        <w:pStyle w:val="Heading1"/>
      </w:pPr>
      <w:r>
        <w:t xml:space="preserve">Heterogeneity: Impossibility and Escape</w:t>
      </w:r>
    </w:p>
    <w:bookmarkStart w:id="49" w:name="X6b81b2bcd4bd383fca78608abce9da302a7840a"/>
    <w:p>
      <w:pPr>
        <w:pStyle w:val="Heading2"/>
      </w:pPr>
      <w:r>
        <w:t xml:space="preserve">Per-item adaptation is closed under i.i.d. coupling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nor/>
              </m:rPr>
              <m:t>iid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 no observable covariate.</w:t>
      </w:r>
    </w:p>
    <w:bookmarkStart w:id="46" w:name="prop:selfreinf"/>
    <w:p>
      <w:pPr>
        <w:pStyle w:val="BodyText"/>
      </w:pPr>
      <w:r>
        <w:rPr>
          <w:b/>
          <w:bCs/>
        </w:rPr>
        <w:t xml:space="preserve">Proposition 5</w:t>
      </w:r>
      <w:r>
        <w:t xml:space="preserve"> </w:t>
      </w:r>
      <w:r>
        <w:t xml:space="preserve">(Self-reinforcement).</w:t>
      </w:r>
      <w:r>
        <w:t xml:space="preserve"> </w:t>
      </w:r>
      <w:r>
        <w:t xml:space="preserve"> </w:t>
      </w:r>
      <w:r>
        <w:rPr>
          <w:i/>
          <w:iCs/>
        </w:rPr>
        <w:t xml:space="preserve">Any per-item rule</w:t>
      </w:r>
      <w:r>
        <w:rPr>
          <w:i/>
          <w:iCs/>
        </w:rPr>
        <w:t xml:space="preserve"> </w:t>
      </w:r>
      <m:oMath>
        <m:sSub>
          <m:e>
            <m:r>
              <m:t>γ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r>
          <m:t>h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monotone increasing and odd reinforces the plurality on both branches:</w:t>
      </w:r>
      <w:r>
        <w:rPr>
          <w:i/>
          <w:i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up-weights confident traces, which agree with the plurality;</w:t>
      </w:r>
      <w:r>
        <w:rPr>
          <w:i/>
          <w:i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&lt;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up-weights unconfident traces, which are again the plurality side.</w:t>
      </w:r>
    </w:p>
    <w:bookmarkEnd w:id="46"/>
    <w:p>
      <w:pPr>
        <w:pStyle w:val="BodyText"/>
      </w:pPr>
      <w:r>
        <w:rPr>
          <w:b/>
          <w:bCs/>
        </w:rPr>
        <w:t xml:space="preserve">Remark 1</w:t>
      </w:r>
      <w:r>
        <w:t xml:space="preserve">.</w:t>
      </w:r>
      <w:r>
        <w:t xml:space="preserve"> </w:t>
      </w:r>
      <w:r>
        <w:t xml:space="preserve"> </w:t>
      </w:r>
      <w:r>
        <w:rPr>
          <w:i/>
          <w:iCs/>
        </w:rPr>
        <w:t xml:space="preserve">Measured in this harness, such a rule agrees with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r>
          <m:t>97.5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items and its residual flips are net-harmful (</w:t>
      </w:r>
      <m:oMath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right vs. </w:t>
      </w:r>
      <m:oMath>
        <m:r>
          <m:t>9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wrong per</w:t>
      </w:r>
      <w:r>
        <w:rPr>
          <w:i/>
          <w:iCs/>
        </w:rPr>
        <w:t xml:space="preserve"> </w:t>
      </w:r>
      <m:oMath>
        <m:r>
          <m:t>400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items).</w:t>
      </w:r>
    </w:p>
    <w:bookmarkStart w:id="47" w:name="prop:curse"/>
    <w:p>
      <w:pPr>
        <w:pStyle w:val="BodyText"/>
      </w:pPr>
      <w:r>
        <w:rPr>
          <w:b/>
          <w:bCs/>
        </w:rPr>
        <w:t xml:space="preserve">Remark 2</w:t>
      </w:r>
      <w:r>
        <w:t xml:space="preserve"> </w:t>
      </w:r>
      <w:r>
        <w:t xml:space="preserve">(Winner’s curse).</w:t>
      </w:r>
      <w:r>
        <w:t xml:space="preserve"> </w:t>
      </w:r>
      <w:r>
        <w:t xml:space="preserve"> </w:t>
      </w:r>
      <w:r>
        <w:rPr>
          <w:i/>
          <w:iCs/>
        </w:rPr>
        <w:t xml:space="preserve">This is a measurement in the present harness, not a theorem: on plurality-wrong items with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rPr>
          <w:i/>
          <w:iCs/>
        </w:rPr>
        <w:t xml:space="preserve">, the items where a flip could win, the agreement statistic’s sign matches the true sign only</w:t>
      </w:r>
      <w:r>
        <w:rPr>
          <w:i/>
          <w:iCs/>
        </w:rP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the time.</w:t>
      </w:r>
    </w:p>
    <w:bookmarkEnd w:id="47"/>
    <w:bookmarkStart w:id="48" w:name="prop:twoworld"/>
    <w:p>
      <w:pPr>
        <w:pStyle w:val="BodyText"/>
      </w:pPr>
      <w:r>
        <w:rPr>
          <w:b/>
          <w:bCs/>
        </w:rPr>
        <w:t xml:space="preserve">Proposition 6</w:t>
      </w:r>
      <w:r>
        <w:t xml:space="preserve"> </w:t>
      </w:r>
      <w:r>
        <w:t xml:space="preserve">(Two-world unidentifiability).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t xml:space="preserve"> </m:t>
        </m:r>
        <m:r>
          <m:rPr>
            <m:nor/>
          </m:rPr>
          <m:t>minority correct</m:t>
        </m:r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 xml:space="preserve"> </m:t>
        </m:r>
        <m:r>
          <m:rPr>
            <m:nor/>
          </m:rPr>
          <m:t>plurality correct</m:t>
        </m:r>
        <m:r>
          <m:rPr>
            <m:sty m:val="p"/>
          </m:rPr>
          <m:t>}</m:t>
        </m:r>
      </m:oMath>
      <w:r>
        <w:rPr>
          <w:i/>
          <w:iCs/>
        </w:rPr>
        <w:t xml:space="preserve">. Computed against either truth,</w:t>
      </w:r>
      <w:r>
        <w:rPr>
          <w:i/>
          <w:iCs/>
        </w:rPr>
        <w:t xml:space="preserve"> </w:t>
      </w:r>
      <m:oMath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p>
        </m:sSup>
      </m:oMath>
      <w:r>
        <w:rPr>
          <w:i/>
          <w:iCs/>
        </w:rPr>
        <w:t xml:space="preserve">, so the statistic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tact</w:t>
      </w:r>
      <w:r>
        <w:rPr>
          <w:i/>
          <w:iCs/>
        </w:rPr>
        <w:t xml:space="preserve"> </w:t>
      </w:r>
      <w:r>
        <w:rPr>
          <w:i/>
          <w:iCs/>
        </w:rPr>
        <w:t xml:space="preserve">uses cannot order the two worlds.</w:t>
      </w:r>
      <w:r>
        <w:rPr>
          <w:i/>
          <w:iCs/>
        </w:rPr>
        <w:t xml:space="preserve"> </w:t>
      </w:r>
      <w:r>
        <w:rPr>
          <w:i/>
          <w:iCs/>
        </w:rPr>
        <w:t xml:space="preserve">When the item has exactly two answer clusters the laws of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coincide</w:t>
      </w:r>
      <w:r>
        <w:rPr>
          <w:i/>
          <w:iCs/>
        </w:rPr>
        <w:t xml:space="preserve"> </w:t>
      </w:r>
      <w:r>
        <w:rPr>
          <w:i/>
          <w:iCs/>
        </w:rPr>
        <w:t xml:space="preserve">outright and no label-free method can separate them. With three or more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populated</w:t>
      </w:r>
      <w:r>
        <w:rPr>
          <w:i/>
          <w:iCs/>
        </w:rPr>
        <w:t xml:space="preserve"> </w:t>
      </w:r>
      <w:r>
        <w:rPr>
          <w:i/>
          <w:iCs/>
        </w:rPr>
        <w:t xml:space="preserve">clusters they do not coincide: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only the correct</w:t>
      </w:r>
      <w:r>
        <w:rPr>
          <w:i/>
          <w:iCs/>
        </w:rPr>
        <w:t xml:space="preserve"> </w:t>
      </w:r>
      <w:r>
        <w:rPr>
          <w:i/>
          <w:iCs/>
        </w:rPr>
        <w:t xml:space="preserve">minority carries elevated confidence, whereas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every non-plurality</w:t>
      </w:r>
      <w:r>
        <w:rPr>
          <w:i/>
          <w:iCs/>
        </w:rPr>
        <w:t xml:space="preserve"> </w:t>
      </w:r>
      <w:r>
        <w:rPr>
          <w:i/>
          <w:iCs/>
        </w:rPr>
        <w:t xml:space="preserve">cluster does, so the conditional law of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 a third cluster separates them</w:t>
      </w:r>
      <w:r>
        <w:rPr>
          <w:i/>
          <w:iCs/>
        </w:rPr>
        <w:t xml:space="preserve"> </w:t>
      </w:r>
      <w:r>
        <w:rPr>
          <w:i/>
          <w:iCs/>
        </w:rPr>
        <w:t xml:space="preserve">(verified numerically; the two laws agree on the top two clusters and differ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t xml:space="preserve"> </m:t>
        </m:r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on the third). The impossibility is therefore</w:t>
      </w:r>
      <w:r>
        <w:rPr>
          <w:i/>
          <w:iCs/>
        </w:rPr>
        <w:t xml:space="preserve"> </w:t>
      </w:r>
      <w:r>
        <w:rPr>
          <w:i/>
          <w:iCs/>
        </w:rPr>
        <w:t xml:space="preserve">conditional on the pool being effectively binary, which is the regime the</w:t>
      </w:r>
      <w:r>
        <w:rPr>
          <w:i/>
          <w:iCs/>
        </w:rPr>
        <w:t xml:space="preserve"> </w:t>
      </w:r>
      <w:r>
        <w:rPr>
          <w:i/>
          <w:iCs/>
        </w:rPr>
        <w:t xml:space="preserve">confident-echo cell occupies:</w:t>
      </w:r>
      <w:r>
        <w:rPr>
          <w:i/>
          <w:iCs/>
        </w:rP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its items have no third cluster at</w:t>
      </w:r>
      <w:r>
        <w:rPr>
          <w:i/>
          <w:i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tact</w:t>
      </w:r>
      <w:r>
        <w:rPr>
          <w:i/>
          <w:iCs/>
        </w:rPr>
        <w:t xml:space="preserve"> </w:t>
      </w:r>
      <w:r>
        <w:rPr>
          <w:i/>
          <w:iCs/>
        </w:rPr>
        <w:t xml:space="preserve">does not exploit the residual signal, and no published</w:t>
      </w:r>
      <w:r>
        <w:rPr>
          <w:i/>
          <w:iCs/>
        </w:rPr>
        <w:t xml:space="preserve"> </w:t>
      </w:r>
      <w:r>
        <w:rPr>
          <w:i/>
          <w:iCs/>
        </w:rPr>
        <w:t xml:space="preserve">method does either; doing so is left open.</w:t>
      </w:r>
    </w:p>
    <w:bookmarkEnd w:id="48"/>
    <w:p>
      <w:pPr>
        <w:pStyle w:val="BodyText"/>
      </w:pPr>
      <w:r>
        <w:t xml:space="preserve">Consequently the per-item oracle (</w:t>
      </w:r>
      <m:oMath>
        <m:r>
          <m:t>0.973</m:t>
        </m:r>
      </m:oMath>
      <w:r>
        <w:t xml:space="preserve"> </w:t>
      </w:r>
      <w:r>
        <w:t xml:space="preserve">in this harness) is unreachable, and the honest behaviour is to fall back to the global estimate, which</w:t>
      </w:r>
      <w:r>
        <w:t xml:space="preserve"> </w:t>
      </w:r>
      <w:r>
        <w:rPr>
          <w:smallCaps/>
        </w:rPr>
        <w:t xml:space="preserve">tact</w:t>
      </w:r>
      <w:r>
        <w:t xml:space="preserve">’s dead zone does: in the i.i.d. cell every variant returns bitwise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(zero discordant pairs).</w:t>
      </w:r>
    </w:p>
    <w:bookmarkEnd w:id="49"/>
    <w:bookmarkStart w:id="50" w:name="tact-group"/>
    <w:p>
      <w:pPr>
        <w:pStyle w:val="Heading2"/>
      </w:pPr>
      <w:r>
        <w:t xml:space="preserve">TACT-group</w:t>
      </w:r>
    </w:p>
    <w:p>
      <w:pPr>
        <w:pStyle w:val="FirstParagraph"/>
      </w:pPr>
      <w:r>
        <w:t xml:space="preserve">Real heterogeneity is typically indexed by an observable covariate (domain, question type). With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indexed by a group label, running the estimator per group keeps every group inside the operating regime of Sections </w:t>
      </w:r>
      <w:hyperlink w:anchor="sec:method">
        <w:r>
          <w:rPr>
            <w:rStyle w:val="Hyperlink"/>
          </w:rPr>
          <w:t xml:space="preserve">4</w:t>
        </w:r>
      </w:hyperlink>
      <w:r>
        <w:t xml:space="preserve">–</w:t>
      </w:r>
      <w:hyperlink w:anchor="sec:lf">
        <w:r>
          <w:rPr>
            <w:rStyle w:val="Hyperlink"/>
          </w:rPr>
          <w:t xml:space="preserve">5</w:t>
        </w:r>
      </w:hyperlink>
      <w:r>
        <w:t xml:space="preserve">; groups with fewer than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dev (or</w:t>
      </w:r>
      <w:r>
        <w:t xml:space="preserve"> </w:t>
      </w:r>
      <m:oMath>
        <m:r>
          <m:t>60</m:t>
        </m:r>
      </m:oMath>
      <w:r>
        <w:t xml:space="preserve"> </w:t>
      </w:r>
      <w:r>
        <w:t xml:space="preserve">unlabeled) items fall back to the global estimate, which Propositions </w:t>
      </w:r>
      <w:hyperlink w:anchor="prop:selfreinf">
        <w:r>
          <w:rPr>
            <w:rStyle w:val="Hyperlink"/>
          </w:rPr>
          <w:t xml:space="preserve">5</w:t>
        </w:r>
      </w:hyperlink>
      <w:r>
        <w:t xml:space="preserve">–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show is the only defensible default.</w:t>
      </w:r>
    </w:p>
    <w:bookmarkEnd w:id="50"/>
    <w:bookmarkEnd w:id="51"/>
    <w:bookmarkStart w:id="56" w:name="sec:exp"/>
    <w:p>
      <w:pPr>
        <w:pStyle w:val="Heading1"/>
      </w:pPr>
      <w:r>
        <w:t xml:space="preserve">Experimental Setup</w:t>
      </w:r>
    </w:p>
    <w:p>
      <w:pPr>
        <w:pStyle w:val="FirstParagraph"/>
      </w:pPr>
      <w:r>
        <w:rPr>
          <w:b/>
          <w:bCs/>
        </w:rPr>
        <w:t xml:space="preserve">Harness.</w:t>
      </w:r>
      <w:r>
        <w:t xml:space="preserve"> </w:t>
      </w:r>
      <w:r>
        <w:t xml:space="preserve">A cluster-mixture oracle generates, per item, up to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cached traces with answers, confidences</w:t>
      </w:r>
      <w:r>
        <w:t xml:space="preserve"> </w:t>
      </w:r>
      <w:hyperlink w:anchor="eq:confmodel">
        <w:r>
          <w:rPr>
            <w:rStyle w:val="Hyperlink"/>
          </w:rPr>
          <w:t xml:space="preserve">[eq:confmodel]</w:t>
        </w:r>
      </w:hyperlink>
      <w:r>
        <w:t xml:space="preserve">, and two similarity channels; all methods replay identical pools (paired comparisons, exact McNemar tests). Voting budget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;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items per cell on the sweep,</w:t>
      </w:r>
      <w:r>
        <w:t xml:space="preserve"> </w:t>
      </w:r>
      <m:oMath>
        <m:r>
          <m:t>600</m:t>
        </m:r>
      </m:oMath>
      <w:r>
        <w:t xml:space="preserve"> </w:t>
      </w:r>
      <w:r>
        <w:t xml:space="preserve">for the group study; dev splits of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(primary) and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(small-dev).</w:t>
      </w:r>
    </w:p>
    <w:p>
      <w:pPr>
        <w:pStyle w:val="BodyText"/>
      </w:pPr>
      <w:r>
        <w:rPr>
          <w:b/>
          <w:bCs/>
        </w:rPr>
        <w:t xml:space="preserve">Regimes.</w:t>
      </w:r>
      <w:r>
        <w:t xml:space="preserve"> </w:t>
      </w:r>
      <w:r>
        <w:t xml:space="preserve">The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sweep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}</m:t>
        </m:r>
      </m:oMath>
      <w:r>
        <w:t xml:space="preserve">; three strictly monotone confidence distortions (compression toward</w:t>
      </w:r>
      <w:r>
        <w:t xml:space="preserve"> </w:t>
      </w:r>
      <m:oMath>
        <m:r>
          <m:t>0.5</m:t>
        </m:r>
      </m:oMath>
      <w:r>
        <w:t xml:space="preserve">, over-confident sigmoid, fourth power), rank-preserving by construction, so discrimination is intact while calibration is destroyed; i.i.d. heterogeneity (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); covariate-structured heterogeneity (three groups at</w:t>
      </w:r>
      <w:r>
        <w:t xml:space="preserve"> </w:t>
      </w:r>
      <m:oMath>
        <m:r>
          <m:rPr>
            <m:sty m:val="p"/>
          </m:rPr>
          <m:t>+</m:t>
        </m:r>
        <m:r>
          <m:t>0.6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0.6</m:t>
        </m:r>
      </m:oMath>
      <w:r>
        <w:t xml:space="preserve">); and a confident-echo poison (a wrong cluster echoes verbatim with confidence</w:t>
      </w:r>
      <w:r>
        <w:t xml:space="preserve"> </w:t>
      </w:r>
      <m:oMath>
        <m:r>
          <m:t>0.95</m:t>
        </m:r>
      </m:oMath>
      <w:r>
        <w:t xml:space="preserve">).</w:t>
      </w:r>
    </w:p>
    <w:p>
      <w:pPr>
        <w:pStyle w:val="BodyText"/>
      </w:pPr>
      <w:r>
        <w:rPr>
          <w:b/>
          <w:bCs/>
        </w:rPr>
        <w:t xml:space="preserve">Baselines.</w:t>
      </w:r>
      <w:r>
        <w:t xml:space="preserve"> </w:t>
      </w:r>
      <w:r>
        <w:rPr>
          <w:smallCaps/>
        </w:rPr>
        <w:t xml:space="preserve">sc</w:t>
      </w:r>
      <w:r>
        <w:t xml:space="preserve">; CISC-power with</w:t>
      </w:r>
      <w:r>
        <w:t xml:space="preserve"> </w:t>
      </w:r>
      <m:oMath>
        <m:r>
          <m:t>γ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;</w:t>
      </w:r>
      <w:r>
        <w:t xml:space="preserve"> </w:t>
      </w:r>
      <w:r>
        <w:rPr>
          <w:i/>
          <w:iCs/>
        </w:rPr>
        <w:t xml:space="preserve">CISC-devT</w:t>
      </w:r>
      <w:r>
        <w:t xml:space="preserve">, the published dev-calibrated protocol (positive grid picked on dev); a binary ECE gate;</w:t>
      </w:r>
      <w:r>
        <w:t xml:space="preserve"> </w:t>
      </w:r>
      <w:r>
        <w:rPr>
          <w:i/>
          <w:iCs/>
        </w:rPr>
        <w:t xml:space="preserve">SignGrid-dev</w:t>
      </w:r>
      <w:r>
        <w:t xml:space="preserve">, the strongest trivial baseline (signed exponent grid picked on dev); and the test-set oracle over signed fixed exponents as the upper envelope. The group study adds the naive self-referential per-item method as a negative control and the per-item link oracle as the ceiling.</w:t>
      </w:r>
    </w:p>
    <w:p>
      <w:pPr>
        <w:pStyle w:val="BodyText"/>
      </w:pPr>
      <w:r>
        <w:rPr>
          <w:b/>
          <w:bCs/>
        </w:rPr>
        <w:t xml:space="preserve">Pre-registered rejection criteria.</w:t>
      </w:r>
      <w:r>
        <w:t xml:space="preserve"> </w:t>
      </w:r>
      <w:r>
        <w:t xml:space="preserve">The decision rule is stated here because</w:t>
      </w:r>
      <w:r>
        <w:t xml:space="preserve"> </w:t>
      </w:r>
      <w:r>
        <w:t xml:space="preserve">the protocol is offered as a contribution. Each criterion uses an exact paired</w:t>
      </w:r>
      <w:r>
        <w:t xml:space="preserve"> </w:t>
      </w:r>
      <w:r>
        <w:t xml:space="preserve">McNemar test on the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items of a cell,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one-sided, with</w:t>
      </w:r>
      <w:r>
        <w:t xml:space="preserve"> </w:t>
      </w:r>
      <w:r>
        <w:t xml:space="preserve">the seed-level bootstrap of Section </w:t>
      </w:r>
      <w:hyperlink w:anchor="sec:seeds">
        <w:r>
          <w:rPr>
            <w:rStyle w:val="Hyperlink"/>
          </w:rPr>
          <w:t xml:space="preserve">8.6</w:t>
        </w:r>
      </w:hyperlink>
      <w:r>
        <w:t xml:space="preserve"> </w:t>
      </w:r>
      <w:r>
        <w:t xml:space="preserve">as the second gate: a</w:t>
      </w:r>
      <w:r>
        <w:t xml:space="preserve"> </w:t>
      </w:r>
      <w:r>
        <w:t xml:space="preserve">falsifier fires when the single-cell test has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across-seed interval excludes zero. Single-cell tests at this size are</w:t>
      </w:r>
      <w:r>
        <w:t xml:space="preserve"> </w:t>
      </w:r>
      <w:r>
        <w:t xml:space="preserve">underpowered against a strong baseline, which is the reason for the second</w:t>
      </w:r>
      <w:r>
        <w:t xml:space="preserve"> </w:t>
      </w:r>
      <w:r>
        <w:t xml:space="preserve">gate; the earlier fixed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tolerance is retained only as a reporting</w:t>
      </w:r>
      <w:r>
        <w:t xml:space="preserve"> </w:t>
      </w:r>
      <w:r>
        <w:t xml:space="preserve">convenience in the tables. Rejection would occur if</w:t>
      </w:r>
      <w:r>
        <w:t xml:space="preserve"> </w:t>
      </w:r>
      <w:r>
        <w:rPr>
          <w:smallCaps/>
        </w:rPr>
        <w:t xml:space="preserve">tact</w:t>
      </w:r>
      <w:r>
        <w:t xml:space="preserve">-dev fell more than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below the best fixed-</w:t>
      </w:r>
      <m:oMath>
        <m:r>
          <m:t>γ</m:t>
        </m:r>
      </m:oMath>
      <w:r>
        <w:t xml:space="preserve"> </w:t>
      </w:r>
      <w:r>
        <w:t xml:space="preserve">CISC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</m:t>
        </m:r>
      </m:oMath>
      <w:r>
        <w:t xml:space="preserve">, if either variant</w:t>
      </w:r>
      <w:r>
        <w:t xml:space="preserve"> </w:t>
      </w:r>
      <w:r>
        <w:t xml:space="preserve">fell more than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below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anywhere on the sweep, or if</w:t>
      </w:r>
      <w:r>
        <w:t xml:space="preserve"> </w:t>
      </w:r>
      <w:r>
        <w:rPr>
          <w:smallCaps/>
        </w:rPr>
        <w:t xml:space="preserve">tact</w:t>
      </w:r>
      <w:r>
        <w:t xml:space="preserve">-LF failed</w:t>
      </w:r>
      <w:r>
        <w:t xml:space="preserve"> </w:t>
      </w:r>
      <w:r>
        <w:t xml:space="preserve">to beat the ECE gate on sweep average. The strongest criterion asks whether</w:t>
      </w:r>
      <w:r>
        <w:t xml:space="preserve"> </w:t>
      </w:r>
      <w:r>
        <w:t xml:space="preserve">CISC-devT or SignGrid-dev stays within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of</w:t>
      </w:r>
      <w:r>
        <w:t xml:space="preserve"> </w:t>
      </w:r>
      <w:r>
        <w:rPr>
          <w:smallCaps/>
        </w:rPr>
        <w:t xml:space="preserve">tact</w:t>
      </w:r>
      <w:r>
        <w:t xml:space="preserve">-dev in every distortion,</w:t>
      </w:r>
      <w:r>
        <w:t xml:space="preserve"> </w:t>
      </w:r>
      <w:r>
        <w:t xml:space="preserve">heterogeneity, and small-dev cell. No single-cell comparison with SignGrid-dev</w:t>
      </w:r>
      <w:r>
        <w:t xml:space="preserve"> </w:t>
      </w:r>
      <w:r>
        <w:t xml:space="preserve">rejects equality on the homogeneous sweep (the smallest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0.08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t xml:space="preserve">). The ten-seed bootstrap nevertheless resolves a systematic</w:t>
      </w:r>
      <w:r>
        <w:t xml:space="preserve"> </w:t>
      </w:r>
      <w:r>
        <w:t xml:space="preserve">mid-range deficit, which a single-seed analysis would have reported as a tie.</w:t>
      </w:r>
    </w:p>
    <w:bookmarkStart w:id="55" w:name="fig:sweep"/>
    <w:p>
      <w:pPr>
        <w:pStyle w:val="CaptionedFigure"/>
      </w:pPr>
      <w:r>
        <w:drawing>
          <wp:inline>
            <wp:extent cx="3332174" cy="2575903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figs/tact_sweep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2174" cy="2575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result on the confidence-usage frontier.</w:t>
      </w:r>
      <w:r>
        <w:t xml:space="preserve"> </w:t>
      </w:r>
      <w:r>
        <w:rPr>
          <w:smallCaps/>
        </w:rPr>
        <w:t xml:space="preserve">tact</w:t>
      </w:r>
      <w:r>
        <w:t xml:space="preserve">-dev and the fully label-free</w:t>
      </w:r>
      <w:r>
        <w:t xml:space="preserve"> </w:t>
      </w:r>
      <w:r>
        <w:rPr>
          <w:smallCaps/>
        </w:rPr>
        <w:t xml:space="preserve">tact</w:t>
      </w:r>
      <w:r>
        <w:t xml:space="preserve">-LF track the signed oracle across the sweep; CISC-devT and the ECE gate sit 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for all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55"/>
    <w:bookmarkEnd w:id="56"/>
    <w:bookmarkStart w:id="81" w:name="sec:results"/>
    <w:p>
      <w:pPr>
        <w:pStyle w:val="Heading1"/>
      </w:pPr>
      <w:r>
        <w:t xml:space="preserve">Results</w:t>
      </w:r>
    </w:p>
    <w:bookmarkStart w:id="57" w:name="tab:sweep"/>
    <w:p>
      <w:pPr>
        <w:pStyle w:val="TableCaption"/>
      </w:pPr>
      <w:r>
        <w:t xml:space="preserve">Coupling sweep (accuracy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;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paired items per cell; dev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). Published protocols sit 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on the entire negative half-axis.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upling sweep (accuracy at K{=}15; 400 paired items per cell; dev n{=}200). Published protocols sit at the sc floor on the entire negative half-axis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smallCap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-dev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-LF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oracle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.915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0.0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.932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</w:tbl>
    <w:bookmarkEnd w:id="57"/>
    <w:bookmarkStart w:id="59" w:name="signed-recovery-with-and-without-labels"/>
    <w:p>
      <w:pPr>
        <w:pStyle w:val="Heading2"/>
      </w:pPr>
      <w:r>
        <w:t xml:space="preserve">Signed recovery, with and without labels</w:t>
      </w:r>
    </w:p>
    <w:p>
      <w:pPr>
        <w:pStyle w:val="FirstParagraph"/>
      </w:pPr>
      <w:r>
        <w:t xml:space="preserve">Table </w:t>
      </w:r>
      <w:hyperlink w:anchor="tab:sweep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and Fig. </w:t>
      </w:r>
      <w:hyperlink w:anchor="fig:sweep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give the sweep. On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the published protocols remain 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because CISC-devT searches</w:t>
      </w:r>
      <w:r>
        <w:t xml:space="preserve"> </w:t>
      </w:r>
      <w:r>
        <w:t xml:space="preserve">only positive exponents and the ECE gate stays closed. Dev ECE ranges from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even though discrimination is perfect at the extremes. The</w:t>
      </w:r>
      <w:r>
        <w:t xml:space="preserve"> </w:t>
      </w:r>
      <w:r>
        <w:t xml:space="preserve">label-free and</w:t>
      </w:r>
      <w:r>
        <w:t xml:space="preserve"> </w:t>
      </w:r>
      <m:oMath>
        <m:r>
          <m:t>200</m:t>
        </m:r>
      </m:oMath>
      <w:r>
        <w:t xml:space="preserve">-label variants are nearly coincident.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, for example, the raw agreement statistic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0.81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17.6</m:t>
        </m:r>
      </m:oMath>
      <w:r>
        <w:t xml:space="preserve">, and</w:t>
      </w:r>
      <w:r>
        <w:t xml:space="preserve"> </w:t>
      </w:r>
      <w:r>
        <w:rPr>
          <w:smallCaps/>
        </w:rPr>
        <w:t xml:space="preserve">tact</w:t>
      </w:r>
      <w:r>
        <w:t xml:space="preserve">-LF reaches</w:t>
      </w:r>
      <w:r>
        <w:t xml:space="preserve"> </w:t>
      </w:r>
      <m:oMath>
        <m:r>
          <m:t>1.000</m:t>
        </m:r>
      </m:oMath>
      <w:r>
        <w:t xml:space="preserve"> </w:t>
      </w:r>
      <w:r>
        <w:t xml:space="preserve">without labels.</w:t>
      </w:r>
      <w:r>
        <w:t xml:space="preserve"> </w:t>
      </w:r>
      <w:r>
        <w:t xml:space="preserve">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 the dead zone sets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exactly, producing the same</w:t>
      </w:r>
      <w:r>
        <w:t xml:space="preserve"> </w:t>
      </w:r>
      <w:r>
        <w:t xml:space="preserve">decisions as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on every paired item.</w:t>
      </w:r>
    </w:p>
    <w:bookmarkStart w:id="58" w:name="tab:adv"/>
    <w:p>
      <w:pPr>
        <w:pStyle w:val="TableCaption"/>
      </w:pPr>
      <w:r>
        <w:t xml:space="preserve">Adversarial regimes (accuracy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).</w:t>
      </w:r>
      <w:r>
        <w:t xml:space="preserve"> </w:t>
      </w:r>
      <w:r>
        <w:t xml:space="preserve">“Oracle”</w:t>
      </w:r>
      <w:r>
        <w:t xml:space="preserve"> </w:t>
      </w:r>
      <w:r>
        <w:t xml:space="preserve">is the test-set best over</w:t>
      </w:r>
      <w:r>
        <w:t xml:space="preserve"> </w:t>
      </w:r>
      <w:r>
        <w:rPr>
          <w:i/>
          <w:iCs/>
        </w:rPr>
        <w:t xml:space="preserve">raw-value</w:t>
      </w:r>
      <w:r>
        <w:t xml:space="preserve"> </w:t>
      </w:r>
      <w:r>
        <w:t xml:space="preserve">weight policies; rank invariance beats that entire family under compression.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dversarial regimes (accuracy at K{=}15). “Oracle” is the test-set best over raw-value weight policies; rank invariance beats that entire family under compression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Regime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mallCap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-dev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-LF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compress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overconf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power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Hetero (i.i.d.)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Confident echo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.568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.615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.190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</w:tbl>
    <w:bookmarkEnd w:id="58"/>
    <w:p>
      <w:pPr>
        <w:pStyle w:val="BodyText"/>
      </w:pP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alarm fires and the method refuses to leave</w:t>
      </w:r>
      <w:r>
        <w:t xml:space="preserve"> </w:t>
      </w:r>
      <w:r>
        <w:rPr>
          <w:smallCaps/>
        </w:rPr>
        <w:t xml:space="preserve">sc</w:t>
      </w:r>
      <w:r>
        <w:t xml:space="preserve">:</w:t>
      </w:r>
      <w:r>
        <w:t xml:space="preserve"> </w:t>
      </w:r>
      <w:r>
        <w:t xml:space="preserve">the conditional guarantee of Prop.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working as stated.</w:t>
      </w:r>
    </w:p>
    <w:p>
      <w:pPr>
        <w:pStyle w:val="BodyText"/>
      </w:pPr>
      <w:r>
        <w:rPr>
          <w:b/>
          <w:bCs/>
        </w:rPr>
        <w:t xml:space="preserve">Where the derived exponent actually operates.</w:t>
      </w:r>
      <w:r>
        <w:t xml:space="preserve"> </w:t>
      </w:r>
      <w:r>
        <w:t xml:space="preserve">The four cells that</w:t>
      </w:r>
      <w:r>
        <w:t xml:space="preserve"> </w:t>
      </w:r>
      <w:r>
        <w:t xml:space="preserve">carry the headline</w:t>
      </w:r>
      <w:r>
        <w:t xml:space="preserve"> </w:t>
      </w:r>
      <m:oMath>
        <m:r>
          <m:t>1.000</m:t>
        </m:r>
      </m:oMath>
      <w:r>
        <w:t xml:space="preserve"> </w:t>
      </w:r>
      <w:r>
        <w:t xml:space="preserve">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0.6</m:t>
        </m:r>
      </m:oMath>
      <w:r>
        <w:t xml:space="preserve">) are cells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saturates, so the link returns an untempered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between</w:t>
      </w:r>
      <w:r>
        <w:t xml:space="preserve"> </w:t>
      </w:r>
      <m:oMath>
        <m:r>
          <m:rPr>
            <m:sty m:val="p"/>
          </m:rPr>
          <m:t>−</m:t>
        </m:r>
        <m:r>
          <m:t>8.4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12.1</m:t>
        </m:r>
      </m:oMath>
      <w:r>
        <w:t xml:space="preserve"> </w:t>
      </w:r>
      <w:r>
        <w:t xml:space="preserve">across the seven saturated cells and the cap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what</w:t>
      </w:r>
      <w:r>
        <w:t xml:space="preserve"> </w:t>
      </w:r>
      <w:r>
        <w:t xml:space="preserve">the vote actually sees. Performance in those cells depends on recovering the</w:t>
      </w:r>
      <w:r>
        <w:t xml:space="preserve"> </w:t>
      </w:r>
      <w:r>
        <w:t xml:space="preserve">sign.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0.2</m:t>
        </m:r>
      </m:oMath>
      <w:r>
        <w:t xml:space="preserve">, where the</w:t>
      </w:r>
      <w:r>
        <w:t xml:space="preserve"> </w:t>
      </w:r>
      <w:r>
        <w:t xml:space="preserve">derived value lands strictly inside the cap (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1.10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2.91</m:t>
        </m:r>
      </m:oMath>
      <w:r>
        <w:t xml:space="preserve">),</w:t>
      </w:r>
      <w:r>
        <w:t xml:space="preserve"> </w:t>
      </w:r>
      <w:r>
        <w:rPr>
          <w:smallCaps/>
        </w:rPr>
        <w:t xml:space="preserve">tact</w:t>
      </w:r>
      <w:r>
        <w:t xml:space="preserve">-dev trails the dev-picked signed grid on all four cells (</w:t>
      </w:r>
      <m:oMath>
        <m:r>
          <m:t>0.900</m:t>
        </m:r>
      </m:oMath>
      <w:r>
        <w:t xml:space="preserve"> </w:t>
      </w:r>
      <w:r>
        <w:t xml:space="preserve">vs. </w:t>
      </w:r>
      <m:oMath>
        <m:r>
          <m:t>0.915</m:t>
        </m:r>
      </m:oMath>
      <w:r>
        <w:t xml:space="preserve">;</w:t>
      </w:r>
      <w:r>
        <w:t xml:space="preserve"> </w:t>
      </w:r>
      <m:oMath>
        <m:r>
          <m:t>0.907</m:t>
        </m:r>
      </m:oMath>
      <w:r>
        <w:t xml:space="preserve"> </w:t>
      </w:r>
      <w:r>
        <w:t xml:space="preserve">vs. </w:t>
      </w:r>
      <m:oMath>
        <m:r>
          <m:t>0.932</m:t>
        </m:r>
      </m:oMath>
      <w:r>
        <w:t xml:space="preserve">;</w:t>
      </w:r>
      <w:r>
        <w:t xml:space="preserve"> </w:t>
      </w:r>
      <m:oMath>
        <m:r>
          <m:t>0.975</m:t>
        </m:r>
      </m:oMath>
      <w:r>
        <w:t xml:space="preserve"> </w:t>
      </w:r>
      <w:r>
        <w:t xml:space="preserve">vs. </w:t>
      </w:r>
      <m:oMath>
        <m:r>
          <m:t>0.985</m:t>
        </m:r>
      </m:oMath>
      <w:r>
        <w:t xml:space="preserve">;</w:t>
      </w:r>
      <w:r>
        <w:t xml:space="preserve"> </w:t>
      </w:r>
      <m:oMath>
        <m:r>
          <m:t>0.978</m:t>
        </m:r>
      </m:oMath>
      <w:r>
        <w:t xml:space="preserve"> </w:t>
      </w:r>
      <w:r>
        <w:t xml:space="preserve">vs. </w:t>
      </w:r>
      <m:oMath>
        <m:r>
          <m:t>0.985</m:t>
        </m:r>
      </m:oMath>
      <w:r>
        <w:t xml:space="preserve">).</w:t>
      </w:r>
      <w:r>
        <w:t xml:space="preserve"> </w:t>
      </w:r>
      <w:r>
        <w:t xml:space="preserve">The large advantage over the published protocols is attributable to signed</w:t>
      </w:r>
      <w:r>
        <w:t xml:space="preserve"> </w:t>
      </w:r>
      <w:r>
        <w:t xml:space="preserve">weighting. On these mid-range cells, the analytic map selects a less effective</w:t>
      </w:r>
      <w:r>
        <w:t xml:space="preserve"> </w:t>
      </w:r>
      <w:r>
        <w:t xml:space="preserve">magnitude than the signed grid. Its</w:t>
      </w:r>
      <w:r>
        <w:t xml:space="preserve"> </w:t>
      </w:r>
      <w:r>
        <w:t xml:space="preserve">advantage over the grid occurs under monotone distortion, confident echo, and</w:t>
      </w:r>
      <w:r>
        <w:t xml:space="preserve"> </w:t>
      </w:r>
      <w:r>
        <w:t xml:space="preserve">label-free operation. The</w:t>
      </w:r>
      <w:r>
        <w:t xml:space="preserve"> </w:t>
      </w:r>
      <w:r>
        <w:t xml:space="preserve">one place the interpolation itself pays is confident echo, where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1.198</m:t>
        </m:r>
      </m:oMath>
      <w:r>
        <w:t xml:space="preserve"> </w:t>
      </w:r>
      <w:r>
        <w:t xml:space="preserve">falls between grid points and beats the grid optimum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m:oMath>
        <m:r>
          <m:t>0.615</m:t>
        </m:r>
      </m:oMath>
      <w:r>
        <w:t xml:space="preserve"> </w:t>
      </w:r>
      <w:r>
        <w:t xml:space="preserve">vs. </w:t>
      </w:r>
      <m:oMath>
        <m:r>
          <m:t>0.568</m:t>
        </m:r>
      </m:oMath>
      <w:r>
        <w:t xml:space="preserve">).</w:t>
      </w:r>
    </w:p>
    <w:bookmarkEnd w:id="59"/>
    <w:bookmarkStart w:id="64" w:name="rank-invariance-where-raw-values-fail"/>
    <w:p>
      <w:pPr>
        <w:pStyle w:val="Heading2"/>
      </w:pPr>
      <w:r>
        <w:t xml:space="preserve">Rank invariance where raw values fail</w:t>
      </w:r>
    </w:p>
    <w:p>
      <w:pPr>
        <w:pStyle w:val="FirstParagraph"/>
      </w:pPr>
      <w:r>
        <w:t xml:space="preserve">Under monotone compression (Table </w:t>
      </w:r>
      <w:hyperlink w:anchor="tab:adv">
        <w:r>
          <w:rPr>
            <w:rStyle w:val="Hyperlink"/>
          </w:rPr>
          <w:t xml:space="preserve">2</w:t>
        </w:r>
      </w:hyperlink>
      <w:r>
        <w:t xml:space="preserve">, Fig. </w:t>
      </w:r>
      <w:hyperlink w:anchor="fig:adv">
        <w:r>
          <w:rPr>
            <w:rStyle w:val="Hyperlink"/>
          </w:rPr>
          <w:t xml:space="preserve">3</w:t>
        </w:r>
      </w:hyperlink>
      <w:r>
        <w:t xml:space="preserve">) all confidences clustered near</w:t>
      </w:r>
      <w:r>
        <w:t xml:space="preserve"> </w:t>
      </w:r>
      <m:oMath>
        <m:r>
          <m:t>0.5</m:t>
        </m:r>
      </m:oMath>
      <w:r>
        <w:t xml:space="preserve">, so every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-family weight was nearly uniform: even the</w:t>
      </w:r>
      <w:r>
        <w:t xml:space="preserve"> </w:t>
      </w:r>
      <w:r>
        <w:rPr>
          <w:i/>
          <w:iCs/>
        </w:rPr>
        <w:t xml:space="preserve">oracle</w:t>
      </w:r>
      <w:r>
        <w:t xml:space="preserve"> </w:t>
      </w:r>
      <w:r>
        <w:t xml:space="preserve">over raw-value policies reached only</w:t>
      </w:r>
      <w:r>
        <w:t xml:space="preserve"> </w:t>
      </w:r>
      <m:oMath>
        <m:r>
          <m:t>0.963</m:t>
        </m:r>
      </m:oMath>
      <w:r>
        <w:t xml:space="preserve">.</w:t>
      </w:r>
      <w:r>
        <w:t xml:space="preserve"> </w:t>
      </w:r>
      <w:r>
        <w:rPr>
          <w:smallCaps/>
        </w:rPr>
        <w:t xml:space="preserve">tact</w:t>
      </w:r>
      <w:r>
        <w:t xml:space="preserve">’s rank scores were unchanged by the distortion and both variants reached</w:t>
      </w:r>
      <w:r>
        <w:t xml:space="preserve"> </w:t>
      </w:r>
      <m:oMath>
        <m:r>
          <m:t>1.000</m:t>
        </m:r>
      </m:oMath>
      <w:r>
        <w:t xml:space="preserve">. Under the confident echo, dev labels showed that high confidence predicted an incorrect trace.</w:t>
      </w:r>
      <w:r>
        <w:t xml:space="preserve"> </w:t>
      </w:r>
      <w:r>
        <w:rPr>
          <w:smallCaps/>
        </w:rPr>
        <w:t xml:space="preserve">tact</w:t>
      </w:r>
      <w:r>
        <w:t xml:space="preserve">-dev responded with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1.20</m:t>
        </m:r>
      </m:oMath>
      <w:r>
        <w:t xml:space="preserve"> </w:t>
      </w:r>
      <w:r>
        <w:t xml:space="preserve">and reached</w:t>
      </w:r>
      <w:r>
        <w:t xml:space="preserve"> </w:t>
      </w:r>
      <m:oMath>
        <m:r>
          <m:t>0.615</m:t>
        </m:r>
      </m:oMath>
      <w:r>
        <w:t xml:space="preserve">, compared with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of</w:t>
      </w:r>
      <w:r>
        <w:t xml:space="preserve"> </w:t>
      </w:r>
      <m:oMath>
        <m:r>
          <m:t>0.190</m:t>
        </m:r>
      </m:oMath>
      <w:r>
        <w:t xml:space="preserve">. On the label-free path, the duplicate-collapse alarm fired and left the vote at</w:t>
      </w:r>
      <w:r>
        <w:t xml:space="preserve"> </w:t>
      </w:r>
      <w:r>
        <w:rPr>
          <w:smallCaps/>
        </w:rPr>
        <w:t xml:space="preserve">sc</w:t>
      </w:r>
      <w:r>
        <w:t xml:space="preserve">. Proposition 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explains this result: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t xml:space="preserve">of the items are effectively binary, so their observed pools do not identify the sign.</w:t>
      </w:r>
    </w:p>
    <w:bookmarkStart w:id="63" w:name="fig:adv"/>
    <w:p>
      <w:pPr>
        <w:pStyle w:val="CaptionedFigure"/>
      </w:pPr>
      <w:r>
        <w:drawing>
          <wp:inline>
            <wp:extent cx="3121335" cy="2479651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figs/tact_adversarial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2479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Adversarial regimes. Dotted line: the oracle over raw-value weights. Left group of bars: rank invariance beats that family under compression; right: the labeled variant counters the confident echo while the label-free variant alarms and refuses.</w:t>
      </w:r>
    </w:p>
    <w:bookmarkEnd w:id="63"/>
    <w:bookmarkEnd w:id="64"/>
    <w:bookmarkStart w:id="70" w:name="heterogeneity"/>
    <w:p>
      <w:pPr>
        <w:pStyle w:val="Heading2"/>
      </w:pPr>
      <w:r>
        <w:t xml:space="preserve">Heterogeneity</w:t>
      </w:r>
    </w:p>
    <w:p>
      <w:pPr>
        <w:pStyle w:val="FirstParagraph"/>
      </w:pPr>
      <w:r>
        <w:t xml:space="preserve">Table </w:t>
      </w:r>
      <w:hyperlink w:anchor="tab:group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and Fig. </w:t>
      </w:r>
      <w:hyperlink w:anchor="fig:group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give the group study. In the covariate-structured cell, per-group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recovers each group’s signed coupling: the dev exponents are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4.0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4.0</m:t>
        </m:r>
        <m:r>
          <m:rPr>
            <m:sty m:val="p"/>
          </m:rPr>
          <m:t>}</m:t>
        </m:r>
      </m:oMath>
      <w:r>
        <w:t xml:space="preserve"> </w:t>
      </w:r>
      <w:r>
        <w:t xml:space="preserve">and the label-free exponents are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2.0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}</m:t>
        </m:r>
      </m:oMath>
      <w:r>
        <w:t xml:space="preserve">, with the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inside the dead zone. The label-free variant reaches</w:t>
      </w:r>
      <w:r>
        <w:t xml:space="preserve"> </w:t>
      </w:r>
      <m:oMath>
        <m:r>
          <m:t>0.923</m:t>
        </m:r>
      </m:oMath>
      <w:r>
        <w:t xml:space="preserve">, within</w:t>
      </w:r>
      <w:r>
        <w:t xml:space="preserve"> </w:t>
      </w:r>
      <m:oMath>
        <m:r>
          <m:t>0.023</m:t>
        </m:r>
      </m:oMath>
      <w:r>
        <w:t xml:space="preserve"> </w:t>
      </w:r>
      <w:r>
        <w:t xml:space="preserve">of the per-item link oracle, and records no paired losses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over</w:t>
      </w:r>
      <w:r>
        <w:t xml:space="preserve"> </w:t>
      </w:r>
      <m:oMath>
        <m:r>
          <m:t>600</m:t>
        </m:r>
      </m:oMath>
      <w:r>
        <w:t xml:space="preserve"> </w:t>
      </w:r>
      <w:r>
        <w:t xml:space="preserve">items (</w:t>
      </w:r>
      <m:oMath>
        <m:r>
          <m:rPr>
            <m:sty m:val="p"/>
          </m:rPr>
          <m:t>+</m:t>
        </m:r>
        <m:r>
          <m:t>83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25</m:t>
            </m:r>
          </m:sup>
        </m:sSup>
      </m:oMath>
      <w:r>
        <w:t xml:space="preserve">). In the i.i.d. cell every method remains at the floor with zero discordant pairs, including the naive self-referential control. That control reaches</w:t>
      </w:r>
      <w:r>
        <w:t xml:space="preserve"> </w:t>
      </w:r>
      <m:oMath>
        <m:r>
          <m:t>0.787</m:t>
        </m:r>
      </m:oMath>
      <w:r>
        <w:t xml:space="preserve"> </w:t>
      </w:r>
      <w:r>
        <w:t xml:space="preserve">against the</w:t>
      </w:r>
      <w:r>
        <w:t xml:space="preserve"> </w:t>
      </w:r>
      <m:oMath>
        <m:r>
          <m:t>0.785</m:t>
        </m:r>
      </m:oMath>
      <w:r>
        <w:t xml:space="preserve"> </w:t>
      </w:r>
      <w:r>
        <w:t xml:space="preserve">floor in the grouped cell, changing only two items in</w:t>
      </w:r>
      <w:r>
        <w:t xml:space="preserve"> </w:t>
      </w:r>
      <m:oMath>
        <m:r>
          <m:t>600</m:t>
        </m:r>
      </m:oMath>
      <w:r>
        <w:t xml:space="preserve"> </w:t>
      </w:r>
      <w:r>
        <w:t xml:space="preserve">despite access to the same covariate used by the per-group estimator. The two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arms land within seed noise of each other here (</w:t>
      </w:r>
      <m:oMath>
        <m:r>
          <m:t>0.923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0.927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one seed;</w:t>
      </w:r>
      <w:r>
        <w:t xml:space="preserve"> </w:t>
      </w:r>
      <m:oMath>
        <m:r>
          <m:t>0.929</m:t>
        </m:r>
        <m:r>
          <m:rPr>
            <m:sty m:val="p"/>
          </m:rPr>
          <m:t>±</m:t>
        </m:r>
        <m:r>
          <m:t>0.015</m:t>
        </m:r>
      </m:oMath>
      <w:r>
        <w:t xml:space="preserve"> </w:t>
      </w:r>
      <w:r>
        <w:t xml:space="preserve">each over five). A natural explanation would be the arms’</w:t>
      </w:r>
      <w:r>
        <w:t xml:space="preserve"> </w:t>
      </w:r>
      <w:r>
        <w:t xml:space="preserve">different exponent caps; the ablation rules it out. Sweeping</w:t>
      </w:r>
      <w:r>
        <w:t xml:space="preserve"> </w:t>
      </w:r>
      <w:r>
        <w:t xml:space="preserve">the cap over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 </w:t>
      </w:r>
      <w:r>
        <w:t xml:space="preserve">moves neither arm at all (spread</w:t>
      </w:r>
      <w:r>
        <w:t xml:space="preserve"> </w:t>
      </w:r>
      <m:oMath>
        <m:r>
          <m:t>0.0000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both), so the cap is not load-bearing in this cell and the difference is</w:t>
      </w:r>
      <w:r>
        <w:t xml:space="preserve"> </w:t>
      </w:r>
      <w:r>
        <w:t xml:space="preserve">sampling variation.</w:t>
      </w:r>
    </w:p>
    <w:bookmarkStart w:id="65" w:name="tab:group"/>
    <w:p>
      <w:pPr>
        <w:pStyle w:val="TableCaption"/>
      </w:pPr>
      <w:r>
        <w:t xml:space="preserve">Heterogeneity study (</w:t>
      </w:r>
      <m:oMath>
        <m:r>
          <m:t>600</m:t>
        </m:r>
      </m:oMath>
      <w:r>
        <w:t xml:space="preserve"> </w:t>
      </w:r>
      <w:r>
        <w:t xml:space="preserve">paired items;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eterogeneity study (600 paired items; K{=}15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Grouped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i.i.d.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(floor)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 </w:t>
            </w:r>
            <w:r>
              <w:t xml:space="preserve">global (dev)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-group (dev)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.927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-group (label-free)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 per-item (neg. control)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Per-item link oracle (ceiling)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.973</w:t>
            </w:r>
          </w:p>
        </w:tc>
      </w:tr>
    </w:tbl>
    <w:bookmarkEnd w:id="65"/>
    <w:bookmarkStart w:id="69" w:name="fig:group"/>
    <w:p>
      <w:pPr>
        <w:pStyle w:val="CaptionedFigure"/>
      </w:pPr>
      <w:r>
        <w:drawing>
          <wp:inline>
            <wp:extent cx="3121335" cy="3167169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figs/group_eval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3167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Structured vs. i.i.d. heterogeneity. Left: with an observable covariate, per-group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(label-free) approaches the per-item oracle from the</w:t>
      </w:r>
      <w:r>
        <w:t xml:space="preserve"> </w:t>
      </w:r>
      <m:oMath>
        <m:r>
          <m:t>0.785</m:t>
        </m:r>
      </m:oMath>
      <w:r>
        <w:t xml:space="preserve"> </w:t>
      </w:r>
      <w:r>
        <w:t xml:space="preserve">floor with zero losses to</w:t>
      </w:r>
      <w:r>
        <w:t xml:space="preserve"> </w:t>
      </w:r>
      <w:r>
        <w:rPr>
          <w:smallCaps/>
        </w:rPr>
        <w:t xml:space="preserve">sc</w:t>
      </w:r>
      <w:r>
        <w:t xml:space="preserve">. Right: every method, including the negative control, remains at the floor in the closed i.i.d. cell.</w:t>
      </w:r>
    </w:p>
    <w:bookmarkEnd w:id="69"/>
    <w:bookmarkEnd w:id="70"/>
    <w:bookmarkStart w:id="71" w:name="small-dev-sets-and-falsifiers"/>
    <w:p>
      <w:pPr>
        <w:pStyle w:val="Heading2"/>
      </w:pPr>
      <w:r>
        <w:t xml:space="preserve">Small dev sets and falsifiers</w:t>
      </w:r>
    </w:p>
    <w:p>
      <w:pPr>
        <w:pStyle w:val="FirstParagraph"/>
      </w:pPr>
      <w:r>
        <w:t xml:space="preserve">With dev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conclusions are unchanged (</w:t>
      </w:r>
      <m:oMath>
        <m:r>
          <m:t>1.000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0.6</m:t>
        </m:r>
      </m:oMath>
      <w:r>
        <w:t xml:space="preserve">;</w:t>
      </w:r>
      <w:r>
        <w:t xml:space="preserve"> </w:t>
      </w:r>
      <m:oMath>
        <m:r>
          <m:t>0.978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): the SE-aware shrinkage degrades smoothly. The pre-registered rejection criteria remain unmet.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</m:t>
        </m:r>
      </m:oMath>
      <w:r>
        <w:t xml:space="preserve">,</w:t>
      </w:r>
      <w:r>
        <w:t xml:space="preserve"> </w:t>
      </w:r>
      <w:r>
        <w:rPr>
          <w:smallCaps/>
        </w:rPr>
        <w:t xml:space="preserve">tact</w:t>
      </w:r>
      <w:r>
        <w:t xml:space="preserve">-dev and the best fixed-</w:t>
      </w:r>
      <m:oMath>
        <m:r>
          <m:t>γ</m:t>
        </m:r>
      </m:oMath>
      <w:r>
        <w:t xml:space="preserve"> </w:t>
      </w:r>
      <w:r>
        <w:t xml:space="preserve">CISC both score</w:t>
      </w:r>
      <w:r>
        <w:t xml:space="preserve"> </w:t>
      </w:r>
      <m:oMath>
        <m:r>
          <m:t>1.000</m:t>
        </m:r>
      </m:oMath>
      <w:r>
        <w:t xml:space="preserve">.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is bit-identical to</w:t>
      </w:r>
      <w:r>
        <w:t xml:space="preserve"> </w:t>
      </w:r>
      <w:r>
        <w:rPr>
          <w:smallCaps/>
        </w:rPr>
        <w:t xml:space="preserve">sc</w:t>
      </w:r>
      <w:r>
        <w:t xml:space="preserve">, and it stays within the</w:t>
      </w:r>
      <w:r>
        <w:t xml:space="preserve"> </w:t>
      </w:r>
      <m:oMath>
        <m:r>
          <m:t>0.02</m:t>
        </m:r>
      </m:oMath>
      <w:r>
        <w:t xml:space="preserve"> </w:t>
      </w:r>
      <w:r>
        <w:t xml:space="preserve">tolerance everywhere else.</w:t>
      </w:r>
      <w:r>
        <w:t xml:space="preserve"> </w:t>
      </w:r>
      <w:r>
        <w:rPr>
          <w:smallCaps/>
        </w:rPr>
        <w:t xml:space="preserve">tact</w:t>
      </w:r>
      <w:r>
        <w:t xml:space="preserve">-LF has a sweep mean of</w:t>
      </w:r>
      <w:r>
        <w:t xml:space="preserve"> </w:t>
      </w:r>
      <m:oMath>
        <m:r>
          <m:t>0.944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0.768</m:t>
        </m:r>
      </m:oMath>
      <w:r>
        <w:t xml:space="preserve"> </w:t>
      </w:r>
      <w:r>
        <w:t xml:space="preserve">for the ECE gate. Both grid baselines trail in the distortion and echo cells by</w:t>
      </w:r>
      <w:r>
        <w:t xml:space="preserve"> </w:t>
      </w:r>
      <m:oMath>
        <m:r>
          <m:t>0.037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0.047</m:t>
        </m:r>
      </m:oMath>
      <w:r>
        <w:t xml:space="preserve">, respectively, and neither operates without labels. On the single seed the paired tests against SignGrid-dev do not reject equality</w:t>
      </w:r>
      <w:r>
        <w:t xml:space="preserve"> </w:t>
      </w:r>
      <w:r>
        <w:t xml:space="preserve">anywhere 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discordant, 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0.34</m:t>
        </m:r>
      </m:oMath>
      <w:r>
        <w:t xml:space="preserve">;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t xml:space="preserve">:</w:t>
      </w:r>
      <w:r>
        <w:t xml:space="preserve"> </w:t>
      </w:r>
      <m:oMath>
        <m:r>
          <m:t>8</m:t>
        </m:r>
        <m:r>
          <m:rPr>
            <m:sty m:val="p"/>
          </m:rPr>
          <m:t>/</m:t>
        </m:r>
        <m:r>
          <m:t>18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t xml:space="preserve">), and the ten-seed intervals of Section </w:t>
      </w:r>
      <w:hyperlink w:anchor="sec:seeds">
        <w:r>
          <w:rPr>
            <w:rStyle w:val="Hyperlink"/>
          </w:rPr>
          <w:t xml:space="preserve">8.6</w:t>
        </w:r>
      </w:hyperlink>
      <w:r>
        <w:t xml:space="preserve"> </w:t>
      </w:r>
      <w:r>
        <w:t xml:space="preserve">are</w:t>
      </w:r>
      <w:r>
        <w:t xml:space="preserve"> </w:t>
      </w:r>
      <w:r>
        <w:t xml:space="preserve">what establish the mid-range deficit. Against SignGrid-dev the margin is narrow on the homogeneous sweep.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trails by</w:t>
      </w:r>
      <w:r>
        <w:t xml:space="preserve"> </w:t>
      </w:r>
      <m:oMath>
        <m:r>
          <m:t>0.007</m:t>
        </m:r>
      </m:oMath>
      <w:r>
        <w:t xml:space="preserve">–</w:t>
      </w:r>
      <m:oMath>
        <m:r>
          <m:t>0.025</m:t>
        </m:r>
      </m:oMath>
      <w:r>
        <w:t xml:space="preserve"> </w:t>
      </w:r>
      <w:r>
        <w:t xml:space="preserve">in the mid-range, consistent with the cost of shrinkage. Its net advantages are concentrated in distortion (</w:t>
      </w:r>
      <m:oMath>
        <m:r>
          <m:rPr>
            <m:sty m:val="p"/>
          </m:rPr>
          <m:t>+</m:t>
        </m:r>
        <m:r>
          <m:t>0.037</m:t>
        </m:r>
      </m:oMath>
      <w:r>
        <w:t xml:space="preserve">), echo (</w:t>
      </w:r>
      <m:oMath>
        <m:r>
          <m:rPr>
            <m:sty m:val="p"/>
          </m:rPr>
          <m:t>+</m:t>
        </m:r>
        <m:r>
          <m:t>0.047</m:t>
        </m:r>
      </m:oMath>
      <w:r>
        <w:t xml:space="preserve">), and label-free operation, which the grid cannot perform.</w:t>
      </w:r>
    </w:p>
    <w:bookmarkEnd w:id="71"/>
    <w:bookmarkStart w:id="73" w:name="sec:tests"/>
    <w:p>
      <w:pPr>
        <w:pStyle w:val="Heading2"/>
      </w:pPr>
      <w:r>
        <w:t xml:space="preserve">Verification of the implementation</w:t>
      </w:r>
    </w:p>
    <w:p>
      <w:pPr>
        <w:pStyle w:val="FirstParagraph"/>
      </w:pPr>
      <w:r>
        <w:t xml:space="preserve">The released code gives each mathematical claim in</w:t>
      </w:r>
      <w:r>
        <w:t xml:space="preserve"> </w:t>
      </w:r>
      <w:r>
        <w:t xml:space="preserve">Sections </w:t>
      </w:r>
      <w:hyperlink w:anchor="sec:method">
        <w:r>
          <w:rPr>
            <w:rStyle w:val="Hyperlink"/>
          </w:rPr>
          <w:t xml:space="preserve">4</w:t>
        </w:r>
      </w:hyperlink>
      <w:r>
        <w:t xml:space="preserve">–</w:t>
      </w:r>
      <w:hyperlink w:anchor="sec:hetero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an executable counterpart; the suite</w:t>
      </w:r>
      <w:r>
        <w:t xml:space="preserve"> </w:t>
      </w:r>
      <w:r>
        <w:t xml:space="preserve">contains 102 tests covering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and the</w:t>
      </w:r>
      <w:r>
        <w:t xml:space="preserve"> </w:t>
      </w:r>
      <w:r>
        <w:t xml:space="preserve">follow-on work. Table </w:t>
      </w:r>
      <w:hyperlink w:anchor="tab:tests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maps propositions to the tests that would fail if they stopped holding.</w:t>
      </w:r>
    </w:p>
    <w:bookmarkStart w:id="72" w:name="tab:tests"/>
    <w:p>
      <w:pPr>
        <w:pStyle w:val="TableCaption"/>
      </w:pPr>
      <w:r>
        <w:t xml:space="preserve">What the test suite verifies. Every proposition in the paper has an</w:t>
      </w:r>
      <w:r>
        <w:t xml:space="preserve"> </w:t>
      </w:r>
      <w:r>
        <w:t xml:space="preserve">executable counterpart; the counter-tests fail deliberately on rejected</w:t>
      </w:r>
      <w:r>
        <w:t xml:space="preserve"> </w:t>
      </w:r>
      <w:r>
        <w:t xml:space="preserve">alternatives so a regression cannot silently reinstate them.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hat the test suite verifies. Every proposition in the paper has an executable counterpart; the counter-tests fail deliberately on rejected alternatives so a regression cannot silently reinstate them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sc">
              <w:r>
                <w:rPr>
                  <w:rStyle w:val="Hyperlink"/>
                </w:rPr>
                <w:t xml:space="preserve">1</w:t>
              </w:r>
            </w:hyperlink>
            <w:r>
              <w:t xml:space="preserve"> </w:t>
            </w:r>
            <w:r>
              <w:t xml:space="preserve">(exact</w:t>
            </w:r>
            <w:r>
              <w:t xml:space="preserve"> </w:t>
            </w:r>
            <w:r>
              <w:rPr>
                <w:smallCaps/>
              </w:rPr>
              <w:t xml:space="preserve">sc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identical incl. ties, 200 pools; dead-zone rate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70% under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cisc">
              <w:r>
                <w:rPr>
                  <w:rStyle w:val="Hyperlink"/>
                </w:rPr>
                <w:t xml:space="preserve">2</w:t>
              </w:r>
            </w:hyperlink>
            <w:r>
              <w:t xml:space="preserve"> </w:t>
            </w:r>
            <w:r>
              <w:t xml:space="preserve">(exact CISC)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identical vote shares, 100 pools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ccn">
              <w:r>
                <w:rPr>
                  <w:rStyle w:val="Hyperlink"/>
                </w:rPr>
                <w:t xml:space="preserve">4</w:t>
              </w:r>
            </w:hyperlink>
            <w:r>
              <w:t xml:space="preserve"> </w:t>
            </w:r>
            <w:r>
              <w:t xml:space="preserve">(attenuation)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ρ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.1</m:t>
              </m:r>
              <m:r>
                <m:rPr>
                  <m:sty m:val="p"/>
                </m:rPr>
                <m:t>,</m:t>
              </m:r>
              <m:r>
                <m:t>.25</m:t>
              </m:r>
              <m:r>
                <m:rPr>
                  <m:sty m:val="p"/>
                </m:rPr>
                <m:t>,</m:t>
              </m:r>
              <m:r>
                <m:t>.4</m:t>
              </m:r>
              <m:r>
                <m:rPr>
                  <m:sty m:val="p"/>
                </m:rPr>
                <m:t>}</m:t>
              </m:r>
            </m:oMath>
            <w:r>
              <w:t xml:space="preserve">, abs. </w:t>
            </w:r>
            <m:oMath>
              <m:r>
                <m:t>.06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Props. </w:t>
            </w:r>
            <w:hyperlink w:anchor="prop:selfreinf">
              <w:r>
                <w:rPr>
                  <w:rStyle w:val="Hyperlink"/>
                </w:rPr>
                <w:t xml:space="preserve">5</w:t>
              </w:r>
            </w:hyperlink>
            <w:r>
              <w:t xml:space="preserve">–</w:t>
            </w:r>
            <w:hyperlink w:anchor="prop:twoworld">
              <w:r>
                <w:rPr>
                  <w:rStyle w:val="Hyperlink"/>
                </w:rPr>
                <w:t xml:space="preserve">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97.5%</w:t>
            </w:r>
            <w:r>
              <w:t xml:space="preserve"> </w:t>
            </w: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agreement; 4% sign match; the two-world boundary is pinned both ways (binary pools indistinguishable, a populated third cluster separates them at</w:t>
            </w:r>
            <w:r>
              <w:t xml:space="preserve"> 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S</m:t>
              </m:r>
              <m:r>
                <m:t xml:space="preserve"> </m:t>
              </m:r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Rank invariance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distortions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100 pools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Estimator internals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permutation null variance (3</w:t>
            </w:r>
            <w:r>
              <w:t xml:space="preserve">,</w:t>
            </w:r>
            <w:r>
              <w:t xml:space="preserve">000 draws, 10% tol.), JS–EB identity to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t xml:space="preserve">, link</w:t>
            </w:r>
            <w:r>
              <w:t xml:space="preserve"> </w:t>
            </w:r>
            <w:hyperlink w:anchor="eq:link">
              <w:r>
                <w:rPr>
                  <w:rStyle w:val="Hyperlink"/>
                </w:rPr>
                <w:t xml:space="preserve">[eq:link]</w:t>
              </w:r>
            </w:hyperlink>
            <w:r>
              <w:t xml:space="preserve"> </w:t>
            </w:r>
            <w:r>
              <w:t xml:space="preserve">to rel. 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t xml:space="preserve">, permutation-invariance regression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Rejected alternatives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Kish ESS and the SAFE-under-VoI guarantee each have a test asserting their</w:t>
            </w:r>
            <w:r>
              <w:t xml:space="preserve"> </w:t>
            </w:r>
            <w:r>
              <w:rPr>
                <w:i/>
                <w:iCs/>
              </w:rPr>
              <w:t xml:space="preserve">failure</w:t>
            </w:r>
          </w:p>
        </w:tc>
      </w:tr>
    </w:tbl>
    <w:bookmarkEnd w:id="72"/>
    <w:p>
      <w:pPr>
        <w:pStyle w:val="BodyText"/>
      </w:pPr>
      <w:r>
        <w:t xml:space="preserve">The permutation-invariance test was added after a memoisation key allowed the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to pass while the</w:t>
      </w:r>
      <w:r>
        <w:t xml:space="preserve"> </w:t>
      </w:r>
      <w:r>
        <w:t xml:space="preserve">estimator itself was order-dependent by up to</w:t>
      </w:r>
      <w:r>
        <w:t xml:space="preserve"> </w:t>
      </w:r>
      <m:oMath>
        <m:r>
          <m:t>0.10</m:t>
        </m:r>
      </m:oMath>
      <w:r>
        <w:t xml:space="preserve">; it now calls the internal</w:t>
      </w:r>
      <w:r>
        <w:t xml:space="preserve"> </w:t>
      </w:r>
      <w:r>
        <w:t xml:space="preserve">routine directly. The last two rows are counter-tests that assert</w:t>
      </w:r>
      <w:r>
        <w:t xml:space="preserve"> </w:t>
      </w:r>
      <w:r>
        <w:rPr>
          <w:i/>
          <w:iCs/>
        </w:rPr>
        <w:t xml:space="preserve">failure</w:t>
      </w:r>
      <w:r>
        <w:t xml:space="preserve"> </w:t>
      </w:r>
      <w:r>
        <w:t xml:space="preserve">of rejected alternatives: the Kish effective-sample-size</w:t>
      </w:r>
      <w:r>
        <w:t xml:space="preserve"> </w:t>
      </w:r>
      <w:r>
        <w:t xml:space="preserve">formulation and the claim that the shipped default honours the SAFE stopping</w:t>
      </w:r>
      <w:r>
        <w:t xml:space="preserve"> </w:t>
      </w:r>
      <w:r>
        <w:t xml:space="preserve">guarantee. A later change that reinstates either alternative will therefore fail</w:t>
      </w:r>
      <w:r>
        <w:t xml:space="preserve"> </w:t>
      </w:r>
      <w:r>
        <w:t xml:space="preserve">the suite.</w:t>
      </w:r>
    </w:p>
    <w:bookmarkEnd w:id="73"/>
    <w:bookmarkStart w:id="74" w:name="sec:seeds"/>
    <w:p>
      <w:pPr>
        <w:pStyle w:val="Heading2"/>
      </w:pPr>
      <w:r>
        <w:t xml:space="preserve">A harness artifact, and dispersion across seeds</w:t>
      </w:r>
    </w:p>
    <w:p>
      <w:pPr>
        <w:pStyle w:val="FirstParagraph"/>
      </w:pPr>
      <w:r>
        <w:t xml:space="preserve">Two corrections to the synthetic results, both found by re-running what had</w:t>
      </w:r>
      <w:r>
        <w:t xml:space="preserve"> </w:t>
      </w:r>
      <w:r>
        <w:t xml:space="preserve">been single-seed measurements.</w:t>
      </w:r>
    </w:p>
    <w:p>
      <w:pPr>
        <w:pStyle w:val="BodyText"/>
      </w:pPr>
      <w:r>
        <w:rPr>
          <w:i/>
          <w:iCs/>
        </w:rPr>
        <w:t xml:space="preserve">Tie-breaking was rewarding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for free.</w:t>
      </w:r>
      <w:r>
        <w:t xml:space="preserve"> </w:t>
      </w:r>
      <w:r>
        <w:t xml:space="preserve">The generator assigned the</w:t>
      </w:r>
      <w:r>
        <w:t xml:space="preserve"> </w:t>
      </w:r>
      <w:r>
        <w:t xml:space="preserve">correct answer the code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 every item, and</w:t>
      </w:r>
      <w:r>
        <w:t xml:space="preserve"> </w:t>
      </w:r>
      <w:r>
        <w:rPr>
          <w:rStyle w:val="VerbatimChar"/>
        </w:rPr>
        <w:t xml:space="preserve">argmax</w:t>
      </w:r>
      <w:r>
        <w:t xml:space="preserve"> </w:t>
      </w:r>
      <w:r>
        <w:t xml:space="preserve">breaks ties</w:t>
      </w:r>
      <w:r>
        <w:t xml:space="preserve"> </w:t>
      </w:r>
      <w:r>
        <w:t xml:space="preserve">toward the lowest index, so on any item whose vote was tied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chose</w:t>
      </w:r>
      <w:r>
        <w:t xml:space="preserve"> </w:t>
      </w:r>
      <w:r>
        <w:t xml:space="preserve">correctly by construction:</w:t>
      </w:r>
      <w:r>
        <w:t xml:space="preserve"> </w:t>
      </w:r>
      <m:oMath>
        <m:r>
          <m:t>67.7</m:t>
        </m:r>
        <m:r>
          <m:rPr>
            <m:sty m:val="p"/>
          </m:rPr>
          <m:t>%</m:t>
        </m:r>
      </m:oMath>
      <w:r>
        <w:t xml:space="preserve"> </w:t>
      </w:r>
      <w:r>
        <w:t xml:space="preserve">on near-tied items against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t xml:space="preserve"> </w:t>
      </w:r>
      <w:r>
        <w:t xml:space="preserve">for a</w:t>
      </w:r>
      <w:r>
        <w:t xml:space="preserve"> </w:t>
      </w:r>
      <w:r>
        <w:t xml:space="preserve">random tie-break, with</w:t>
      </w:r>
      <w:r>
        <w:t xml:space="preserve"> </w:t>
      </w:r>
      <m:oMath>
        <m:r>
          <m:t>31.8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tied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. Every method that</w:t>
      </w:r>
      <w:r>
        <w:t xml:space="preserve"> </w:t>
      </w:r>
      <w:r>
        <w:t xml:space="preserve">perturbs the weights off integers forfeits that subsidy, so the artifact</w:t>
      </w:r>
      <w:r>
        <w:t xml:space="preserve"> </w:t>
      </w:r>
      <w:r>
        <w:t xml:space="preserve">inflated the baseline and penalised the proposed method. It also produced a</w:t>
      </w:r>
      <w:r>
        <w:t xml:space="preserve"> </w:t>
      </w:r>
      <w:r>
        <w:t xml:space="preserve">spurious falsifier: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rPr>
          <w:smallCaps/>
        </w:rPr>
        <w:t xml:space="preserve">tact</w:t>
      </w:r>
      <w:r>
        <w:t xml:space="preserve">-dev averaged</w:t>
      </w:r>
      <w:r>
        <w:t xml:space="preserve"> </w:t>
      </w:r>
      <m:oMath>
        <m:r>
          <m:t>0.797</m:t>
        </m:r>
      </m:oMath>
      <w:r>
        <w:t xml:space="preserve"> </w:t>
      </w:r>
      <w:r>
        <w:t xml:space="preserve">against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</w:t>
      </w:r>
      <w:r>
        <w:t xml:space="preserve"> </w:t>
      </w:r>
      <m:oMath>
        <m:r>
          <m:t>0.818</m:t>
        </m:r>
      </m:oMath>
      <w:r>
        <w:t xml:space="preserve"> </w:t>
      </w:r>
      <w:r>
        <w:t xml:space="preserve">across ten seeds, violating the registered</w:t>
      </w:r>
      <w:r>
        <w:t xml:space="preserve"> </w:t>
      </w:r>
      <w:r>
        <w:rPr>
          <w:smallCaps/>
        </w:rPr>
        <w:t xml:space="preserve">sc</w:t>
      </w:r>
      <w:r>
        <w:t xml:space="preserve">-safety criterion, while the exponents responsible were</w:t>
      </w:r>
      <w:r>
        <w:t xml:space="preserve"> 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0.05</m:t>
        </m:r>
      </m:oMath>
      <w:r>
        <w:t xml:space="preserve">. The items were near-ties whose tie-break had moved, not</w:t>
      </w:r>
      <w:r>
        <w:t xml:space="preserve"> </w:t>
      </w:r>
      <w:r>
        <w:t xml:space="preserve">items the exponent had reweighted. Answer codes are now permuted per item.</w:t>
      </w:r>
      <w:r>
        <w:t xml:space="preserve"> </w:t>
      </w:r>
      <w:r>
        <w:t xml:space="preserve">With the artifact removed the two coincide exactly where the dead zone</w:t>
      </w:r>
      <w:r>
        <w:t xml:space="preserve"> </w:t>
      </w:r>
      <w:r>
        <w:t xml:space="preserve">should hold: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0.745</m:t>
        </m:r>
      </m:oMath>
      <w:r>
        <w:t xml:space="preserve"> </w:t>
      </w:r>
      <w:r>
        <w:t xml:space="preserve">for both methods and</w:t>
      </w:r>
      <w:r>
        <w:t xml:space="preserve"> </w:t>
      </w:r>
      <w:r>
        <w:t xml:space="preserve">heterogeneous-</w:t>
      </w:r>
      <m:oMath>
        <m:r>
          <m:t>κ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0.765</m:t>
        </m:r>
      </m:oMath>
      <w:r>
        <w:t xml:space="preserve"> </w:t>
      </w:r>
      <w:r>
        <w:t xml:space="preserve">for both (ten-seed means</w:t>
      </w:r>
      <w:r>
        <w:t xml:space="preserve"> </w:t>
      </w:r>
      <m:oMath>
        <m:r>
          <m:t>0.758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0.768</m:t>
        </m:r>
      </m:oMath>
      <w:r>
        <w:t xml:space="preserve">, zero discordant pairs in every seed): the dead zone behaves as</w:t>
      </w:r>
      <w:r>
        <w:t xml:space="preserve"> </w:t>
      </w:r>
      <w:r>
        <w:t xml:space="preserve">Proposition </w:t>
      </w:r>
      <w:hyperlink w:anchor="prop:sc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states. All synthetic numbers in this paper are</w:t>
      </w:r>
      <w:r>
        <w:t xml:space="preserve"> </w:t>
      </w:r>
      <w:r>
        <w:t xml:space="preserve">post-fix.</w:t>
      </w:r>
    </w:p>
    <w:p>
      <w:pPr>
        <w:pStyle w:val="BodyText"/>
      </w:pPr>
      <w:r>
        <w:rPr>
          <w:i/>
          <w:iCs/>
        </w:rPr>
        <w:t xml:space="preserve">Dispersion.</w:t>
      </w:r>
      <w:r>
        <w:t xml:space="preserve"> </w:t>
      </w:r>
      <w:r>
        <w:t xml:space="preserve">Ten seeds per cell,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paired items each, bootstrap over</w:t>
      </w:r>
      <w:r>
        <w:t xml:space="preserve"> </w:t>
      </w:r>
      <w:r>
        <w:t xml:space="preserve">seeds. The extremes are stable to the third decimal (</w:t>
      </w:r>
      <m:oMath>
        <m:r>
          <m:t>1.000</m:t>
        </m:r>
        <m:r>
          <m:rPr>
            <m:sty m:val="p"/>
          </m:rPr>
          <m:t>±</m:t>
        </m:r>
        <m:r>
          <m:t>0.001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0.4</m:t>
        </m:r>
      </m:oMath>
      <w:r>
        <w:t xml:space="preserve">). The mid-range deficit against SignGrid-dev is small but</w:t>
      </w:r>
      <w:r>
        <w:t xml:space="preserve"> </w:t>
      </w:r>
      <w:r>
        <w:t xml:space="preserve">real, not noise: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0.017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0.016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0.024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0.005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+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0.019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0.008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+</m:t>
        </m:r>
        <m:r>
          <m:t>0.2</m:t>
        </m:r>
      </m:oMath>
      <w:r>
        <w:t xml:space="preserve">, all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. So is the advantage where the</w:t>
      </w:r>
      <w:r>
        <w:t xml:space="preserve"> </w:t>
      </w:r>
      <w:r>
        <w:t xml:space="preserve">paper claims it:</w:t>
      </w:r>
      <w:r>
        <w:t xml:space="preserve"> </w:t>
      </w:r>
      <m:oMath>
        <m:r>
          <m:rPr>
            <m:sty m:val="p"/>
          </m:rPr>
          <m:t>+</m:t>
        </m:r>
        <m:r>
          <m:t>0.032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0.027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]</m:t>
        </m:r>
      </m:oMath>
      <w:r>
        <w:t xml:space="preserve"> </w:t>
      </w:r>
      <w:r>
        <w:t xml:space="preserve">on monotone compression and</w:t>
      </w:r>
      <w:r>
        <w:t xml:space="preserve"> </w:t>
      </w:r>
      <m:oMath>
        <m:r>
          <m:rPr>
            <m:sty m:val="p"/>
          </m:rPr>
          <m:t>+</m:t>
        </m:r>
        <m:r>
          <m:t>0.048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0.059</m:t>
        </m:r>
        <m:r>
          <m:rPr>
            <m:sty m:val="p"/>
          </m:rPr>
          <m:t>]</m:t>
        </m:r>
      </m:oMath>
      <w:r>
        <w:t xml:space="preserve"> </w:t>
      </w:r>
      <w:r>
        <w:t xml:space="preserve">on confident echo. The one cell that changes sign</w:t>
      </w:r>
      <w:r>
        <w:t xml:space="preserve"> </w:t>
      </w:r>
      <w:r>
        <w:t xml:space="preserve">under the fix is heterogeneous-</w:t>
      </w:r>
      <m:oMath>
        <m:r>
          <m:t>κ</m:t>
        </m:r>
      </m:oMath>
      <w:r>
        <w:t xml:space="preserve">, now</w:t>
      </w:r>
      <w:r>
        <w:t xml:space="preserve"> </w:t>
      </w:r>
      <m:oMath>
        <m:r>
          <m:rPr>
            <m:sty m:val="p"/>
          </m:rPr>
          <m:t>+</m:t>
        </m:r>
        <m:r>
          <m:t>0.011</m:t>
        </m:r>
      </m:oMath>
      <w:r>
        <w:t xml:space="preserve"> </w:t>
      </w:r>
      <m:oMath>
        <m:r>
          <m:rPr>
            <m:sty m:val="p"/>
          </m:rPr>
          <m:t>[</m:t>
        </m:r>
        <m:r>
          <m:t>0.000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0.031</m:t>
        </m:r>
        <m:r>
          <m:rPr>
            <m:sty m:val="p"/>
          </m:rPr>
          <m:t>]</m:t>
        </m:r>
      </m:oMath>
      <w:r>
        <w:t xml:space="preserve">, where it had</w:t>
      </w:r>
      <w:r>
        <w:t xml:space="preserve"> </w:t>
      </w:r>
      <w:r>
        <w:t xml:space="preserve">been a loss. Reporting a single seed would have hidden both the artifact and</w:t>
      </w:r>
      <w:r>
        <w:t xml:space="preserve"> </w:t>
      </w:r>
      <w:r>
        <w:t xml:space="preserve">the fact that the mid-range gap is systematic.</w:t>
      </w:r>
    </w:p>
    <w:bookmarkEnd w:id="74"/>
    <w:bookmarkStart w:id="75" w:name="sec:real"/>
    <w:p>
      <w:pPr>
        <w:pStyle w:val="Heading2"/>
      </w:pPr>
      <w:r>
        <w:t xml:space="preserve">Real-trace validation</w:t>
      </w:r>
    </w:p>
    <w:p>
      <w:pPr>
        <w:pStyle w:val="FirstParagraph"/>
      </w:pPr>
      <w:r>
        <w:t xml:space="preserve">Validation on real traces used Claude Haiku 4.5 as the frozen model: 100 items, 50 from</w:t>
      </w:r>
      <w:r>
        <w:t xml:space="preserve"> </w:t>
      </w:r>
      <w:r>
        <w:t xml:space="preserve">GSM8K [</w:t>
      </w:r>
      <w:hyperlink w:anchor="bib:gsm8k2021">
        <w:r>
          <w:rPr>
            <w:rStyle w:val="Hyperlink"/>
          </w:rPr>
          <w:t xml:space="preserve">23</w:t>
        </w:r>
      </w:hyperlink>
      <w:r>
        <w:t xml:space="preserve">] and 50 from CommonsenseQA, with</w:t>
      </w:r>
      <w:r>
        <w:t xml:space="preserve"> </w:t>
      </w:r>
      <w:r>
        <w:rPr>
          <w:i/>
          <w:iCs/>
        </w:rPr>
        <w:t xml:space="preserve">12</w:t>
      </w:r>
      <w:r>
        <w:t xml:space="preserve"> </w:t>
      </w:r>
      <w:r>
        <w:t xml:space="preserve">independent</w:t>
      </w:r>
      <w:r>
        <w:t xml:space="preserve"> </w:t>
      </w:r>
      <w:r>
        <w:t xml:space="preserve">chain-of-thought traces and a verbalized confidence per item (1</w:t>
      </w:r>
      <w:r>
        <w:t xml:space="preserve">,</w:t>
      </w:r>
      <w:r>
        <w:t xml:space="preserve">200 traces</w:t>
      </w:r>
      <w:r>
        <w:t xml:space="preserve"> </w:t>
      </w:r>
      <w:r>
        <w:t xml:space="preserve">total), evaluated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with a 40/60 dev/test split. The results revealed</w:t>
      </w:r>
      <w:r>
        <w:t xml:space="preserve"> </w:t>
      </w:r>
      <w:r>
        <w:t xml:space="preserve">both a calibration failure and a limitation imposed by the substrate.</w:t>
      </w:r>
    </w:p>
    <w:p>
      <w:pPr>
        <w:pStyle w:val="BodyText"/>
      </w:pPr>
      <w:r>
        <w:rPr>
          <w:i/>
          <w:iCs/>
        </w:rPr>
        <w:t xml:space="preserve">Calibration and discrimination diverge on real data.</w:t>
      </w:r>
      <w:r>
        <w:t xml:space="preserve"> </w:t>
      </w:r>
      <w:r>
        <w:t xml:space="preserve">The channel is</w:t>
      </w:r>
      <w:r>
        <w:t xml:space="preserve"> </w:t>
      </w:r>
      <w:r>
        <w:rPr>
          <w:i/>
          <w:iCs/>
        </w:rPr>
        <w:t xml:space="preserve">extremely well calibrated</w:t>
      </w:r>
      <w:r>
        <w:t xml:space="preserve"> </w:t>
      </w:r>
      <w:r>
        <w:t xml:space="preserve">in the usual sense: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0.016</m:t>
        </m:r>
      </m:oMath>
      <w:r>
        <w:t xml:space="preserve">, far inside the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gate, so a</w:t>
      </w:r>
      <w:r>
        <w:t xml:space="preserve"> </w:t>
      </w:r>
      <w:r>
        <w:t xml:space="preserve">binary ECE gate</w:t>
      </w:r>
      <w:r>
        <w:t xml:space="preserve"> </w:t>
      </w:r>
      <w:r>
        <w:rPr>
          <w:i/>
          <w:iCs/>
        </w:rPr>
        <w:t xml:space="preserve">opens</w:t>
      </w:r>
      <w:r>
        <w:t xml:space="preserve"> </w:t>
      </w:r>
      <w:r>
        <w:t xml:space="preserve">and hands the channel to CISC. Yet the measured</w:t>
      </w:r>
      <w:r>
        <w:t xml:space="preserve"> </w:t>
      </w:r>
      <w:r>
        <w:t xml:space="preserve">within-item discrimination is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0.176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): no usable signal, and what little there is points the</w:t>
      </w:r>
      <w:r>
        <w:t xml:space="preserve"> </w:t>
      </w:r>
      <w:r>
        <w:rPr>
          <w:i/>
          <w:iCs/>
        </w:rPr>
        <w:t xml:space="preserve">wrong way</w:t>
      </w:r>
      <w:r>
        <w:t xml:space="preserve"> </w:t>
      </w:r>
      <w:r>
        <w:t xml:space="preserve">(math</w:t>
      </w:r>
      <w:r>
        <w:t xml:space="preserve"> </w:t>
      </w:r>
      <m:oMath>
        <m:r>
          <m:rPr>
            <m:sty m:val="p"/>
          </m:rPr>
          <m:t>−</m:t>
        </m:r>
        <m:r>
          <m:t>0.515</m:t>
        </m:r>
      </m:oMath>
      <w:r>
        <w:t xml:space="preserve">, commonsense</w:t>
      </w:r>
      <w:r>
        <w:t xml:space="preserve"> </w:t>
      </w:r>
      <m:oMath>
        <m:r>
          <m:rPr>
            <m:sty m:val="p"/>
          </m:rPr>
          <m:t>−</m:t>
        </m:r>
        <m:r>
          <m:t>0.173</m:t>
        </m:r>
      </m:oMath>
      <w:r>
        <w:t xml:space="preserve">; both groups negative).</w:t>
      </w:r>
      <w:r>
        <w:t xml:space="preserve"> </w:t>
      </w:r>
      <w:r>
        <w:t xml:space="preserve">This is the exact mirror image of the synthetic case in which ECE wrongly</w:t>
      </w:r>
      <w:r>
        <w:t xml:space="preserve"> </w:t>
      </w:r>
      <w:r>
        <w:rPr>
          <w:i/>
          <w:iCs/>
        </w:rPr>
        <w:t xml:space="preserve">closed</w:t>
      </w:r>
      <w:r>
        <w:t xml:space="preserve"> </w:t>
      </w:r>
      <w:r>
        <w:t xml:space="preserve">the gate on a discriminative channel (Section </w:t>
      </w:r>
      <w:hyperlink w:anchor="sec:setup">
        <w:r>
          <w:rPr>
            <w:rStyle w:val="Hyperlink"/>
          </w:rPr>
          <w:t xml:space="preserve">3</w:t>
        </w:r>
      </w:hyperlink>
      <w:r>
        <w:t xml:space="preserve">):</w:t>
      </w:r>
      <w:r>
        <w:t xml:space="preserve"> </w:t>
      </w:r>
      <w:r>
        <w:t xml:space="preserve">on real traces ECE wrongly</w:t>
      </w:r>
      <w:r>
        <w:t xml:space="preserve"> </w:t>
      </w:r>
      <w:r>
        <w:rPr>
          <w:i/>
          <w:iCs/>
        </w:rPr>
        <w:t xml:space="preserve">opens</w:t>
      </w:r>
      <w:r>
        <w:t xml:space="preserve"> </w:t>
      </w:r>
      <w:r>
        <w:t xml:space="preserve">it on a non-discriminative one.</w:t>
      </w:r>
      <w:r>
        <w:t xml:space="preserve"> </w:t>
      </w:r>
      <w:r>
        <w:t xml:space="preserve">Calibration is uninformative about voting utility in both directions, and a</w:t>
      </w:r>
      <w:r>
        <w:t xml:space="preserve"> </w:t>
      </w:r>
      <w:r>
        <w:t xml:space="preserve">signed discrimination statistic is what distinguishes them.</w:t>
      </w:r>
    </w:p>
    <w:p>
      <w:pPr>
        <w:pStyle w:val="BodyText"/>
      </w:pPr>
      <w:r>
        <w:rPr>
          <w:i/>
          <w:iCs/>
        </w:rPr>
        <w:t xml:space="preserve">The dead zone leaves every decision unchanged.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ν</m:t>
        </m:r>
      </m:oMath>
      <w:r>
        <w:t xml:space="preserve">,</w:t>
      </w:r>
      <w:r>
        <w:t xml:space="preserve"> </w:t>
      </w:r>
      <w:r>
        <w:rPr>
          <w:smallCaps/>
        </w:rPr>
        <w:t xml:space="preserve">tact</w:t>
      </w:r>
      <w:r>
        <w:t xml:space="preserve">-dev,</w:t>
      </w:r>
      <w:r>
        <w:t xml:space="preserve"> </w:t>
      </w:r>
      <w:r>
        <w:rPr>
          <w:smallCaps/>
        </w:rPr>
        <w:t xml:space="preserve">tact</w:t>
      </w:r>
      <w:r>
        <w:t xml:space="preserve">-LF and</w:t>
      </w:r>
      <w:r>
        <w:t xml:space="preserve"> </w:t>
      </w:r>
      <w:r>
        <w:rPr>
          <w:smallCaps/>
        </w:rPr>
        <w:t xml:space="preserve">tact</w:t>
      </w:r>
      <w:r>
        <w:t xml:space="preserve">-group all return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are bit-identical</w:t>
      </w:r>
      <w:r>
        <w:t xml:space="preserve"> </w:t>
      </w:r>
      <w:r>
        <w:t xml:space="preserve">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on every test item (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discordant pairs,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). All methods score</w:t>
      </w:r>
      <w:r>
        <w:t xml:space="preserve"> </w:t>
      </w:r>
      <m:oMath>
        <m:r>
          <m:t>0.917</m:t>
        </m:r>
      </m:oMath>
      <w:r>
        <w:t xml:space="preserve">. This is the pre-registered null-direction prediction of</w:t>
      </w:r>
      <w:r>
        <w:t xml:space="preserve"> </w:t>
      </w:r>
      <w:r>
        <w:t xml:space="preserve">Section </w:t>
      </w:r>
      <w:hyperlink w:anchor="sec:limits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confirmed on real data: where the channel carries no</w:t>
      </w:r>
      <w:r>
        <w:t xml:space="preserve"> </w:t>
      </w:r>
      <w:r>
        <w:t xml:space="preserve">signal, the method is free.</w:t>
      </w:r>
    </w:p>
    <w:p>
      <w:pPr>
        <w:pStyle w:val="BodyText"/>
      </w:pPr>
      <w:r>
        <w:rPr>
          <w:i/>
          <w:iCs/>
        </w:rPr>
        <w:t xml:space="preserve">Saturation limits the usable sample.</w:t>
      </w:r>
      <w:r>
        <w:t xml:space="preserve"> </w:t>
      </w:r>
      <w:r>
        <w:t xml:space="preserve">Trace-level</w:t>
      </w:r>
      <w:r>
        <w:t xml:space="preserve"> </w:t>
      </w:r>
      <w:r>
        <w:t xml:space="preserve">accuracy is</w:t>
      </w:r>
      <w:r>
        <w:t xml:space="preserve"> </w:t>
      </w:r>
      <m:oMath>
        <m:r>
          <m:t>0.958</m:t>
        </m:r>
      </m:oMath>
      <w:r>
        <w:t xml:space="preserve"> </w:t>
      </w:r>
      <w:r>
        <w:t xml:space="preserve">on GSM8K and</w:t>
      </w:r>
      <w:r>
        <w:t xml:space="preserve"> </w:t>
      </w:r>
      <m:oMath>
        <m:r>
          <m:t>0.847</m:t>
        </m:r>
      </m:oMath>
      <w:r>
        <w:t xml:space="preserve"> </w:t>
      </w:r>
      <w:r>
        <w:t xml:space="preserve">on CommonsenseQA, so only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items contain both a correct and an incorrect trace, the only items a</w:t>
      </w:r>
      <w:r>
        <w:t xml:space="preserve"> </w:t>
      </w:r>
      <w:r>
        <w:t xml:space="preserve">within-item rank statistic can use. The estimator is not underpowered by</w:t>
      </w:r>
      <w:r>
        <w:t xml:space="preserve"> </w:t>
      </w:r>
      <w:r>
        <w:t xml:space="preserve">design; the benchmark simply does not present the model with enough genuine</w:t>
      </w:r>
      <w:r>
        <w:t xml:space="preserve"> </w:t>
      </w:r>
      <w:r>
        <w:t xml:space="preserve">uncertainty. Exposing non-null coupling on a strong model requires harder item</w:t>
      </w:r>
      <w:r>
        <w:t xml:space="preserve"> </w:t>
      </w:r>
      <w:r>
        <w:t xml:space="preserve">pools, not more traces per item.</w:t>
      </w:r>
    </w:p>
    <w:p>
      <w:pPr>
        <w:pStyle w:val="BodyText"/>
      </w:pPr>
      <w:r>
        <w:rPr>
          <w:i/>
          <w:iCs/>
        </w:rPr>
        <w:t xml:space="preserve">Verbalized confidence is tie-heavy.</w:t>
      </w:r>
      <w:r>
        <w:t xml:space="preserve"> </w:t>
      </w:r>
      <w:r>
        <w:t xml:space="preserve">Two values (</w:t>
      </w:r>
      <m:oMath>
        <m:r>
          <m:t>0.99</m:t>
        </m:r>
      </m:oMath>
      <w:r>
        <w:t xml:space="preserve">,</w:t>
      </w:r>
      <w:r>
        <w:t xml:space="preserve"> </w:t>
      </w:r>
      <m:oMath>
        <m:r>
          <m:t>0.95</m:t>
        </m:r>
      </m:oMath>
      <w:r>
        <w:t xml:space="preserve">)</w:t>
      </w:r>
      <w:r>
        <w:t xml:space="preserve"> </w:t>
      </w:r>
      <w:r>
        <w:t xml:space="preserve">account for</w:t>
      </w:r>
      <w:r>
        <w:t xml:space="preserve"> </w:t>
      </w:r>
      <m:oMath>
        <m:r>
          <m:t>49</m:t>
        </m:r>
        <m:r>
          <m:rPr>
            <m:sty m:val="p"/>
          </m:rPr>
          <m:t>%</m:t>
        </m:r>
      </m:oMath>
      <w:r>
        <w:t xml:space="preserve"> </w:t>
      </w:r>
      <w:r>
        <w:t xml:space="preserve">of all reports, activating the tie-safe degeneration path of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on many items.</w:t>
      </w:r>
    </w:p>
    <w:p>
      <w:pPr>
        <w:pStyle w:val="BodyText"/>
      </w:pPr>
      <w:r>
        <w:rPr>
          <w:i/>
          <w:iCs/>
        </w:rPr>
        <w:t xml:space="preserve">The abstention is measurable but fragile in this campaign.</w:t>
      </w:r>
      <w:r>
        <w:t xml:space="preserve"> </w:t>
      </w:r>
      <w:r>
        <w:t xml:space="preserve">A fixed-zero</w:t>
      </w:r>
      <w:r>
        <w:t xml:space="preserve"> </w:t>
      </w:r>
      <w:r>
        <w:t xml:space="preserve">rule reproduces the dead-zone result exactly, so the campaign alone</w:t>
      </w:r>
      <w:r>
        <w:t xml:space="preserve"> </w:t>
      </w:r>
      <w:r>
        <w:t xml:space="preserve">cannot distinguish a working safety mechanism from an absent signal. Replays</w:t>
      </w:r>
      <w:r>
        <w:t xml:space="preserve"> </w:t>
      </w:r>
      <w:r>
        <w:t xml:space="preserve">of the cached pools provide two additional checks. In an item bootstrap, the</w:t>
      </w:r>
      <w:r>
        <w:t xml:space="preserve"> </w:t>
      </w:r>
      <w:r>
        <w:t xml:space="preserve">dev gate opens in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t xml:space="preserve"> </w:t>
      </w:r>
      <w:r>
        <w:t xml:space="preserve">of resamples. The observed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1.24</m:t>
        </m:r>
      </m:oMath>
      <w:r>
        <w:t xml:space="preserve"> </w:t>
      </w:r>
      <w:r>
        <w:t xml:space="preserve">lies only</w:t>
      </w:r>
      <w:r>
        <w:t xml:space="preserve"> </w:t>
      </w:r>
      <m:oMath>
        <m:r>
          <m:t>3</m:t>
        </m:r>
        <m:r>
          <m:rPr>
            <m:sty m:val="p"/>
          </m:rPr>
          <m:t>%</m:t>
        </m:r>
      </m:oMath>
      <w:r>
        <w:t xml:space="preserve"> </w:t>
      </w:r>
      <w:r>
        <w:t xml:space="preserve">below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1.28</m:t>
        </m:r>
      </m:oMath>
      <w:r>
        <w:t xml:space="preserve">, so the abstention is close to the threshold. The</w:t>
      </w:r>
      <w:r>
        <w:t xml:space="preserve"> </w:t>
      </w:r>
      <w:r>
        <w:t xml:space="preserve">label-free significance gate opens in</w:t>
      </w:r>
      <w:r>
        <w:t xml:space="preserve"> </w:t>
      </w:r>
      <m:oMath>
        <m:r>
          <m:t>16.2</m:t>
        </m:r>
        <m:r>
          <m:rPr>
            <m:sty m:val="p"/>
          </m:rPr>
          <m:t>%</m:t>
        </m:r>
      </m:oMath>
      <w:r>
        <w:t xml:space="preserve"> </w:t>
      </w:r>
      <w:r>
        <w:t xml:space="preserve">of resamples, although the</w:t>
      </w:r>
      <w:r>
        <w:t xml:space="preserve"> </w:t>
      </w:r>
      <w:r>
        <w:t xml:space="preserve">planted-sensitivity replay below showed that another structural gate prevents</w:t>
      </w:r>
      <w:r>
        <w:t xml:space="preserve"> </w:t>
      </w:r>
      <w:r>
        <w:t xml:space="preserve">the full method from acting. Permuting confidences within items preserves the</w:t>
      </w:r>
      <w:r>
        <w:t xml:space="preserve"> </w:t>
      </w:r>
      <w:r>
        <w:t xml:space="preserve">real marginals, ties, pool composition and difficulty and destroys only the</w:t>
      </w:r>
      <w:r>
        <w:t xml:space="preserve"> </w:t>
      </w:r>
      <w:r>
        <w:t xml:space="preserve">coupling, puts the false-open rate at</w:t>
      </w:r>
      <w:r>
        <w:t xml:space="preserve"> </w:t>
      </w:r>
      <m:oMath>
        <m:r>
          <m:t>18.4</m:t>
        </m:r>
        <m:r>
          <m:rPr>
            <m:sty m:val="p"/>
          </m:rPr>
          <m:t>%</m:t>
        </m:r>
      </m:oMath>
      <w:r>
        <w:t xml:space="preserve"> </w:t>
      </w:r>
      <w:r>
        <w:t xml:space="preserve">against a nominal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r>
          <m:t>1.6</m:t>
        </m:r>
        <m:r>
          <m:rPr>
            <m:sty m:val="p"/>
          </m:rPr>
          <m:t>%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label-free), with the null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at mean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 </w:t>
      </w:r>
      <w:r>
        <w:t xml:space="preserve">and SD</w:t>
      </w:r>
      <w:r>
        <w:t xml:space="preserve"> </w:t>
      </w:r>
      <m:oMath>
        <m:r>
          <m:t>0.954</m:t>
        </m:r>
      </m:oMath>
      <w:r>
        <w:t xml:space="preserve">. This real-substrate null calibration provides direct evidence about</w:t>
      </w:r>
      <w:r>
        <w:t xml:space="preserve"> </w:t>
      </w:r>
      <w:r>
        <w:t xml:space="preserve">the dead zone’s specificity. To measure the cost of the observed decision,</w:t>
      </w:r>
      <w:r>
        <w:t xml:space="preserve"> </w:t>
      </w:r>
      <w:r>
        <w:t xml:space="preserve">overriding the gate, the derived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0.40</m:t>
        </m:r>
      </m:oMath>
      <w:r>
        <w:t xml:space="preserve"> </w:t>
      </w:r>
      <w:r>
        <w:t xml:space="preserve">would have scored</w:t>
      </w:r>
      <w:r>
        <w:t xml:space="preserve"> </w:t>
      </w:r>
      <m:oMath>
        <m:r>
          <m:t>0.933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) and a gold-label oracle reaches</w:t>
      </w:r>
      <w:r>
        <w:t xml:space="preserve"> </w:t>
      </w:r>
      <m:oMath>
        <m:r>
          <m:t>0.950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1.25</m:t>
        </m:r>
      </m:oMath>
      <w:r>
        <w:t xml:space="preserve">, a ceiling</w:t>
      </w:r>
      <w:r>
        <w:t xml:space="preserve"> </w:t>
      </w:r>
      <w:r>
        <w:t xml:space="preserve">of two items. Neither approaches significance, so the substrate is null in the</w:t>
      </w:r>
      <w:r>
        <w:t xml:space="preserve"> </w:t>
      </w:r>
      <w:r>
        <w:t xml:space="preserve">way that matters. The estimator and oracle nevertheless agree on the sign, so</w:t>
      </w:r>
      <w:r>
        <w:t xml:space="preserve"> </w:t>
      </w:r>
      <w:r>
        <w:t xml:space="preserve">the zero-cost result is limited to what can be measured at this sample size.</w:t>
      </w:r>
      <w:r>
        <w:t xml:space="preserve"> </w:t>
      </w:r>
      <w:r>
        <w:t xml:space="preserve">This result did not establish that abstaining was right.</w:t>
      </w:r>
    </w:p>
    <w:p>
      <w:pPr>
        <w:pStyle w:val="BodyText"/>
      </w:pPr>
      <w:r>
        <w:rPr>
          <w:i/>
          <w:iCs/>
        </w:rPr>
        <w:t xml:space="preserve">A planted channel measures sensitivity.</w:t>
      </w:r>
      <w:r>
        <w:t xml:space="preserve"> </w:t>
      </w:r>
      <w:r>
        <w:t xml:space="preserve">The bootstrap and permutation</w:t>
      </w:r>
      <w:r>
        <w:t xml:space="preserve"> </w:t>
      </w:r>
      <w:r>
        <w:t xml:space="preserve">replays measure stability and specificity. Sensitivity requires a channel of</w:t>
      </w:r>
      <w:r>
        <w:t xml:space="preserve"> </w:t>
      </w:r>
      <w:r>
        <w:t xml:space="preserve">known strength, so one is planted into these same pools. Real answers,</w:t>
      </w:r>
      <w:r>
        <w:t xml:space="preserve"> </w:t>
      </w:r>
      <w:r>
        <w:t xml:space="preserve">difficulty, and duplication are unchanged;</w:t>
      </w:r>
      <w:r>
        <w:t xml:space="preserve"> </w:t>
      </w:r>
      <w:r>
        <w:t xml:space="preserve">only the confidence vector is replaced, conditioned on the real correctness</w:t>
      </w:r>
      <w:r>
        <w:t xml:space="preserve"> </w:t>
      </w:r>
      <w:r>
        <w:t xml:space="preserve">pattern. Planting only the estimator’s own location-shift model would prove</w:t>
      </w:r>
      <w:r>
        <w:t xml:space="preserve"> </w:t>
      </w:r>
      <w:r>
        <w:t xml:space="preserve">nothing (the invariance-group pitfall of Section </w:t>
      </w:r>
      <w:hyperlink w:anchor="sec:limits">
        <w:r>
          <w:rPr>
            <w:rStyle w:val="Hyperlink"/>
          </w:rPr>
          <w:t xml:space="preserve">9</w:t>
        </w:r>
      </w:hyperlink>
      <w:r>
        <w:t xml:space="preserve">), so four</w:t>
      </w:r>
      <w:r>
        <w:t xml:space="preserve"> </w:t>
      </w:r>
      <w:r>
        <w:t xml:space="preserve">families are swept: the Gaussian location shift; the same shift under Laplace</w:t>
      </w:r>
      <w:r>
        <w:t xml:space="preserve"> </w:t>
      </w:r>
      <w:r>
        <w:t xml:space="preserve">noise, violating the link’s normality assumption while preserving</w:t>
      </w:r>
      <w:r>
        <w:t xml:space="preserve"> </w:t>
      </w:r>
      <m:oMath>
        <m:r>
          <m:t>D</m:t>
        </m:r>
      </m:oMath>
      <w:r>
        <w:t xml:space="preserve">; a</w:t>
      </w:r>
      <w:r>
        <w:t xml:space="preserve"> </w:t>
      </w:r>
      <w:r>
        <w:t xml:space="preserve">rank-concentrated channel that forces the top-confidence slot onto a correct</w:t>
      </w:r>
      <w:r>
        <w:t xml:space="preserve"> </w:t>
      </w:r>
      <w:r>
        <w:t xml:space="preserve">trace; and a variance-only channel, informative but unsigned. Across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seeds per cell, the gate’s operating characteristic follows the realized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t xml:space="preserve"> </w:t>
      </w:r>
      <w:r>
        <w:t xml:space="preserve">across the Gaussian and Laplace families. It reaches half-power near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=</m:t>
        </m:r>
        <m:r>
          <m:t>0.247</m:t>
        </m:r>
      </m:oMath>
      <w:r>
        <w:t xml:space="preserve"> </w:t>
      </w:r>
      <w:r>
        <w:t xml:space="preserve">(Gaussian) and</w:t>
      </w:r>
      <w:r>
        <w:t xml:space="preserve"> </w:t>
      </w:r>
      <m:oMath>
        <m:r>
          <m:t>0.208</m:t>
        </m:r>
      </m:oMath>
      <w:r>
        <w:t xml:space="preserve"> </w:t>
      </w:r>
      <w:r>
        <w:t xml:space="preserve">(Laplace), full power by</w:t>
      </w:r>
      <w:r>
        <w:t xml:space="preserve"> </w:t>
      </w:r>
      <m:oMath>
        <m:r>
          <m:t>0.49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0.56</m:t>
        </m:r>
      </m:oMath>
      <w:r>
        <w:t xml:space="preserve">, and the derived exponent capturing the whole oracle gain from</w:t>
      </w:r>
      <w:r>
        <w:t xml:space="preserve"> </w:t>
      </w:r>
      <m:oMath>
        <m:r>
          <m:t>0.83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 At the Gaussian thresholds the Laplace family is already at</w:t>
      </w:r>
      <w:r>
        <w:t xml:space="preserve"> </w:t>
      </w:r>
      <m:oMath>
        <m:r>
          <m:t>0.975</m:t>
        </m:r>
      </m:oMath>
      <w:r>
        <w:t xml:space="preserve"> </w:t>
      </w:r>
      <w:r>
        <w:t xml:space="preserve">power and</w:t>
      </w:r>
      <w:r>
        <w:t xml:space="preserve"> </w:t>
      </w:r>
      <m:oMath>
        <m:r>
          <m:t>0.98</m:t>
        </m:r>
      </m:oMath>
      <w:r>
        <w:t xml:space="preserve"> </w:t>
      </w:r>
      <w:r>
        <w:t xml:space="preserve">capture. Detection therefore follows the rank</w:t>
      </w:r>
      <w:r>
        <w:t xml:space="preserve"> </w:t>
      </w:r>
      <w:r>
        <w:t xml:space="preserve">functional across this normality violation. The measured channel above,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=</m:t>
        </m:r>
        <m:r>
          <m:t>0.219</m:t>
        </m:r>
      </m:oMath>
      <w:r>
        <w:t xml:space="preserve">, lies near the half-power point, consistent with the bootstrap</w:t>
      </w:r>
      <w:r>
        <w:t xml:space="preserve"> </w:t>
      </w:r>
      <w:r>
        <w:t xml:space="preserve">result. Whenever the gate opens, its sign is correct in every tested cell.</w:t>
      </w:r>
    </w:p>
    <w:p>
      <w:pPr>
        <w:pStyle w:val="BodyText"/>
      </w:pPr>
      <w:r>
        <w:t xml:space="preserve">The experiment also exposes two scope boundaries. The</w:t>
      </w:r>
      <w:r>
        <w:t xml:space="preserve"> </w:t>
      </w:r>
      <w:r>
        <w:t xml:space="preserve">rank-concentrated channel yields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≤</m:t>
        </m:r>
        <m:r>
          <m:t>0.183</m:t>
        </m:r>
      </m:oMath>
      <w:r>
        <w:t xml:space="preserve"> </w:t>
      </w:r>
      <w:r>
        <w:t xml:space="preserve">at full strength. A pooled</w:t>
      </w:r>
      <w:r>
        <w:t xml:space="preserve"> </w:t>
      </w:r>
      <w:r>
        <w:t xml:space="preserve">pair statistic barely detects information carried by a single rank position and</w:t>
      </w:r>
      <w:r>
        <w:t xml:space="preserve"> </w:t>
      </w:r>
      <w:r>
        <w:t xml:space="preserve">leaves the derived gain near zero where a gold-label exponent takes</w:t>
      </w:r>
      <w:r>
        <w:t xml:space="preserve"> </w:t>
      </w:r>
      <m:oMath>
        <m:r>
          <m:rPr>
            <m:sty m:val="p"/>
          </m:rPr>
          <m:t>+</m:t>
        </m:r>
        <m:r>
          <m:t>0.039</m:t>
        </m:r>
      </m:oMath>
      <w:r>
        <w:t xml:space="preserve">;</w:t>
      </w:r>
      <w:r>
        <w:t xml:space="preserve"> </w:t>
      </w:r>
      <w:r>
        <w:t xml:space="preserve">the unsigned channel is invisible by construction and the gate holds its</w:t>
      </w:r>
      <w:r>
        <w:t xml:space="preserve"> </w:t>
      </w:r>
      <w:r>
        <w:t xml:space="preserve">nominal false-open rate on it. The label-free arm revealed a separate defect: it</w:t>
      </w:r>
      <w:r>
        <w:t xml:space="preserve"> </w:t>
      </w:r>
      <w:r>
        <w:t xml:space="preserve">returned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every cell, even on a saturating channel with the item floor</w:t>
      </w:r>
      <w:r>
        <w:t xml:space="preserve"> </w:t>
      </w:r>
      <w:r>
        <w:t xml:space="preserve">lowered to one, because with</w:t>
      </w:r>
      <w:r>
        <w:t xml:space="preserve"> </w:t>
      </w:r>
      <m:oMath>
        <m:r>
          <m:t>85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items unanimous the margin gate’s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-quantile cut equals</w:t>
      </w:r>
      <w:r>
        <w:t xml:space="preserve"> </w:t>
      </w:r>
      <m:oMath>
        <m:r>
          <m:t>1.0</m:t>
        </m:r>
      </m:oMath>
      <w:r>
        <w:t xml:space="preserve">, and no item satisfies margin</w:t>
      </w:r>
      <w:r>
        <w:t xml:space="preserve"> </w:t>
      </w:r>
      <m:oMath>
        <m:r>
          <m:rPr>
            <m:sty m:val="p"/>
          </m:rPr>
          <m:t>≥</m:t>
        </m:r>
        <m:r>
          <m:t>1.0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two distinct answers. Its abstention in the real-trace campaign was therefore structural rather</w:t>
      </w:r>
      <w:r>
        <w:t xml:space="preserve"> </w:t>
      </w:r>
      <w:r>
        <w:t xml:space="preserve">than a reading of the channel, and on saturated substrates the quantile gate</w:t>
      </w:r>
      <w:r>
        <w:t xml:space="preserve"> </w:t>
      </w:r>
      <w:r>
        <w:t xml:space="preserve">needs an absolute cut.</w:t>
      </w:r>
    </w:p>
    <w:p>
      <w:pPr>
        <w:pStyle w:val="BodyText"/>
      </w:pPr>
      <w:r>
        <w:t xml:space="preserve">Scope of this first campaign: one model, two benchmarks,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. It confirmed</w:t>
      </w:r>
      <w:r>
        <w:t xml:space="preserve"> </w:t>
      </w:r>
      <w:r>
        <w:t xml:space="preserve">the null-direction prediction and the calibration–discrimination argument, and</w:t>
      </w:r>
      <w:r>
        <w:t xml:space="preserve"> </w:t>
      </w:r>
      <w:r>
        <w:t xml:space="preserve">it is not evidence that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improves accuracy, since the channel carried no</w:t>
      </w:r>
      <w:r>
        <w:t xml:space="preserve"> </w:t>
      </w:r>
      <w:r>
        <w:t xml:space="preserve">signal to exploit. The saturation diagnosis motivates the harder campaign in</w:t>
      </w:r>
      <w:r>
        <w:t xml:space="preserve"> </w:t>
      </w:r>
      <w:r>
        <w:t xml:space="preserve">Section </w:t>
      </w:r>
      <w:hyperlink w:anchor="sec:hard">
        <w:r>
          <w:rPr>
            <w:rStyle w:val="Hyperlink"/>
          </w:rPr>
          <w:t xml:space="preserve">8.8</w:t>
        </w:r>
      </w:hyperlink>
      <w:r>
        <w:t xml:space="preserve">.</w:t>
      </w:r>
    </w:p>
    <w:bookmarkEnd w:id="75"/>
    <w:bookmarkStart w:id="77" w:name="sec:hard"/>
    <w:p>
      <w:pPr>
        <w:pStyle w:val="Heading2"/>
      </w:pPr>
      <w:r>
        <w:t xml:space="preserve">Confirmatory campaign on harder items</w:t>
      </w:r>
    </w:p>
    <w:p>
      <w:pPr>
        <w:pStyle w:val="FirstParagraph"/>
      </w:pPr>
      <w:r>
        <w:t xml:space="preserve">The saturation diagnosis predicts that a channel measured as null on saturated benchmarks</w:t>
      </w:r>
      <w:r>
        <w:t xml:space="preserve"> </w:t>
      </w:r>
      <w:r>
        <w:t xml:space="preserve">should become measurable on items the model finds genuinely uncertain. A</w:t>
      </w:r>
      <w:r>
        <w:t xml:space="preserve"> </w:t>
      </w:r>
      <w:r>
        <w:t xml:space="preserve">pre-registered follow-up tests that prediction:</w:t>
      </w:r>
      <w:r>
        <w:t xml:space="preserve"> </w:t>
      </w:r>
      <m:oMath>
        <m:r>
          <m:t>119</m:t>
        </m:r>
      </m:oMath>
      <w:r>
        <w:t xml:space="preserve"> </w:t>
      </w:r>
      <w:r>
        <w:t xml:space="preserve">MATH level-5 problems</w:t>
      </w:r>
      <w:r>
        <w:t xml:space="preserve"> </w:t>
      </w:r>
      <w:r>
        <w:t xml:space="preserve">[</w:t>
      </w:r>
      <w:hyperlink w:anchor="bib:math500">
        <w:r>
          <w:rPr>
            <w:rStyle w:val="Hyperlink"/>
          </w:rPr>
          <w:t xml:space="preserve">24</w:t>
        </w:r>
      </w:hyperlink>
      <w:r>
        <w:t xml:space="preserve">,</w:t>
      </w:r>
      <w:hyperlink w:anchor="bib:lightman2024verify">
        <w:r>
          <w:rPr>
            <w:rStyle w:val="Hyperlink"/>
          </w:rPr>
          <w:t xml:space="preserve">25</w:t>
        </w:r>
      </w:hyperlink>
      <w:r>
        <w:t xml:space="preserve">],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traces each from the same frozen</w:t>
      </w:r>
      <w:r>
        <w:t xml:space="preserve"> </w:t>
      </w:r>
      <w:r>
        <w:t xml:space="preserve">model, and a</w:t>
      </w:r>
      <w:r>
        <w:t xml:space="preserve"> </w:t>
      </w:r>
      <m:oMath>
        <m:r>
          <m:t>30</m:t>
        </m:r>
      </m:oMath>
      <w:r>
        <w:t xml:space="preserve">-item sign set and an</w:t>
      </w:r>
      <w:r>
        <w:t xml:space="preserve"> </w:t>
      </w:r>
      <m:oMath>
        <m:r>
          <m:t>89</m:t>
        </m:r>
      </m:oMath>
      <w:r>
        <w:t xml:space="preserve">-item evaluation set drawn from the</w:t>
      </w:r>
      <w:r>
        <w:t xml:space="preserve"> </w:t>
      </w:r>
      <w:r>
        <w:t xml:space="preserve">registered list before any trace was collected. The registration specified the</w:t>
      </w:r>
      <w:r>
        <w:t xml:space="preserve"> </w:t>
      </w:r>
      <w:r>
        <w:t xml:space="preserve">expected discrimination sign, a paired accuracy endpoint, baseline and safety</w:t>
      </w:r>
      <w:r>
        <w:t xml:space="preserve"> </w:t>
      </w:r>
      <w:r>
        <w:t xml:space="preserve">checks, and substrate diagnostics.</w:t>
      </w:r>
    </w:p>
    <w:p>
      <w:pPr>
        <w:pStyle w:val="BodyText"/>
      </w:pPr>
      <w:r>
        <w:rPr>
          <w:i/>
          <w:iCs/>
        </w:rPr>
        <w:t xml:space="preserve">The confidence channel is detectable.</w:t>
      </w:r>
      <w:r>
        <w:t xml:space="preserve"> </w:t>
      </w:r>
      <w:r>
        <w:t xml:space="preserve">On the evaluation set the pooled statistic is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0.098</m:t>
        </m:r>
      </m:oMath>
      <w:r>
        <w:t xml:space="preserve">, so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t xml:space="preserve"> </w:t>
      </w:r>
      <w:r>
        <w:t xml:space="preserve">clears the registered</w:t>
      </w:r>
      <w:r>
        <w:t xml:space="preserve"> </w:t>
      </w:r>
      <m:oMath>
        <m:r>
          <m:t>z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threshold. This is</w:t>
      </w:r>
      <w:r>
        <w:t xml:space="preserve"> </w:t>
      </w:r>
      <w:r>
        <w:t xml:space="preserve">the first real-trace evidence that verbalized confidence carries positive</w:t>
      </w:r>
      <w:r>
        <w:t xml:space="preserve"> </w:t>
      </w:r>
      <w:r>
        <w:t xml:space="preserve">within-item discrimination; the same measurement on GSM8K/CommonsenseQA gave</w:t>
      </w:r>
      <w:r>
        <w:t xml:space="preserve"> </w:t>
      </w:r>
      <m:oMath>
        <m:r>
          <m:rPr>
            <m:sty m:val="p"/>
          </m:rPr>
          <m:t>−</m:t>
        </m:r>
        <m:r>
          <m:t>0.219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).</w:t>
      </w:r>
    </w:p>
    <w:p>
      <w:pPr>
        <w:pStyle w:val="BodyText"/>
      </w:pPr>
      <w:r>
        <w:t xml:space="preserve">The realized substrate nevertheless saturated again: per-trace accuracy</w:t>
      </w:r>
      <w:r>
        <w:t xml:space="preserve"> </w:t>
      </w:r>
      <m:oMath>
        <m:r>
          <m:t>0.819</m:t>
        </m:r>
      </m:oMath>
      <w:r>
        <w:t xml:space="preserve">,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m:oMath>
        <m:r>
          <m:t>0.888</m:t>
        </m:r>
      </m:oMath>
      <w:r>
        <w:t xml:space="preserve">, a decisive</w:t>
      </w:r>
      <w:r>
        <w:t xml:space="preserve"> </w:t>
      </w:r>
      <w:r>
        <w:t xml:space="preserve">stratum of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89</m:t>
        </m:r>
      </m:oMath>
      <w:r>
        <w:t xml:space="preserve"> </w:t>
      </w:r>
      <w:r>
        <w:t xml:space="preserve">items, and the correct answer present in the pool on</w:t>
      </w:r>
      <w:r>
        <w:t xml:space="preserve"> </w:t>
      </w:r>
      <w:r>
        <w:t xml:space="preserve">only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those. The in-pool</w:t>
      </w:r>
      <w:r>
        <w:t xml:space="preserve"> </w:t>
      </w:r>
      <w:r>
        <w:rPr>
          <w:i/>
          <w:iCs/>
        </w:rPr>
        <w:t xml:space="preserve">oracle</w:t>
      </w:r>
      <w:r>
        <w:t xml:space="preserve"> </w:t>
      </w:r>
      <w:r>
        <w:t xml:space="preserve">therefore tops out at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w:r>
        <w:t xml:space="preserve">with exact one-sided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0.0625</m:t>
        </m:r>
      </m:oMath>
      <w:r>
        <w:t xml:space="preserve">. Even this oracle missed the registered</w:t>
      </w:r>
      <w:r>
        <w:t xml:space="preserve"> </w:t>
      </w:r>
      <w:r>
        <w:t xml:space="preserve">paired-accuracy endpoint, establishing that the realized pool cannot support a</w:t>
      </w:r>
      <w:r>
        <w:t xml:space="preserve"> </w:t>
      </w:r>
      <w:r>
        <w:t xml:space="preserve">detectable aggregation gain at the registered level.</w:t>
      </w:r>
    </w:p>
    <w:p>
      <w:pPr>
        <w:pStyle w:val="BodyText"/>
      </w:pPr>
      <w:r>
        <w:t xml:space="preserve">Both label-free paths returned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, although for different reasons. The fully label-free arm was stopped by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z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</m:sub>
        </m:sSub>
      </m:oMath>
      <w:r>
        <w:t xml:space="preserve">: only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items reach the margin gate with a pseudo-label that varies, against a</w:t>
      </w:r>
      <w:r>
        <w:t xml:space="preserve"> </w:t>
      </w:r>
      <w:r>
        <w:t xml:space="preserve">floor of</w:t>
      </w:r>
      <w:r>
        <w:t xml:space="preserve"> </w:t>
      </w:r>
      <m:oMath>
        <m:r>
          <m:t>50</m:t>
        </m:r>
      </m:oMath>
      <w:r>
        <w:t xml:space="preserve">, and relaxing the gate’s quantile all the way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raises</w:t>
      </w:r>
      <w:r>
        <w:t xml:space="preserve"> </w:t>
      </w:r>
      <w:r>
        <w:t xml:space="preserve">that only to</w:t>
      </w:r>
      <w:r>
        <w:t xml:space="preserve"> </w:t>
      </w:r>
      <m:oMath>
        <m:r>
          <m:t>39</m:t>
        </m:r>
      </m:oMath>
      <w:r>
        <w:t xml:space="preserve">, so the arm is untestable here at any channel strength.</w:t>
      </w:r>
      <w:r>
        <w:t xml:space="preserve"> </w:t>
      </w:r>
      <w:r>
        <w:t xml:space="preserve">The semi-label-free arm was stopped by its</w:t>
      </w:r>
      <w:r>
        <w:t xml:space="preserve"> </w:t>
      </w:r>
      <m:oMath>
        <m:r>
          <m:t>30</m:t>
        </m:r>
      </m:oMath>
      <w:r>
        <w:t xml:space="preserve">-item</w:t>
      </w:r>
      <w:r>
        <w:t xml:space="preserve"> </w:t>
      </w:r>
      <w:r>
        <w:t xml:space="preserve">sign set reached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0.83</m:t>
        </m:r>
      </m:oMath>
      <w:r>
        <w:t xml:space="preserve"> </w:t>
      </w:r>
      <w:r>
        <w:t xml:space="preserve">against a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gate, while the evaluation set on</w:t>
      </w:r>
      <w:r>
        <w:t xml:space="preserve"> </w:t>
      </w:r>
      <w:r>
        <w:t xml:space="preserve">the same substrate reached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t xml:space="preserve">. This mismatch indicated limited power in</w:t>
      </w:r>
      <w:r>
        <w:t xml:space="preserve"> </w:t>
      </w:r>
      <w:r>
        <w:t xml:space="preserve">the sign set; increasing its size directly addresses the shortfall. Both paths are therefore</w:t>
      </w:r>
      <w:r>
        <w:t xml:space="preserve"> </w:t>
      </w:r>
      <w:r>
        <w:t xml:space="preserve">bit-identical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</w:t>
      </w:r>
      <w:r>
        <w:t xml:space="preserve"> </w:t>
      </w:r>
      <m:oMath>
        <m:r>
          <m:t>0.888</m:t>
        </m:r>
      </m:oMath>
      <w:r>
        <w:t xml:space="preserve">, satisfying the registered baseline and</w:t>
      </w:r>
      <w:r>
        <w:t xml:space="preserve"> </w:t>
      </w:r>
      <w:r>
        <w:t xml:space="preserve">safety checks. The cost of acting anyway is</w:t>
      </w:r>
      <w:r>
        <w:t xml:space="preserve"> </w:t>
      </w:r>
      <w:r>
        <w:t xml:space="preserve">visible in the same table: best-single-confidence, which uses the channel on</w:t>
      </w:r>
      <w:r>
        <w:t xml:space="preserve"> </w:t>
      </w:r>
      <w:r>
        <w:t xml:space="preserve">every item, loses</w:t>
      </w:r>
      <w:r>
        <w:t xml:space="preserve"> </w:t>
      </w:r>
      <m:oMath>
        <m:r>
          <m:t>4.5</m:t>
        </m:r>
      </m:oMath>
      <w:r>
        <w:t xml:space="preserve"> </w:t>
      </w:r>
      <w:r>
        <w:t xml:space="preserve">points at</w:t>
      </w:r>
      <w:r>
        <w:t xml:space="preserve"> </w:t>
      </w:r>
      <m:oMath>
        <m:r>
          <m:t>0.843</m:t>
        </m:r>
      </m:oMath>
      <w:r>
        <w:t xml:space="preserve">.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z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reports item supply; it carries no estimate of the</w:t>
      </w:r>
      <w:r>
        <w:t xml:space="preserve"> </w:t>
      </w:r>
      <w:r>
        <w:t xml:space="preserve">confidence channel. The planted-sensitivity replay showed two ways it can</w:t>
      </w:r>
      <w:r>
        <w:t xml:space="preserve"> </w:t>
      </w:r>
      <w:r>
        <w:t xml:space="preserve">fire: on the saturated pools of Section </w:t>
      </w:r>
      <w:hyperlink w:anchor="sec:real">
        <w:r>
          <w:rPr>
            <w:rStyle w:val="Hyperlink"/>
          </w:rPr>
          <w:t xml:space="preserve">8.7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margin gate’s quantile cut degenerates to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and the gated set is empty for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channel, whereas here the cut is</w:t>
      </w:r>
      <w:r>
        <w:t xml:space="preserve"> </w:t>
      </w:r>
      <m:oMath>
        <m:r>
          <m:t>0.875</m:t>
        </m:r>
      </m:oMath>
      <w:r>
        <w:t xml:space="preserve"> </w:t>
      </w:r>
      <w:r>
        <w:t xml:space="preserve">and the set is non-empty,</w:t>
      </w:r>
      <w:r>
        <w:t xml:space="preserve"> </w:t>
      </w:r>
      <w:r>
        <w:t xml:space="preserve">so the alarm reports a genuine shortfall against the floor. The quantile</w:t>
      </w:r>
      <w:r>
        <w:t xml:space="preserve"> </w:t>
      </w:r>
      <w:r>
        <w:t xml:space="preserve">degeneration in saturated pools is the defect; the present MATH result is a</w:t>
      </w:r>
      <w:r>
        <w:t xml:space="preserve"> </w:t>
      </w:r>
      <w:r>
        <w:t xml:space="preserve">genuine supply shortfall.</w:t>
      </w:r>
    </w:p>
    <w:bookmarkStart w:id="76" w:name="tab:hard"/>
    <w:p>
      <w:pPr>
        <w:pStyle w:val="TableCaption"/>
      </w:pPr>
      <w:r>
        <w:t xml:space="preserve">Confirmatory campaign, MATH level-5 evaluation set (</w:t>
      </w:r>
      <m:oMath>
        <m:r>
          <m:t>89</m:t>
        </m:r>
      </m:oMath>
      <w:r>
        <w:t xml:space="preserve"> </w:t>
      </w:r>
      <w:r>
        <w:t xml:space="preserve">items,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t xml:space="preserve">). Every method replays the same cached pools. The duplication</w:t>
      </w:r>
      <w:r>
        <w:t xml:space="preserve"> </w:t>
      </w:r>
      <w:r>
        <w:t xml:space="preserve">channel is inert because no reasoning text was collected, so dedup-</w:t>
      </w:r>
      <w:r>
        <w:rPr>
          <w:smallCaps/>
        </w:rPr>
        <w:t xml:space="preserve">sc</w:t>
      </w:r>
      <w:r>
        <w:t xml:space="preserve"> </w:t>
      </w:r>
      <w:r>
        <w:t xml:space="preserve">coincides with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by construction.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firmatory campaign, MATH level-5 evaluation set (89 items, K{=}16). Every method replays the same cached pools. The duplication channel is inert because no reasoning text was collected, so dedup-sc coincides with sc by construc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net vs. </w:t>
            </w:r>
            <w:r>
              <w:rPr>
                <w:smallCaps/>
              </w:rPr>
              <w:t xml:space="preserve">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/ dedup-</w:t>
            </w: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/ CISC-linear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-LF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-semi-LF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best-single-confidence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0.843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in-pool oracle (ceiling)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0.933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</w:tbl>
    <w:bookmarkEnd w:id="76"/>
    <w:p>
      <w:pPr>
        <w:pStyle w:val="BodyText"/>
      </w:pPr>
      <w:r>
        <w:t xml:space="preserve">One caveat from this campaign transfers beyond</w:t>
      </w:r>
      <w:r>
        <w:t xml:space="preserve"> </w:t>
      </w:r>
      <w:r>
        <w:rPr>
          <w:smallCaps/>
        </w:rPr>
        <w:t xml:space="preserve">tact</w:t>
      </w:r>
      <w:r>
        <w:t xml:space="preserve">. Measured difficulty</w:t>
      </w:r>
      <w:r>
        <w:t xml:space="preserve"> </w:t>
      </w:r>
      <w:r>
        <w:t xml:space="preserve">depended on the collection protocol: a</w:t>
      </w:r>
      <w:r>
        <w:t xml:space="preserve"> </w:t>
      </w:r>
      <m:oMath>
        <m:r>
          <m:t>30</m:t>
        </m:r>
      </m:oMath>
      <w:r>
        <w:t xml:space="preserve">-problem-per-call probe put</w:t>
      </w:r>
      <w:r>
        <w:t xml:space="preserve"> </w:t>
      </w:r>
      <w:r>
        <w:t xml:space="preserve">level-5 plurality accuracy at</w:t>
      </w:r>
      <w:r>
        <w:t xml:space="preserve"> </w:t>
      </w:r>
      <m:oMath>
        <m:r>
          <m:t>0.40</m:t>
        </m:r>
      </m:oMath>
      <w:r>
        <w:t xml:space="preserve">, while the</w:t>
      </w:r>
      <w:r>
        <w:t xml:space="preserve"> </w:t>
      </w:r>
      <m:oMath>
        <m:r>
          <m:t>15</m:t>
        </m:r>
      </m:oMath>
      <w:r>
        <w:t xml:space="preserve">-problem-per-call</w:t>
      </w:r>
      <w:r>
        <w:t xml:space="preserve"> </w:t>
      </w:r>
      <w:r>
        <w:t xml:space="preserve">confirmatory run yielded</w:t>
      </w:r>
      <w:r>
        <w:t xml:space="preserve"> </w:t>
      </w:r>
      <m:oMath>
        <m:r>
          <m:t>0.888</m:t>
        </m:r>
      </m:oMath>
      <w:r>
        <w:t xml:space="preserve"> </w:t>
      </w:r>
      <w:r>
        <w:t xml:space="preserve">on the same stratum. Batch size belongs in</w:t>
      </w:r>
      <w:r>
        <w:t xml:space="preserve"> </w:t>
      </w:r>
      <w:r>
        <w:t xml:space="preserve">the experimental record whenever traces are collected in batches.</w:t>
      </w:r>
    </w:p>
    <w:bookmarkEnd w:id="77"/>
    <w:bookmarkStart w:id="79" w:name="sec:window"/>
    <w:p>
      <w:pPr>
        <w:pStyle w:val="Heading2"/>
      </w:pPr>
      <w:r>
        <w:t xml:space="preserve">How wide is the addressable stratum?</w:t>
      </w:r>
    </w:p>
    <w:p>
      <w:pPr>
        <w:pStyle w:val="FirstParagraph"/>
      </w:pPr>
      <w:r>
        <w:t xml:space="preserve">Both campaigns failed their endpoint for the same reason, which suggests</w:t>
      </w:r>
      <w:r>
        <w:t xml:space="preserve"> </w:t>
      </w:r>
      <w:r>
        <w:t xml:space="preserve">measuring that reason directly. Define the</w:t>
      </w:r>
      <w:r>
        <w:t xml:space="preserve"> </w:t>
      </w:r>
      <w:r>
        <w:rPr>
          <w:i/>
          <w:iCs/>
        </w:rPr>
        <w:t xml:space="preserve">window</w:t>
      </w:r>
      <w:r>
        <w:t xml:space="preserve"> </w:t>
      </w:r>
      <w:r>
        <w:t xml:space="preserve">as the fraction of</w:t>
      </w:r>
      <w:r>
        <w:t xml:space="preserve"> </w:t>
      </w:r>
      <w:r>
        <w:t xml:space="preserve">items where the plurality is wrong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correct answer is present</w:t>
      </w:r>
      <w:r>
        <w:t xml:space="preserve"> </w:t>
      </w:r>
      <w:r>
        <w:t xml:space="preserve">in the pool: the ceiling for any label-free aggregation method, since nothing</w:t>
      </w:r>
      <w:r>
        <w:t xml:space="preserve"> </w:t>
      </w:r>
      <w:r>
        <w:t xml:space="preserve">outside it can be changed.</w:t>
      </w:r>
    </w:p>
    <w:p>
      <w:pPr>
        <w:pStyle w:val="BodyText"/>
      </w:pPr>
      <w:r>
        <w:t xml:space="preserve">The window was measured on five substrates spanning two domains</w:t>
      </w:r>
      <w:r>
        <w:t xml:space="preserve"> </w:t>
      </w:r>
      <w:r>
        <w:t xml:space="preserve">(Table </w:t>
      </w:r>
      <w:hyperlink w:anchor="tab:window">
        <w:r>
          <w:rPr>
            <w:rStyle w:val="Hyperlink"/>
          </w:rPr>
          <w:t xml:space="preserve">6</w:t>
        </w:r>
      </w:hyperlink>
      <w:r>
        <w:t xml:space="preserve">). For code generation, where an executable test suite</w:t>
      </w:r>
      <w:r>
        <w:t xml:space="preserve"> </w:t>
      </w:r>
      <w:r>
        <w:t xml:space="preserve">supplies per-sample ground truth and the window might reasonably be expected</w:t>
      </w:r>
      <w:r>
        <w:t xml:space="preserve"> </w:t>
      </w:r>
      <w:r>
        <w:t xml:space="preserve">to widen,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LeetCode Medium/Hard problems [</w:t>
      </w:r>
      <w:hyperlink w:anchor="bib:leetcodedataset">
        <w:r>
          <w:rPr>
            <w:rStyle w:val="Hyperlink"/>
          </w:rPr>
          <w:t xml:space="preserve">26</w:t>
        </w:r>
      </w:hyperlink>
      <w:r>
        <w:t xml:space="preserve">] were</w:t>
      </w:r>
      <w:r>
        <w:t xml:space="preserve"> </w:t>
      </w:r>
      <w:r>
        <w:t xml:space="preserve">solved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times each and graded against the benchmark’s hidden suites, with</w:t>
      </w:r>
      <w:r>
        <w:t xml:space="preserve"> </w:t>
      </w:r>
      <w:r>
        <w:t xml:space="preserve">the baseline taken as the largest behavioural cluster over probe inputs</w:t>
      </w:r>
      <w:r>
        <w:t xml:space="preserve"> </w:t>
      </w:r>
      <w:r>
        <w:t xml:space="preserve">without comparing them with expected outputs. The window is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=</m:t>
        </m:r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(CI</w:t>
      </w:r>
      <m:oMath>
        <m:sSub>
          <m:e>
            <m:r>
              <m:t>​</m:t>
            </m:r>
          </m:e>
          <m:sub>
            <m:r>
              <m:t>95</m:t>
            </m:r>
          </m:sub>
        </m:sSub>
      </m:oMath>
      <w:r>
        <w:t xml:space="preserve"> </w:t>
      </w:r>
      <m:oMath>
        <m:r>
          <m:t>2.6</m:t>
        </m:r>
      </m:oMath>
      <w:r>
        <w:t xml:space="preserve">–</w:t>
      </w:r>
      <m:oMath>
        <m:r>
          <m:t>19.9</m:t>
        </m:r>
        <m:r>
          <m:rPr>
            <m:sty m:val="p"/>
          </m:rPr>
          <m:t>%</m:t>
        </m:r>
      </m:oMath>
      <w:r>
        <w:t xml:space="preserve">): wider than label-free QA, but the same order, and the</w:t>
      </w:r>
      <w:r>
        <w:t xml:space="preserve"> </w:t>
      </w:r>
      <w:r>
        <w:t xml:space="preserve">composition is the same shape at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saturated,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capability wall 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rescuable, i.e. </w:t>
      </w:r>
      <m:oMath>
        <m:r>
          <m:t>75</m:t>
        </m:r>
        <m:r>
          <m:rPr>
            <m:sty m:val="p"/>
          </m:rPr>
          <m:t>/</m:t>
        </m:r>
        <m:r>
          <m:t>17.5</m:t>
        </m:r>
        <m:r>
          <m:rPr>
            <m:sty m:val="p"/>
          </m:rPr>
          <m:t>/</m:t>
        </m:r>
        <m:r>
          <m:t>7.5</m:t>
        </m:r>
        <m:r>
          <m:rPr>
            <m:sty m:val="p"/>
          </m:rPr>
          <m:t>%</m:t>
        </m:r>
      </m:oMath>
      <w:r>
        <w:t xml:space="preserve">. Nor does budget open it. The seven capability-wall problems</w:t>
      </w:r>
      <w:r>
        <w:t xml:space="preserve"> </w:t>
      </w:r>
      <w:r>
        <w:t xml:space="preserve">produced zero correct solutions in</w:t>
      </w:r>
      <w:r>
        <w:t xml:space="preserve"> </w:t>
      </w:r>
      <m:oMath>
        <m:r>
          <m:t>224</m:t>
        </m:r>
      </m:oMath>
      <w:r>
        <w:t xml:space="preserve"> </w:t>
      </w:r>
      <w:r>
        <w:t xml:space="preserve">further attempts (per-problem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upper bound on the pass rate</w:t>
      </w:r>
      <w:r>
        <w:t xml:space="preserve"> </w:t>
      </w:r>
      <m:oMath>
        <m:r>
          <m:t>0.088</m:t>
        </m:r>
      </m:oMath>
      <w:r>
        <w:t xml:space="preserve">), and extrapolating oracle@</w:t>
      </w:r>
      <m:oMath>
        <m:r>
          <m:t>N</m:t>
        </m:r>
      </m:oMath>
      <w:r>
        <w:t xml:space="preserve"> </w:t>
      </w:r>
      <w:r>
        <w:t xml:space="preserve">showed the</w:t>
      </w:r>
      <w:r>
        <w:t xml:space="preserve"> </w:t>
      </w:r>
      <w:r>
        <w:t xml:space="preserve">window saturating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</w:p>
    <w:bookmarkStart w:id="78" w:name="tab:window"/>
    <w:p>
      <w:pPr>
        <w:pStyle w:val="TableCaption"/>
      </w:pPr>
      <w:r>
        <w:t xml:space="preserve">The addressable stratum across substrates, on one definition</w:t>
      </w:r>
      <w:r>
        <w:t xml:space="preserve"> </w:t>
      </w:r>
      <w:r>
        <w:t xml:space="preserve">throughout:</w:t>
      </w:r>
      <w:r>
        <w:t xml:space="preserve"> </w:t>
      </w:r>
      <w:r>
        <w:rPr>
          <w:i/>
          <w:iCs/>
        </w:rPr>
        <w:t xml:space="preserve">decisive</w:t>
      </w:r>
      <w:r>
        <w:t xml:space="preserve"> </w:t>
      </w:r>
      <w:r>
        <w:t xml:space="preserve">is the fraction of items whose plurality is wrong,</w:t>
      </w:r>
      <w:r>
        <w:t xml:space="preserve"> </w:t>
      </w:r>
      <w:r>
        <w:rPr>
          <w:i/>
          <w:iCs/>
        </w:rPr>
        <w:t xml:space="preserve">window</w:t>
      </w:r>
      <w:r>
        <w:t xml:space="preserve"> </w:t>
      </w:r>
      <w:r>
        <w:t xml:space="preserve">(Win.) the fraction that are decisive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have the</w:t>
      </w:r>
      <w:r>
        <w:t xml:space="preserve"> </w:t>
      </w:r>
      <w:r>
        <w:t xml:space="preserve">correct answer somewhere in the pool; both in per cent. The window is the ceiling for any label-free</w:t>
      </w:r>
      <w:r>
        <w:t xml:space="preserve"> </w:t>
      </w:r>
      <w:r>
        <w:t xml:space="preserve">aggregation method. Rows marked</w:t>
      </w:r>
      <w:r>
        <w:t xml:space="preserve"> </w:t>
      </w:r>
      <m:oMath>
        <m:r>
          <m:rPr>
            <m:sty m:val="p"/>
          </m:rPr>
          <m:t>†</m:t>
        </m:r>
      </m:oMath>
      <w:r>
        <w:t xml:space="preserve"> </w:t>
      </w:r>
      <w:r>
        <w:t xml:space="preserve">are measured here; HumanEval+/MBPP+</w:t>
      </w:r>
      <w:r>
        <w:t xml:space="preserve"> </w:t>
      </w:r>
      <w:r>
        <w:t xml:space="preserve">is recomputed from published oracle-minus-selector tables, which report the</w:t>
      </w:r>
      <w:r>
        <w:t xml:space="preserve"> </w:t>
      </w:r>
      <w:r>
        <w:t xml:space="preserve">window only. As items harden the decisive fraction grows but the window does</w:t>
      </w:r>
      <w:r>
        <w:t xml:space="preserve"> </w:t>
      </w:r>
      <w:r>
        <w:t xml:space="preserve">not: they pass from saturated to capability-limited. The MATH L5 row is over</w:t>
      </w:r>
      <w:r>
        <w:t xml:space="preserve"> </w:t>
      </w:r>
      <w:r>
        <w:t xml:space="preserve">the full registered list of</w:t>
      </w:r>
      <w:r>
        <w:t xml:space="preserve"> </w:t>
      </w:r>
      <m:oMath>
        <m:r>
          <m:t>119</m:t>
        </m:r>
      </m:oMath>
      <w:r>
        <w:t xml:space="preserve"> </w:t>
      </w:r>
      <w:r>
        <w:t xml:space="preserve">items, the substrate being the object</w:t>
      </w:r>
      <w:r>
        <w:t xml:space="preserve"> </w:t>
      </w:r>
      <w:r>
        <w:t xml:space="preserve">measured; Section </w:t>
      </w:r>
      <w:hyperlink w:anchor="sec:hard">
        <w:r>
          <w:rPr>
            <w:rStyle w:val="Hyperlink"/>
          </w:rPr>
          <w:t xml:space="preserve">8.8</w:t>
        </w:r>
      </w:hyperlink>
      <w:r>
        <w:t xml:space="preserve"> </w:t>
      </w:r>
      <w:r>
        <w:t xml:space="preserve">quotes the same quantities over the</w:t>
      </w:r>
      <w:r>
        <w:t xml:space="preserve"> </w:t>
      </w:r>
      <m:oMath>
        <m:r>
          <m:t>89</m:t>
        </m:r>
      </m:oMath>
      <w:r>
        <w:t xml:space="preserve">-item</w:t>
      </w:r>
      <w:r>
        <w:t xml:space="preserve"> </w:t>
      </w:r>
      <w:r>
        <w:t xml:space="preserve">evaluation set that remains after the sign set is split off (</w:t>
      </w:r>
      <m:oMath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items, so</w:t>
      </w:r>
      <w:r>
        <w:t xml:space="preserve"> </w:t>
      </w:r>
      <m:oMath>
        <m:r>
          <m:t>11.2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4.5</m:t>
        </m:r>
      </m:oMath>
      <w:r>
        <w:t xml:space="preserve">). The last row is that same MATH L5 substrate</w:t>
      </w:r>
      <w:r>
        <w:t xml:space="preserve"> </w:t>
      </w:r>
      <w:r>
        <w:t xml:space="preserve">under the budget manipulation of Section </w:t>
      </w:r>
      <w:hyperlink w:anchor="sec:budget">
        <w:r>
          <w:rPr>
            <w:rStyle w:val="Hyperlink"/>
          </w:rPr>
          <w:t xml:space="preserve">8.10</w:t>
        </w:r>
      </w:hyperlink>
      <w:r>
        <w:t xml:space="preserve">, not a sixth</w:t>
      </w:r>
      <w:r>
        <w:t xml:space="preserve"> </w:t>
      </w:r>
      <w:r>
        <w:t xml:space="preserve">substrate: the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range quoted throughout is over the five</w:t>
      </w:r>
      <w:r>
        <w:t xml:space="preserve"> </w:t>
      </w:r>
      <w:r>
        <w:t xml:space="preserve">above it.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addressable stratum across substrates, on one definition throughout: decisive is the fraction of items whose plurality is wrong, window (Win.) the fraction that are decisive and have the correct answer somewhere in the pool; both in per cent. The window is the ceiling for any label-free aggregation method. Rows marked \dagger are measured here; HumanEval+/MBPP+ is recomputed from published oracle-minus-selector tables, which report the window only. As items harden the decisive fraction grows but the window does not: they pass from saturated to capability-limited. The MATH L5 row is over the full registered list of 119 items, the substrate being the object measured; Section 8.8 quotes the same quantities over the 89-item evaluation set that remains after the sign set is split off (10 and 4 items, so 11.2 and 4.5). The last row is that same MATH L5 substrate under the budget manipulation of Section 8.10, not a sixth substrate: the 2.5–7.5\% range quoted throughout is over the five above it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GSM8K / CSQA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9.0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4.0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 L5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7.6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2.5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AIME / AMC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23.3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3.3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HumanEval+ / MBPP+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3.6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LeetCode Med/Hard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25.0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7.5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QA, budget-capped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 L5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18.5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11.8</m:t>
              </m:r>
            </m:oMath>
          </w:p>
        </w:tc>
      </w:tr>
    </w:tbl>
    <w:bookmarkEnd w:id="78"/>
    <w:p>
      <w:pPr>
        <w:pStyle w:val="BodyText"/>
      </w:pPr>
      <w:r>
        <w:t xml:space="preserve">The grading harness was validated against the benchmark’s own</w:t>
      </w:r>
      <w:r>
        <w:t xml:space="preserve"> </w:t>
      </w:r>
      <w:r>
        <w:t xml:space="preserve">reference solutions before any candidate was scored:</w:t>
      </w:r>
      <w:r>
        <w:t xml:space="preserve"> </w:t>
      </w:r>
      <m:oMath>
        <m:r>
          <m:t>178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pass</w:t>
      </w:r>
      <w:r>
        <w:t xml:space="preserve"> </w:t>
      </w:r>
      <w:r>
        <w:t xml:space="preserve">under the sandbox’s resource limits. The check is not a formality: a sandbox whose</w:t>
      </w:r>
      <w:r>
        <w:t xml:space="preserve"> </w:t>
      </w:r>
      <w:r>
        <w:t xml:space="preserve">resource limits the host rejects outright fails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of executions, and</w:t>
      </w:r>
      <w:r>
        <w:t xml:space="preserve"> </w:t>
      </w:r>
      <w:r>
        <w:t xml:space="preserve">that condition appeared as a candidate failure. Studies that grade by execution should report their</w:t>
      </w:r>
      <w:r>
        <w:t xml:space="preserve"> </w:t>
      </w:r>
      <w:r>
        <w:t xml:space="preserve">reference-solution pass rate for the same reason a calibration curve is</w:t>
      </w:r>
      <w:r>
        <w:t xml:space="preserve"> </w:t>
      </w:r>
      <w:r>
        <w:t xml:space="preserve">reported. Without this check, candidate failures cannot be attributed to model</w:t>
      </w:r>
      <w:r>
        <w:t xml:space="preserve"> </w:t>
      </w:r>
      <w:r>
        <w:t xml:space="preserve">capability because the sandbox can produce the same observed outcome.</w:t>
      </w:r>
    </w:p>
    <w:bookmarkEnd w:id="79"/>
    <w:bookmarkStart w:id="80" w:name="sec:budget"/>
    <w:p>
      <w:pPr>
        <w:pStyle w:val="Heading2"/>
      </w:pPr>
      <w:r>
        <w:t xml:space="preserve">A third axis: reasoning budget</w:t>
      </w:r>
    </w:p>
    <w:p>
      <w:pPr>
        <w:pStyle w:val="FirstParagraph"/>
      </w:pPr>
      <w:r>
        <w:t xml:space="preserve">Difficulty is not the only way to lower per-sample accuracy. Constraining the</w:t>
      </w:r>
      <w:r>
        <w:t xml:space="preserve"> </w:t>
      </w:r>
      <w:r>
        <w:t xml:space="preserve">reasoning budget lowers it while leaving the correct answer inside the model’s</w:t>
      </w:r>
      <w:r>
        <w:t xml:space="preserve"> </w:t>
      </w:r>
      <w:r>
        <w:t xml:space="preserve">competence, which is the combination the decisive stratum needs and that</w:t>
      </w:r>
      <w:r>
        <w:t xml:space="preserve"> </w:t>
      </w:r>
      <w:r>
        <w:t xml:space="preserve">difficulty does not supply: as items harden they pass from saturated to</w:t>
      </w:r>
      <w:r>
        <w:t xml:space="preserve"> </w:t>
      </w:r>
      <w:r>
        <w:t xml:space="preserve">capability-limited without pausing in between. A paired run tests this on the</w:t>
      </w:r>
      <w:r>
        <w:t xml:space="preserve"> </w:t>
      </w:r>
      <w:r>
        <w:t xml:space="preserve">same</w:t>
      </w:r>
      <w:r>
        <w:t xml:space="preserve"> </w:t>
      </w:r>
      <m:oMath>
        <m:r>
          <m:t>119</m:t>
        </m:r>
      </m:oMath>
      <w:r>
        <w:t xml:space="preserve"> </w:t>
      </w:r>
      <w:r>
        <w:t xml:space="preserve">items, same model, same</w:t>
      </w:r>
      <w:r>
        <w:t xml:space="preserve"> </w:t>
      </w:r>
      <m:oMath>
        <m:r>
          <m:t>K</m:t>
        </m:r>
      </m:oMath>
      <w:r>
        <w:t xml:space="preserve">, with the model instructed to answer</w:t>
      </w:r>
      <w:r>
        <w:t xml:space="preserve"> </w:t>
      </w:r>
      <w:r>
        <w:t xml:space="preserve">without writing any working.</w:t>
      </w:r>
    </w:p>
    <w:p>
      <w:pPr>
        <w:pStyle w:val="BodyText"/>
      </w:pPr>
      <w:r>
        <w:t xml:space="preserve">The manipulation was weaker than pre-registered on its stated check</w:t>
      </w:r>
      <w:r>
        <w:t xml:space="preserve"> </w:t>
      </w:r>
      <w:r>
        <w:t xml:space="preserve">(per-sample accuracy</w:t>
      </w:r>
      <w:r>
        <w:t xml:space="preserve"> </w:t>
      </w:r>
      <m:oMath>
        <m:r>
          <m:t>0.853</m:t>
        </m:r>
        <m:r>
          <m:rPr>
            <m:sty m:val="p"/>
          </m:rPr>
          <m:t>→</m:t>
        </m:r>
        <m:r>
          <m:t>0.781</m:t>
        </m:r>
      </m:oMath>
      <w:r>
        <w:t xml:space="preserve">, against a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drop required) and the</w:t>
      </w:r>
      <w:r>
        <w:t xml:space="preserve"> </w:t>
      </w:r>
      <w:r>
        <w:t xml:space="preserve">correct answer did not leave the pool (</w:t>
      </w:r>
      <m:oMath>
        <m:r>
          <m:t>0.950</m:t>
        </m:r>
        <m:r>
          <m:rPr>
            <m:sty m:val="p"/>
          </m:rPr>
          <m:t>→</m:t>
        </m:r>
        <m:r>
          <m:t>0.933</m:t>
        </m:r>
      </m:oMath>
      <w:r>
        <w:t xml:space="preserve">), so what follows is</w:t>
      </w:r>
      <w:r>
        <w:t xml:space="preserve"> </w:t>
      </w:r>
      <w:r>
        <w:t xml:space="preserve">exploratory. It is reported because the constraint did not lower accuracy</w:t>
      </w:r>
      <w:r>
        <w:t xml:space="preserve"> </w:t>
      </w:r>
      <w:r>
        <w:t xml:space="preserve">uniformly, it moved items across the plurality boundary: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fell</w:t>
      </w:r>
      <w:r>
        <w:t xml:space="preserve"> </w:t>
      </w:r>
      <m:oMath>
        <m:r>
          <m:t>0.924</m:t>
        </m:r>
        <m:r>
          <m:rPr>
            <m:sty m:val="p"/>
          </m:rPr>
          <m:t>→</m:t>
        </m:r>
        <m:r>
          <m:t>0.815</m:t>
        </m:r>
      </m:oMath>
      <w:r>
        <w:t xml:space="preserve">, the window widened from</w:t>
      </w:r>
      <w:r>
        <w:t xml:space="preserve"> </w:t>
      </w:r>
      <m:oMath>
        <m:r>
          <m:t>2.5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 </w:t>
      </w:r>
      <w:r>
        <w:t xml:space="preserve">(paired exact McNemar on</w:t>
      </w:r>
      <w:r>
        <w:t xml:space="preserve"> </w:t>
      </w:r>
      <w:r>
        <w:t xml:space="preserve">window membership,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in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out,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0.0037</m:t>
        </m:r>
      </m:oMath>
      <w:r>
        <w:t xml:space="preserve">), and the channel grew</w:t>
      </w:r>
      <w:r>
        <w:t xml:space="preserve"> </w:t>
      </w:r>
      <w:r>
        <w:rPr>
          <w:i/>
          <w:iCs/>
        </w:rPr>
        <w:t xml:space="preserve">stronger</w:t>
      </w:r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t>2.69</m:t>
        </m:r>
      </m:oMath>
      <w:r>
        <w:t xml:space="preserve">) to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t>6.76</m:t>
        </m:r>
      </m:oMath>
      <w:r>
        <w:t xml:space="preserve">).</w:t>
      </w:r>
      <w:r>
        <w:t xml:space="preserve"> </w:t>
      </w:r>
      <w:r>
        <w:t xml:space="preserve">Forced to answer without working, the model’s confidence tracks whether it</w:t>
      </w:r>
      <w:r>
        <w:t xml:space="preserve"> </w:t>
      </w:r>
      <w:r>
        <w:t xml:space="preserve">happened to be right.</w:t>
      </w:r>
    </w:p>
    <w:p>
      <w:pPr>
        <w:pStyle w:val="BodyText"/>
      </w:pPr>
      <w:r>
        <w:t xml:space="preserve">This is the widest window measured anywhere in this paper, and the first</w:t>
      </w:r>
      <w:r>
        <w:t xml:space="preserve"> </w:t>
      </w:r>
      <w:r>
        <w:t xml:space="preserve">substrate on which the in-pool oracle clears the endpoint at all (</w:t>
      </w:r>
      <m:oMath>
        <m:r>
          <m:rPr>
            <m:sty m:val="p"/>
          </m:rPr>
          <m:t>+</m:t>
        </m:r>
        <m:r>
          <m:t>9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t xml:space="preserve"> </w:t>
      </w:r>
      <w:r>
        <w:t xml:space="preserve">on a decisive stratum of</w:t>
      </w:r>
      <w:r>
        <w:t xml:space="preserve"> </w:t>
      </w:r>
      <m:oMath>
        <m:r>
          <m:t>17</m:t>
        </m:r>
      </m:oMath>
      <w:r>
        <w:t xml:space="preserve">).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nonetheless returned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: only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items survived the margin gate against the threshold of</w:t>
      </w:r>
      <w:r>
        <w:t xml:space="preserve"> </w:t>
      </w:r>
      <m:oMath>
        <m:r>
          <m:t>30</m:t>
        </m:r>
      </m:oMath>
      <w:r>
        <w:t xml:space="preserve">, so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z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fired. This is the same item-supply condition,</w:t>
      </w:r>
      <w:r>
        <w:t xml:space="preserve"> </w:t>
      </w:r>
      <w:r>
        <w:t xml:space="preserve">with the quantile cut at</w:t>
      </w:r>
      <w:r>
        <w:t xml:space="preserve"> </w:t>
      </w:r>
      <m:oMath>
        <m:r>
          <m:t>0.875</m:t>
        </m:r>
      </m:oMath>
      <w:r>
        <w:t xml:space="preserve"> </w:t>
      </w:r>
      <w:r>
        <w:t xml:space="preserve">and the gated set again non-empty. It differs</w:t>
      </w:r>
      <w:r>
        <w:t xml:space="preserve"> </w:t>
      </w:r>
      <w:r>
        <w:t xml:space="preserve">from the degenerate quantile case in the planted-sensitivity replay. That abstention is testable,</w:t>
      </w:r>
      <w:r>
        <w:t xml:space="preserve"> </w:t>
      </w:r>
      <w:r>
        <w:t xml:space="preserve">and it cost nothing. Estimating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from gold labels, an upper bound no</w:t>
      </w:r>
      <w:r>
        <w:t xml:space="preserve"> </w:t>
      </w:r>
      <w:r>
        <w:t xml:space="preserve">deployable method has access to, the best available is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0.19</m:t>
        </m:r>
      </m:oMath>
      <w:r>
        <w:t xml:space="preserve">); the derived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0.670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+</m:t>
        </m:r>
        <m:r>
          <m:t>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. The gap that matters is</w:t>
      </w:r>
      <w:r>
        <w:t xml:space="preserve"> </w:t>
      </w:r>
      <w:r>
        <w:t xml:space="preserve">therefore not the one the window closes. Even with the window at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an oracle able to convert nine items, confidence weighting reaches fewer than</w:t>
      </w:r>
      <w:r>
        <w:t xml:space="preserve"> </w:t>
      </w:r>
      <w:r>
        <w:t xml:space="preserve">half of them, and none of the reachable configurations reaches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.</w:t>
      </w:r>
    </w:p>
    <w:bookmarkEnd w:id="80"/>
    <w:bookmarkEnd w:id="81"/>
    <w:bookmarkStart w:id="82" w:name="sec:limits"/>
    <w:p>
      <w:pPr>
        <w:pStyle w:val="Heading1"/>
      </w:pPr>
      <w:r>
        <w:t xml:space="preserve">Discussion and Limitations</w:t>
      </w:r>
    </w:p>
    <w:p>
      <w:pPr>
        <w:pStyle w:val="FirstParagraph"/>
      </w:pPr>
      <w:r>
        <w:rPr>
          <w:b/>
          <w:bCs/>
        </w:rPr>
        <w:t xml:space="preserve">What the evidence does and does not show.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claims are all on a synthetic oracle whose confidence model</w:t>
      </w:r>
      <w:r>
        <w:t xml:space="preserve"> </w:t>
      </w:r>
      <w:hyperlink w:anchor="eq:confmodel">
        <w:r>
          <w:rPr>
            <w:rStyle w:val="Hyperlink"/>
          </w:rPr>
          <w:t xml:space="preserve">[eq:confmodel]</w:t>
        </w:r>
      </w:hyperlink>
      <w:r>
        <w:t xml:space="preserve"> </w:t>
      </w:r>
      <w:r>
        <w:t xml:space="preserve">is, at the homogeneous cells, the very coupling the estimator measures. Three design choices limit the circularity, and the first is weaker than it</w:t>
      </w:r>
      <w:r>
        <w:t xml:space="preserve"> </w:t>
      </w:r>
      <w:r>
        <w:t xml:space="preserve">looks: heterogeneity and echo lie outside the estimator’s working model, but</w:t>
      </w:r>
      <w:r>
        <w:t xml:space="preserve"> </w:t>
      </w:r>
      <w:r>
        <w:t xml:space="preserve">the three distortion cells are rank-preserving by construction and therefore</w:t>
      </w:r>
      <w:r>
        <w:t xml:space="preserve"> </w:t>
      </w:r>
      <w:r>
        <w:t xml:space="preserve">sit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rPr>
          <w:smallCaps/>
        </w:rPr>
        <w:t xml:space="preserve">tact</w:t>
      </w:r>
      <w:r>
        <w:t xml:space="preserve">’s own invariance group, so passing them shows only that the</w:t>
      </w:r>
      <w:r>
        <w:t xml:space="preserve"> </w:t>
      </w:r>
      <w:r>
        <w:t xml:space="preserve">implementation respects an invariance it was built to have; mechanism-recovery claims (does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track</w:t>
      </w:r>
      <w:r>
        <w:t xml:space="preserve"> </w:t>
      </w:r>
      <m:oMath>
        <m:r>
          <m:t>κ</m:t>
        </m:r>
      </m:oMath>
      <w:r>
        <w:t xml:space="preserve">?) are reported separately from accuracy claims; and the pre-measured baseline landscape (Fig. </w:t>
      </w:r>
      <w:hyperlink w:anchor="fig:baselines">
        <w:r>
          <w:rPr>
            <w:rStyle w:val="Hyperlink"/>
          </w:rPr>
          <w:t xml:space="preserve">1</w:t>
        </w:r>
      </w:hyperlink>
      <w:r>
        <w:t xml:space="preserve">) fixed the winnable cells before the method existed. The real-trace campaigns of Sections </w:t>
      </w:r>
      <w:hyperlink w:anchor="sec:real">
        <w:r>
          <w:rPr>
            <w:rStyle w:val="Hyperlink"/>
          </w:rPr>
          <w:t xml:space="preserve">8.7</w:t>
        </w:r>
      </w:hyperlink>
      <w:r>
        <w:t xml:space="preserve"> </w:t>
      </w:r>
      <w:r>
        <w:t xml:space="preserve">and </w:t>
      </w:r>
      <w:hyperlink w:anchor="sec:hard">
        <w:r>
          <w:rPr>
            <w:rStyle w:val="Hyperlink"/>
          </w:rPr>
          <w:t xml:space="preserve">8.8</w:t>
        </w:r>
      </w:hyperlink>
      <w:r>
        <w:t xml:space="preserve"> </w:t>
      </w:r>
      <w:r>
        <w:t xml:space="preserve">test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abstention behaviour</w:t>
      </w:r>
      <w:r>
        <w:t xml:space="preserve">, and both predictions held: the channel is null on saturated benchmarks and positive on competition mathematics, and the dead zone kept the vote bit-identical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in each case. They do not test the accuracy claim, because on neither substrate was the addressable stratum large enough for any method to demonstrate a gain (Section </w:t>
      </w:r>
      <w:hyperlink w:anchor="sec:window">
        <w:r>
          <w:rPr>
            <w:rStyle w:val="Hyperlink"/>
          </w:rPr>
          <w:t xml:space="preserve">8.9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Narrow margins where labels abound.</w:t>
      </w:r>
      <w:r>
        <w:t xml:space="preserve"> </w:t>
      </w:r>
      <w:r>
        <w:t xml:space="preserve">When labels are plentiful and the confidence scale is trusted, a dev-picked signed grid captures most of the value;</w:t>
      </w:r>
      <w:r>
        <w:t xml:space="preserve"> </w:t>
      </w:r>
      <w:r>
        <w:rPr>
          <w:smallCaps/>
        </w:rPr>
        <w:t xml:space="preserve">tact</w:t>
      </w:r>
      <w:r>
        <w:t xml:space="preserve">’s case rests on the label-free setting, distorted scales, small dev sets, and the exactness of its anchors.</w:t>
      </w:r>
    </w:p>
    <w:p>
      <w:pPr>
        <w:pStyle w:val="BodyText"/>
      </w:pPr>
      <w:r>
        <w:rPr>
          <w:b/>
          <w:bCs/>
        </w:rPr>
        <w:t xml:space="preserve">Conditional label-free guarantee, and what happens past the boundary.</w:t>
      </w:r>
      <w:r>
        <w:t xml:space="preserve"> </w:t>
      </w:r>
      <w:r>
        <w:t xml:space="preserve">Proposition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requires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after deduplication, and the</w:t>
      </w:r>
      <w:r>
        <w:t xml:space="preserve"> </w:t>
      </w:r>
      <w:r>
        <w:t xml:space="preserve">confident-echo ambiguity is fundamental (Proposition 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).</w:t>
      </w:r>
      <w:r>
        <w:t xml:space="preserve"> </w:t>
      </w:r>
      <w:r>
        <w:t xml:space="preserve">Follow-on work measured the consequence of crossing that boundary, and it is</w:t>
      </w:r>
      <w:r>
        <w:t xml:space="preserve"> </w:t>
      </w:r>
      <w:r>
        <w:t xml:space="preserve">worse than under-trust. In a</w:t>
      </w:r>
      <w:r>
        <w:t xml:space="preserve"> </w:t>
      </w:r>
      <w:r>
        <w:rPr>
          <w:i/>
          <w:iCs/>
        </w:rPr>
        <w:t xml:space="preserve">paraphrased</w:t>
      </w:r>
      <w:r>
        <w:t xml:space="preserve"> </w:t>
      </w:r>
      <w:r>
        <w:t xml:space="preserve">wrong-majority cell (a dominant</w:t>
      </w:r>
      <w:r>
        <w:t xml:space="preserve"> </w:t>
      </w:r>
      <w:r>
        <w:t xml:space="preserve">wrong cluster that is semantically tight but carries no verbatim signature, so</w:t>
      </w:r>
      <w:r>
        <w:t xml:space="preserve"> </w:t>
      </w:r>
      <w:r>
        <w:t xml:space="preserve">deduplication has nothing to collapse) the plurality is wrong on most items,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  <w:r>
        <w:t xml:space="preserve"> </w:t>
      </w:r>
      <w:r>
        <w:rPr>
          <w:smallCaps/>
        </w:rPr>
        <w:t xml:space="preserve">tact</w:t>
      </w:r>
      <w:r>
        <w:t xml:space="preserve">-LF does not merely shrink toward</w:t>
      </w:r>
      <w:r>
        <w:t xml:space="preserve"> </w:t>
      </w:r>
      <w:r>
        <w:rPr>
          <w:smallCaps/>
        </w:rPr>
        <w:t xml:space="preserve">sc</w:t>
      </w:r>
      <w:r>
        <w:t xml:space="preserve">: it</w:t>
      </w:r>
      <w:r>
        <w:t xml:space="preserve"> </w:t>
      </w:r>
      <w:r>
        <w:rPr>
          <w:i/>
          <w:iCs/>
        </w:rPr>
        <w:t xml:space="preserve">mis-signs</w:t>
      </w:r>
      <w:r>
        <w:t xml:space="preserve">, saturates 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2.0</m:t>
        </m:r>
      </m:oMath>
      <w:r>
        <w:t xml:space="preserve">, and scores</w:t>
      </w:r>
      <w:r>
        <w:t xml:space="preserve"> </w:t>
      </w:r>
      <m:oMath>
        <m:r>
          <m:t>0.000</m:t>
        </m:r>
      </m:oMath>
      <w:r>
        <w:t xml:space="preserve"> </w:t>
      </w:r>
      <w:r>
        <w:t xml:space="preserve">against an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of</w:t>
      </w:r>
      <w:r>
        <w:t xml:space="preserve"> </w:t>
      </w:r>
      <m:oMath>
        <m:r>
          <m:t>0.340</m:t>
        </m:r>
      </m:oMath>
      <w:r>
        <w:t xml:space="preserve">. None of the four alarms fires, because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keys on</w:t>
      </w:r>
      <w:r>
        <w:t xml:space="preserve"> </w:t>
      </w:r>
      <w:r>
        <w:t xml:space="preserve">verbatim duplication which is absent by construction. This is the method’s</w:t>
      </w:r>
      <w:r>
        <w:t xml:space="preserve"> </w:t>
      </w:r>
      <w:r>
        <w:t xml:space="preserve">sharpest unguarded failure mode: the guarantee is conditional, the condition is</w:t>
      </w:r>
      <w:r>
        <w:t xml:space="preserve"> </w:t>
      </w:r>
      <w:r>
        <w:t xml:space="preserve">not observable label-free, and the existing diagnostics do not detect its</w:t>
      </w:r>
      <w:r>
        <w:t xml:space="preserve"> </w:t>
      </w:r>
      <w:r>
        <w:t xml:space="preserve">violation. Where a systematically wrong majority is plausible, the</w:t>
      </w:r>
      <w:r>
        <w:t xml:space="preserve"> </w:t>
      </w:r>
      <w:r>
        <w:t xml:space="preserve">semi-label-free mode uses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</m:oMath>
      <w:r>
        <w:t xml:space="preserve"> </w:t>
      </w:r>
      <w:r>
        <w:t xml:space="preserve">labels to identify the sign; the fully</w:t>
      </w:r>
      <w:r>
        <w:t xml:space="preserve"> </w:t>
      </w:r>
      <w:r>
        <w:t xml:space="preserve">label-free path has no corresponding guard. A second possible remedy is semantic</w:t>
      </w:r>
      <w:r>
        <w:t xml:space="preserve"> </w:t>
      </w:r>
      <w:r>
        <w:t xml:space="preserve">clustering. It is not evaluated here, although the failure is driven by a semantically tight wrong cluster that</w:t>
      </w:r>
      <w:r>
        <w:t xml:space="preserve"> </w:t>
      </w:r>
      <w:r>
        <w:t xml:space="preserve">lexical deduplication cannot see, which is precisely what semantic-equivalence</w:t>
      </w:r>
      <w:r>
        <w:t xml:space="preserve"> </w:t>
      </w:r>
      <w:r>
        <w:t xml:space="preserve">clustering [</w:t>
      </w:r>
      <w:hyperlink w:anchor="bib:kuhn2023semantic">
        <w:r>
          <w:rPr>
            <w:rStyle w:val="Hyperlink"/>
          </w:rPr>
          <w:t xml:space="preserve">27</w:t>
        </w:r>
      </w:hyperlink>
      <w:r>
        <w:t xml:space="preserve">] is built to collapse. Substituting a</w:t>
      </w:r>
      <w:r>
        <w:t xml:space="preserve"> </w:t>
      </w:r>
      <w:r>
        <w:t xml:space="preserve">semantic pseudo-label for the lexical one is the obvious next guard, and this</w:t>
      </w:r>
      <w:r>
        <w:t xml:space="preserve"> </w:t>
      </w:r>
      <w:r>
        <w:t xml:space="preserve">paper does not test it.</w:t>
      </w:r>
    </w:p>
    <w:p>
      <w:pPr>
        <w:pStyle w:val="BodyText"/>
      </w:pPr>
      <w:r>
        <w:rPr>
          <w:b/>
          <w:bCs/>
        </w:rPr>
        <w:t xml:space="preserve">Global exponent per group.</w:t>
      </w:r>
      <w:r>
        <w:t xml:space="preserve"> </w:t>
      </w:r>
      <w:r>
        <w:t xml:space="preserve">Within a group,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ships one exponent; per-item variation inside a group is unexploitable by Propositions </w:t>
      </w:r>
      <w:hyperlink w:anchor="prop:selfreinf">
        <w:r>
          <w:rPr>
            <w:rStyle w:val="Hyperlink"/>
          </w:rPr>
          <w:t xml:space="preserve">5</w:t>
        </w:r>
      </w:hyperlink>
      <w:r>
        <w:t xml:space="preserve">–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unless further covariates exist.</w:t>
      </w:r>
    </w:p>
    <w:p>
      <w:pPr>
        <w:pStyle w:val="BodyText"/>
      </w:pPr>
      <w:r>
        <w:rPr>
          <w:b/>
          <w:bCs/>
        </w:rPr>
        <w:t xml:space="preserve">The thin-window phenomenon.</w:t>
      </w:r>
      <w:r>
        <w:t xml:space="preserve"> </w:t>
      </w:r>
      <w:r>
        <w:t xml:space="preserve">Section </w:t>
      </w:r>
      <w:hyperlink w:anchor="sec:window">
        <w:r>
          <w:rPr>
            <w:rStyle w:val="Hyperlink"/>
          </w:rPr>
          <w:t xml:space="preserve">8.9</w:t>
        </w:r>
      </w:hyperlink>
      <w:r>
        <w:t xml:space="preserve"> </w:t>
      </w:r>
      <w:r>
        <w:t xml:space="preserve">measures the stratum this</w:t>
      </w:r>
      <w:r>
        <w:t xml:space="preserve"> </w:t>
      </w:r>
      <w:r>
        <w:t xml:space="preserve">whole family of methods can act on at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across all five</w:t>
      </w:r>
      <w:r>
        <w:t xml:space="preserve"> </w:t>
      </w:r>
      <w:r>
        <w:t xml:space="preserve">substrates, in two domains, with no widening as items harden: they pass from</w:t>
      </w:r>
      <w:r>
        <w:t xml:space="preserve"> </w:t>
      </w:r>
      <w:r>
        <w:t xml:space="preserve">saturated straight to capability-limited. At these widths, the real campaigns</w:t>
      </w:r>
      <w:r>
        <w:t xml:space="preserve"> </w:t>
      </w:r>
      <w:r>
        <w:t xml:space="preserve">provide no evidence for changing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decision. Best-single-confidence,</w:t>
      </w:r>
      <w:r>
        <w:t xml:space="preserve"> </w:t>
      </w:r>
      <w:r>
        <w:t xml:space="preserve">which uses the confidence channel on every item, loses</w:t>
      </w:r>
      <w:r>
        <w:t xml:space="preserve"> </w:t>
      </w:r>
      <m:oMath>
        <m:r>
          <m:t>4.5</m:t>
        </m:r>
      </m:oMath>
      <w:r>
        <w:t xml:space="preserve"> </w:t>
      </w:r>
      <w:r>
        <w:t xml:space="preserve">points in Table </w:t>
      </w:r>
      <w:hyperlink w:anchor="tab:hard">
        <w:r>
          <w:rPr>
            <w:rStyle w:val="Hyperlink"/>
          </w:rPr>
          <w:t xml:space="preserve">5</w:t>
        </w:r>
      </w:hyperlink>
      <w:r>
        <w:t xml:space="preserve">,</w:t>
      </w:r>
      <w:r>
        <w:t xml:space="preserve"> </w:t>
      </w:r>
      <w:r>
        <w:t xml:space="preserve">while the dead zone holds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floor. A synthetic gain of the</w:t>
      </w:r>
      <w:r>
        <w:t xml:space="preserve"> </w:t>
      </w:r>
      <w:r>
        <w:t xml:space="preserve">reported size is also not measurable on a benchmark of a few hundred items.</w:t>
      </w:r>
      <w:r>
        <w:t xml:space="preserve"> </w:t>
      </w:r>
      <w:r>
        <w:t xml:space="preserve">The real-trace claim is therefore limited to signed channel measurement and</w:t>
      </w:r>
      <w:r>
        <w:t xml:space="preserve"> </w:t>
      </w:r>
      <w:r>
        <w:t xml:space="preserve">the observed abstention behaviour. Demonstrating an accuracy gain needs a (model, benchmark)</w:t>
      </w:r>
      <w:r>
        <w:t xml:space="preserve"> </w:t>
      </w:r>
      <w:r>
        <w:t xml:space="preserve">pair whose plurality is wrong on</w:t>
      </w:r>
      <w:r>
        <w:t xml:space="preserve"> </w:t>
      </w:r>
      <m:oMath>
        <m:r>
          <m:t>30</m:t>
        </m:r>
      </m:oMath>
      <w:r>
        <w:t xml:space="preserve">–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with the correct answer</w:t>
      </w:r>
      <w:r>
        <w:t xml:space="preserve"> </w:t>
      </w:r>
      <w:r>
        <w:t xml:space="preserve">still reachable, and no pair tried here satisfies both.</w:t>
      </w:r>
      <w:r>
        <w:t xml:space="preserve"> </w:t>
      </w:r>
      <w:r>
        <w:t xml:space="preserve">Section </w:t>
      </w:r>
      <w:hyperlink w:anchor="sec:budget">
        <w:r>
          <w:rPr>
            <w:rStyle w:val="Hyperlink"/>
          </w:rPr>
          <w:t xml:space="preserve">8.10</w:t>
        </w:r>
      </w:hyperlink>
      <w:r>
        <w:t xml:space="preserve"> </w:t>
      </w:r>
      <w:r>
        <w:t xml:space="preserve">widens the window to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, with an oracle able to</w:t>
      </w:r>
      <w:r>
        <w:t xml:space="preserve"> </w:t>
      </w:r>
      <w:r>
        <w:t xml:space="preserve">convert nine items, yet confidence weighting reaches fewer than half of them.</w:t>
      </w:r>
      <w:r>
        <w:t xml:space="preserve"> </w:t>
      </w:r>
      <w:r>
        <w:t xml:space="preserve">Both window width and conversion efficiency constrain the measured gain.</w:t>
      </w:r>
    </w:p>
    <w:p>
      <w:pPr>
        <w:pStyle w:val="BodyText"/>
      </w:pPr>
      <w:r>
        <w:rPr>
          <w:b/>
          <w:bCs/>
        </w:rPr>
        <w:t xml:space="preserve">Widening the window on purpose.</w:t>
      </w:r>
      <w:r>
        <w:t xml:space="preserve"> </w:t>
      </w:r>
      <w:r>
        <w:t xml:space="preserve">That result also names the most</w:t>
      </w:r>
      <w:r>
        <w:t xml:space="preserve"> </w:t>
      </w:r>
      <w:r>
        <w:t xml:space="preserve">promising direction the paper does not pursue. Difficulty moves items from</w:t>
      </w:r>
      <w:r>
        <w:t xml:space="preserve"> </w:t>
      </w:r>
      <w:r>
        <w:t xml:space="preserve">saturated straight to capability-limited, but the budget constraint of</w:t>
      </w:r>
      <w:r>
        <w:t xml:space="preserve"> </w:t>
      </w:r>
      <w:r>
        <w:t xml:space="preserve">Section </w:t>
      </w:r>
      <w:hyperlink w:anchor="sec:budget">
        <w:r>
          <w:rPr>
            <w:rStyle w:val="Hyperlink"/>
          </w:rPr>
          <w:t xml:space="preserve">8.10</w:t>
        </w:r>
      </w:hyperlink>
      <w:r>
        <w:t xml:space="preserve"> </w:t>
      </w:r>
      <w:r>
        <w:t xml:space="preserve">moved them across the plurality boundary while leaving</w:t>
      </w:r>
      <w:r>
        <w:t xml:space="preserve"> </w:t>
      </w:r>
      <w:r>
        <w:t xml:space="preserve">the answer inside the model’s competence, which is the combination the decisive</w:t>
      </w:r>
      <w:r>
        <w:t xml:space="preserve"> </w:t>
      </w:r>
      <w:r>
        <w:t xml:space="preserve">stratum needs; sampling temperature is a second knob with the same character,</w:t>
      </w:r>
      <w:r>
        <w:t xml:space="preserve"> </w:t>
      </w:r>
      <w:r>
        <w:t xml:space="preserve">and neither was swept. If the sampling regime is a controllable input, not a fixed property</w:t>
      </w:r>
      <w:r>
        <w:t xml:space="preserve"> </w:t>
      </w:r>
      <w:r>
        <w:t xml:space="preserve">of the substrate, the question changes from</w:t>
      </w:r>
      <w:r>
        <w:t xml:space="preserve"> </w:t>
      </w:r>
      <w:r>
        <w:t xml:space="preserve">“how wide is</w:t>
      </w:r>
      <w:r>
        <w:t xml:space="preserve"> </w:t>
      </w:r>
      <w:r>
        <w:t xml:space="preserve">the window?”</w:t>
      </w:r>
      <w:r>
        <w:t xml:space="preserve"> </w:t>
      </w:r>
      <w:r>
        <w:t xml:space="preserve">to</w:t>
      </w:r>
      <w:r>
        <w:t xml:space="preserve"> </w:t>
      </w:r>
      <w:r>
        <w:t xml:space="preserve">“what decoding configuration puts the most items in it, at</w:t>
      </w:r>
      <w:r>
        <w:t xml:space="preserve"> </w:t>
      </w:r>
      <w:r>
        <w:t xml:space="preserve">what accuracy cost, and does the confidence channel stay signed there?”</w:t>
      </w:r>
      <w:r>
        <w:t xml:space="preserve"> </w:t>
      </w:r>
      <w:r>
        <w:t xml:space="preserve">The</w:t>
      </w:r>
      <w:r>
        <w:t xml:space="preserve"> </w:t>
      </w:r>
      <w:r>
        <w:t xml:space="preserve">budget arm answers the first part once and suggests the channel gets</w:t>
      </w:r>
      <w:r>
        <w:t xml:space="preserve"> </w:t>
      </w:r>
      <w:r>
        <w:rPr>
          <w:i/>
          <w:iCs/>
        </w:rPr>
        <w:t xml:space="preserve">stronger</w:t>
      </w:r>
      <w:r>
        <w:t xml:space="preserve"> </w:t>
      </w:r>
      <w:r>
        <w:t xml:space="preserve">under the constraint (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t xml:space="preserve">), which</w:t>
      </w:r>
      <w:r>
        <w:t xml:space="preserve"> </w:t>
      </w:r>
      <w:r>
        <w:t xml:space="preserve">would be worth confirming on more than one substrate before it is believed. A</w:t>
      </w:r>
      <w:r>
        <w:t xml:space="preserve"> </w:t>
      </w:r>
      <w:r>
        <w:t xml:space="preserve">method that chose its own decoding budget to maximise decisive-stratum mass,</w:t>
      </w:r>
      <w:r>
        <w:t xml:space="preserve"> </w:t>
      </w:r>
      <w:r>
        <w:t xml:space="preserve">then aggregated, would be a different contribution from this one, and the</w:t>
      </w:r>
      <w:r>
        <w:t xml:space="preserve"> </w:t>
      </w:r>
      <w:r>
        <w:t xml:space="preserve">measurement here is what makes it worth attempting.</w:t>
      </w:r>
    </w:p>
    <w:bookmarkEnd w:id="82"/>
    <w:bookmarkStart w:id="83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rPr>
          <w:smallCaps/>
        </w:rPr>
        <w:t xml:space="preserve">tact</w:t>
      </w:r>
      <w:r>
        <w:t xml:space="preserve"> </w:t>
      </w:r>
      <w:r>
        <w:t xml:space="preserve">estimates a signed, uncertainty-aware scalar for confidence-weighted</w:t>
      </w:r>
      <w:r>
        <w:t xml:space="preserve"> </w:t>
      </w:r>
      <w:r>
        <w:t xml:space="preserve">self-consistency and can recover its sign without labels under the stated</w:t>
      </w:r>
      <w:r>
        <w:t xml:space="preserve"> </w:t>
      </w:r>
      <w:r>
        <w:t xml:space="preserve">class-conditional-noise condition. Across five substrates in two domains, only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fall within the stratum where label-free aggregation</w:t>
      </w:r>
      <w:r>
        <w:t xml:space="preserve"> </w:t>
      </w:r>
      <w:r>
        <w:t xml:space="preserve">could change an incorrect plurality to the correct in-pool answer. Neither</w:t>
      </w:r>
      <w:r>
        <w:t xml:space="preserve"> </w:t>
      </w:r>
      <w:r>
        <w:t xml:space="preserve">real-trace campaign provides enough such items for the in-pool oracle to clear</w:t>
      </w:r>
      <w:r>
        <w:t xml:space="preserve"> </w:t>
      </w:r>
      <w:r>
        <w:t xml:space="preserve">the pre-registered accuracy endpoint. In both campaigns, the dead zone sets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reproduces the corresponding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decisions.</w:t>
      </w:r>
    </w:p>
    <w:bookmarkEnd w:id="83"/>
    <w:bookmarkStart w:id="85" w:name="code-and-data-availability"/>
    <w:p>
      <w:pPr>
        <w:pStyle w:val="Heading1"/>
      </w:pPr>
      <w:r>
        <w:t xml:space="preserve">Code and Data Availability</w:t>
      </w:r>
    </w:p>
    <w:p>
      <w:pPr>
        <w:pStyle w:val="FirstParagraph"/>
      </w:pPr>
      <w:r>
        <w:t xml:space="preserve">All code, cached traces, and the JSON artifacts behind every table are at</w:t>
      </w:r>
      <w:r>
        <w:t xml:space="preserve"> </w:t>
      </w:r>
      <w:hyperlink r:id="rId84">
        <w:r>
          <w:rPr>
            <w:rStyle w:val="Hyperlink"/>
          </w:rPr>
          <w:t xml:space="preserve">https://github.com/vito1317/adaptive-reasoning-consensus</w:t>
        </w:r>
      </w:hyperlink>
      <w:r>
        <w:t xml:space="preserve">. Table </w:t>
      </w:r>
      <w:hyperlink w:anchor="tab:tests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is produced by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at commit</w:t>
      </w:r>
      <w:r>
        <w:t xml:space="preserve"> </w:t>
      </w:r>
      <w:r>
        <w:rPr>
          <w:rStyle w:val="VerbatimChar"/>
        </w:rPr>
        <w:t xml:space="preserve">5f14b20</w:t>
      </w:r>
      <w:r>
        <w:t xml:space="preserve">; the synthetic results by</w:t>
      </w:r>
      <w:r>
        <w:t xml:space="preserve"> </w:t>
      </w:r>
      <w:r>
        <w:rPr>
          <w:rStyle w:val="VerbatimChar"/>
        </w:rPr>
        <w:t xml:space="preserve">experiments/run_tact_eval.py</w:t>
      </w:r>
      <w:r>
        <w:t xml:space="preserve">, the real-trace campaigns by</w:t>
      </w:r>
      <w:r>
        <w:t xml:space="preserve"> </w:t>
      </w:r>
      <w:r>
        <w:rPr>
          <w:rStyle w:val="VerbatimChar"/>
        </w:rPr>
        <w:t xml:space="preserve">run_tact_hard_eval.py</w:t>
      </w:r>
      <w:r>
        <w:t xml:space="preserve">, and the window measurements by</w:t>
      </w:r>
      <w:r>
        <w:t xml:space="preserve"> </w:t>
      </w:r>
      <w:r>
        <w:rPr>
          <w:rStyle w:val="VerbatimChar"/>
        </w:rPr>
        <w:t xml:space="preserve">run_g1_window.py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run_g1_deepening.py</w:t>
      </w:r>
      <w:r>
        <w:t xml:space="preserve">; the three</w:t>
      </w:r>
      <w:r>
        <w:t xml:space="preserve"> </w:t>
      </w:r>
      <w:r>
        <w:t xml:space="preserve">abstention replays of finding (e) by</w:t>
      </w:r>
      <w:r>
        <w:t xml:space="preserve"> </w:t>
      </w:r>
      <w:r>
        <w:rPr>
          <w:rStyle w:val="VerbatimChar"/>
        </w:rPr>
        <w:t xml:space="preserve">run_abstention_identifiability.py</w:t>
      </w:r>
      <w:r>
        <w:t xml:space="preserve">;</w:t>
      </w:r>
      <w:r>
        <w:t xml:space="preserve"> </w:t>
      </w:r>
      <w:r>
        <w:t xml:space="preserve">the planted-channel operating characteristic of finding (f) by</w:t>
      </w:r>
      <w:r>
        <w:t xml:space="preserve"> </w:t>
      </w:r>
      <w:r>
        <w:rPr>
          <w:rStyle w:val="VerbatimChar"/>
        </w:rPr>
        <w:t xml:space="preserve">run_planted_sensitivity.py</w:t>
      </w:r>
      <w:r>
        <w:t xml:space="preserve">.</w:t>
      </w:r>
      <w:r>
        <w:t xml:space="preserve"> </w:t>
      </w:r>
      <w:r>
        <w:t xml:space="preserve">Each script</w:t>
      </w:r>
      <w:r>
        <w:t xml:space="preserve"> </w:t>
      </w:r>
      <w:r>
        <w:t xml:space="preserve">writes the artifact its table cites. Figures </w:t>
      </w:r>
      <w:hyperlink w:anchor="fig:baselines">
        <w:r>
          <w:rPr>
            <w:rStyle w:val="Hyperlink"/>
          </w:rPr>
          <w:t xml:space="preserve">1</w:t>
        </w:r>
      </w:hyperlink>
      <w:r>
        <w:t xml:space="preserve">–</w:t>
      </w:r>
      <w:hyperlink w:anchor="fig:group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are vector output from</w:t>
      </w:r>
      <w:r>
        <w:t xml:space="preserve"> </w:t>
      </w:r>
      <w:r>
        <w:rPr>
          <w:rStyle w:val="VerbatimChar"/>
        </w:rPr>
        <w:t xml:space="preserve">experiments/make_paper_figures.py</w:t>
      </w:r>
      <w:r>
        <w:t xml:space="preserve">, which reads</w:t>
      </w:r>
      <w:r>
        <w:t xml:space="preserve"> </w:t>
      </w:r>
      <w:r>
        <w:t xml:space="preserve">the same JSON.</w:t>
      </w:r>
    </w:p>
    <w:bookmarkEnd w:id="85"/>
    <w:bookmarkStart w:id="87" w:name="app:notation"/>
    <w:p>
      <w:pPr>
        <w:pStyle w:val="Heading1"/>
      </w:pPr>
      <w:r>
        <w:t xml:space="preserve">Notation</w:t>
      </w:r>
    </w:p>
    <w:bookmarkStart w:id="86" w:name="tab:notation"/>
    <w:p>
      <w:pPr>
        <w:pStyle w:val="TableCaption"/>
      </w:pPr>
      <w:r>
        <w:t xml:space="preserve">Symbols, in order of first use. Quantities carrying a subscript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per item; the estimator ships one global scalar unless a group covariate is</w:t>
      </w:r>
      <w:r>
        <w:t xml:space="preserve"> </w:t>
      </w:r>
      <w:r>
        <w:t xml:space="preserve">available (Section </w:t>
      </w:r>
      <w:hyperlink w:anchor="sec:hetero">
        <w:r>
          <w:rPr>
            <w:rStyle w:val="Hyperlink"/>
          </w:rPr>
          <w:t xml:space="preserve">6</w:t>
        </w:r>
      </w:hyperlink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ymbols, in order of first use. Quantities carrying a subscript q are per item; the estimator ships one global scalar unless a group covariate is available (Section 6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item index; number of items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traces available for item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; voting budget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answer of trace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 the correct answer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self-reported confidence,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]</m:t>
              </m:r>
            </m:oMath>
            <w:r>
              <w:t xml:space="preserve">; unobservable at test time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base rate of correct traces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within-item midrank of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(ties averaged)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standardized van der Waerden score of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; the vote feature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realized within-item SD of the normal scores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γ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vote exponent; its cap (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dev,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label-free)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returned answer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Somers’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within item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</m:t>
              </m:r>
              <m:r>
                <m:t xml:space="preserve"> </m:t>
              </m:r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C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 xml:space="preserve"> </m:t>
              </m:r>
              <m:sSub>
                <m:e>
                  <m:r>
                    <m:rPr>
                      <m:sty m:val="p"/>
                    </m:rPr>
                    <m:t>W</m:t>
                  </m:r>
                  <m:r>
                    <m:rPr>
                      <m:sty m:val="p"/>
                    </m:rPr>
                    <m:t>Q</m:t>
                  </m:r>
                  <m:r>
                    <m:rPr>
                      <m:sty m:val="p"/>
                    </m:rP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van Elteren pooling weight,</w:t>
            </w:r>
            <w:r>
              <w:t xml:space="preserve"> </w:t>
            </w:r>
            <m:oMath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pooled signed discrimination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exact tie-corrected null SE; delete-one-item jackknife SE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ζ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  <w:r>
              <w:t xml:space="preserve">; the dead zone is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ζ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r>
                <m:t>ν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ν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significance floor (</w:t>
            </w:r>
            <m:oMath>
              <m:r>
                <m:t>1.28</m:t>
              </m:r>
            </m:oMath>
            <w:r>
              <w:t xml:space="preserve"> </w:t>
            </w:r>
            <w:r>
              <w:t xml:space="preserve">dev,</w:t>
            </w:r>
            <w:r>
              <w:t xml:space="preserve"> </w:t>
            </w:r>
            <m:oMath>
              <m:r>
                <m:t>2.33</m:t>
              </m:r>
            </m:oMath>
            <w:r>
              <w:t xml:space="preserve"> </w:t>
            </w:r>
            <w:r>
              <w:t xml:space="preserve">label-free)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̃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shrunk discrimination,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ζ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z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dedup-weighted plurality; the pseudo-label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pair-weighted probability the plurality is</w:t>
            </w:r>
            <w:r>
              <w:t xml:space="preserve"> </w:t>
            </w:r>
            <w:r>
              <w:rPr>
                <w:i/>
                <w:iCs/>
              </w:rPr>
              <w:t xml:space="preserve">wrong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estimated attenuation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  <w:r>
              <w:t xml:space="preserve"> </w:t>
            </w:r>
            <w:r>
              <w:t xml:space="preserve">(not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split-half agreement; effective number of wrong alternatives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duplicate-collapse and margin-decoupling alarms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split-root ambiguity and gated-item supply alarms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statistic used 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κ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true confidence–correctness coupling in the oracle</w:t>
            </w:r>
            <w:r>
              <w:t xml:space="preserve"> </w:t>
            </w:r>
            <w:hyperlink w:anchor="eq:confmodel">
              <w:r>
                <w:rPr>
                  <w:rStyle w:val="Hyperlink"/>
                </w:rPr>
                <w:t xml:space="preserve">[eq:confmodel]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λ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per-item coupling under i.i.d. heterogeneity</w:t>
            </w:r>
          </w:p>
        </w:tc>
      </w:tr>
    </w:tbl>
    <w:bookmarkEnd w:id="86"/>
    <w:bookmarkEnd w:id="87"/>
    <w:bookmarkStart w:id="140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99</w:t>
      </w:r>
    </w:p>
    <w:bookmarkStart w:id="88" w:name="bib:wang2023selfconsistency"/>
    <w:p>
      <w:pPr>
        <w:pStyle w:val="BodyText"/>
      </w:pPr>
      <w:r>
        <w:t xml:space="preserve">[1]</w:t>
      </w:r>
    </w:p>
    <w:bookmarkEnd w:id="88"/>
    <w:p>
      <w:pPr>
        <w:pStyle w:val="BodyText"/>
      </w:pPr>
      <w:r>
        <w:t xml:space="preserve">X. Wang, J. Wei, D. Schuurmans, Q. Le, E. Chi, S. Narang, A. Chowdhery, and D. Zhou,</w:t>
      </w:r>
      <w:r>
        <w:t xml:space="preserve"> </w:t>
      </w:r>
      <w:r>
        <w:t xml:space="preserve">“Self-consistency improves chain of thought reasoning in language models,”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2023. </w:t>
      </w:r>
      <w:hyperlink r:id="rId89">
        <w:r>
          <w:rPr>
            <w:rStyle w:val="Hyperlink"/>
          </w:rPr>
          <w:t xml:space="preserve">https://arxiv.org/pdf/2203.11171</w:t>
        </w:r>
      </w:hyperlink>
    </w:p>
    <w:bookmarkStart w:id="90" w:name="bib:tian2023just"/>
    <w:p>
      <w:pPr>
        <w:pStyle w:val="BodyText"/>
      </w:pPr>
      <w:r>
        <w:t xml:space="preserve">[2]</w:t>
      </w:r>
    </w:p>
    <w:bookmarkEnd w:id="90"/>
    <w:p>
      <w:pPr>
        <w:pStyle w:val="BodyText"/>
      </w:pPr>
      <w:r>
        <w:t xml:space="preserve">K. Tian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“Just ask for calibration: Strategies for eliciting calibrated confidence scores from language models fine-tuned with human feedback,”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2023. </w:t>
      </w:r>
      <w:hyperlink r:id="rId91">
        <w:r>
          <w:rPr>
            <w:rStyle w:val="Hyperlink"/>
          </w:rPr>
          <w:t xml:space="preserve">https://aclanthology.org/2023.emnlp-main.330.pdf</w:t>
        </w:r>
      </w:hyperlink>
    </w:p>
    <w:bookmarkStart w:id="92" w:name="bib:xiong2024can"/>
    <w:p>
      <w:pPr>
        <w:pStyle w:val="BodyText"/>
      </w:pPr>
      <w:r>
        <w:t xml:space="preserve">[3]</w:t>
      </w:r>
    </w:p>
    <w:bookmarkEnd w:id="92"/>
    <w:p>
      <w:pPr>
        <w:pStyle w:val="BodyText"/>
      </w:pPr>
      <w:r>
        <w:t xml:space="preserve">M. Xiong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“Can LLMs express their uncertainty? An empirical evaluation of confidence elicitation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 </w:t>
      </w:r>
      <w:hyperlink r:id="rId93">
        <w:r>
          <w:rPr>
            <w:rStyle w:val="Hyperlink"/>
          </w:rPr>
          <w:t xml:space="preserve">https://openreview.net/pdf?id=gjeQKFxFpZ</w:t>
        </w:r>
      </w:hyperlink>
    </w:p>
    <w:bookmarkStart w:id="94" w:name="bib:kadavath2022language"/>
    <w:p>
      <w:pPr>
        <w:pStyle w:val="BodyText"/>
      </w:pPr>
      <w:r>
        <w:t xml:space="preserve">[4]</w:t>
      </w:r>
    </w:p>
    <w:bookmarkEnd w:id="94"/>
    <w:p>
      <w:pPr>
        <w:pStyle w:val="BodyText"/>
      </w:pPr>
      <w:r>
        <w:t xml:space="preserve">S. Kadavath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“Language models (mostly) know what they know,”</w:t>
      </w:r>
      <w:r>
        <w:t xml:space="preserve"> </w:t>
      </w:r>
      <w:r>
        <w:t xml:space="preserve">arXiv:2207.05221, 2022. </w:t>
      </w:r>
      <w:hyperlink r:id="rId95">
        <w:r>
          <w:rPr>
            <w:rStyle w:val="Hyperlink"/>
          </w:rPr>
          <w:t xml:space="preserve">https://arxiv.org/pdf/2207.05221</w:t>
        </w:r>
      </w:hyperlink>
    </w:p>
    <w:bookmarkStart w:id="96" w:name="bib:taubenfeld2025cisc"/>
    <w:p>
      <w:pPr>
        <w:pStyle w:val="BodyText"/>
      </w:pPr>
      <w:r>
        <w:t xml:space="preserve">[5]</w:t>
      </w:r>
    </w:p>
    <w:bookmarkEnd w:id="96"/>
    <w:p>
      <w:pPr>
        <w:pStyle w:val="BodyText"/>
      </w:pPr>
      <w:r>
        <w:t xml:space="preserve">A. Taubenfeld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“Confidence improves self-consistency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2025, arXiv:2502.06233. </w:t>
      </w:r>
      <w:hyperlink r:id="rId97">
        <w:r>
          <w:rPr>
            <w:rStyle w:val="Hyperlink"/>
          </w:rPr>
          <w:t xml:space="preserve">https://aclanthology.org/2025.findings-acl.1030.pdf</w:t>
        </w:r>
      </w:hyperlink>
    </w:p>
    <w:bookmarkStart w:id="98" w:name="bib:reasc2026"/>
    <w:p>
      <w:pPr>
        <w:pStyle w:val="BodyText"/>
      </w:pPr>
      <w:r>
        <w:t xml:space="preserve">[6]</w:t>
      </w:r>
    </w:p>
    <w:bookmarkEnd w:id="98"/>
    <w:p>
      <w:pPr>
        <w:pStyle w:val="BodyText"/>
      </w:pPr>
      <w:r>
        <w:t xml:space="preserve">J. Kim, N. Yang, K. Min, and K. Jung,</w:t>
      </w:r>
      <w:r>
        <w:t xml:space="preserve"> </w:t>
      </w:r>
      <w:r>
        <w:t xml:space="preserve">“Reliability-aware adaptive self-consistency for efficient sampling in LLM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2026, pp. 21575–21590. </w:t>
      </w:r>
      <w:hyperlink r:id="rId99">
        <w:r>
          <w:rPr>
            <w:rStyle w:val="Hyperlink"/>
          </w:rPr>
          <w:t xml:space="preserve">https://aclanthology.org/2026.findings-acl.1085.pdf</w:t>
        </w:r>
      </w:hyperlink>
    </w:p>
    <w:bookmarkStart w:id="100" w:name="bib:deepconf2025"/>
    <w:p>
      <w:pPr>
        <w:pStyle w:val="BodyText"/>
      </w:pPr>
      <w:r>
        <w:t xml:space="preserve">[7]</w:t>
      </w:r>
    </w:p>
    <w:bookmarkEnd w:id="100"/>
    <w:p>
      <w:pPr>
        <w:pStyle w:val="BodyText"/>
      </w:pPr>
      <w:r>
        <w:t xml:space="preserve">Y. Fu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“Deep think with confidence,”</w:t>
      </w:r>
      <w:r>
        <w:t xml:space="preserve"> </w:t>
      </w:r>
      <w:r>
        <w:t xml:space="preserve">arXiv:2508.15260, 2025. </w:t>
      </w:r>
      <w:hyperlink r:id="rId101">
        <w:r>
          <w:rPr>
            <w:rStyle w:val="Hyperlink"/>
          </w:rPr>
          <w:t xml:space="preserve">https://arxiv.org/pdf/2508.15260</w:t>
        </w:r>
      </w:hyperlink>
    </w:p>
    <w:bookmarkStart w:id="102" w:name="bib:huang2024rankcalibration"/>
    <w:p>
      <w:pPr>
        <w:pStyle w:val="BodyText"/>
      </w:pPr>
      <w:r>
        <w:t xml:space="preserve">[8]</w:t>
      </w:r>
    </w:p>
    <w:bookmarkEnd w:id="102"/>
    <w:p>
      <w:pPr>
        <w:pStyle w:val="BodyText"/>
      </w:pPr>
      <w:r>
        <w:t xml:space="preserve">X. Huang, S. Li, M. Yu, M. Sesia, H. Hassani, I. Lee, O. Bastani, and E. Dobriban,</w:t>
      </w:r>
      <w:r>
        <w:t xml:space="preserve"> </w:t>
      </w:r>
      <w:r>
        <w:t xml:space="preserve">“Uncertainty in language models: Assessment through rank-calibration,”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2024, pp. 284–312. </w:t>
      </w:r>
      <w:hyperlink r:id="rId103">
        <w:r>
          <w:rPr>
            <w:rStyle w:val="Hyperlink"/>
          </w:rPr>
          <w:t xml:space="preserve">https://aclanthology.org/2024.emnlp-main.18.pdf</w:t>
        </w:r>
      </w:hyperlink>
    </w:p>
    <w:bookmarkStart w:id="104" w:name="bib:dawid1979maximum"/>
    <w:p>
      <w:pPr>
        <w:pStyle w:val="BodyText"/>
      </w:pPr>
      <w:r>
        <w:t xml:space="preserve">[9]</w:t>
      </w:r>
    </w:p>
    <w:bookmarkEnd w:id="104"/>
    <w:p>
      <w:pPr>
        <w:pStyle w:val="BodyText"/>
      </w:pPr>
      <w:r>
        <w:t xml:space="preserve">A. P. Dawid and A. M. Skene,</w:t>
      </w:r>
      <w:r>
        <w:t xml:space="preserve"> </w:t>
      </w:r>
      <w:r>
        <w:t xml:space="preserve">“Maximum likelihood estimation of observer error-rates using the EM algorithm,”</w:t>
      </w:r>
      <w:r>
        <w:t xml:space="preserve"> </w:t>
      </w:r>
      <w:r>
        <w:rPr>
          <w:i/>
          <w:iCs/>
        </w:rPr>
        <w:t xml:space="preserve">J. Roy. Statist. Soc. C</w:t>
      </w:r>
      <w:r>
        <w:t xml:space="preserve">, vol. 28, no. 1, pp. 20–28, 1979. </w:t>
      </w:r>
      <w:hyperlink r:id="rId105">
        <w:r>
          <w:rPr>
            <w:rStyle w:val="Hyperlink"/>
          </w:rPr>
          <w:t xml:space="preserve">https://doi.org/10.2307/2346806</w:t>
        </w:r>
      </w:hyperlink>
    </w:p>
    <w:bookmarkStart w:id="106" w:name="bib:parisi2014ranking"/>
    <w:p>
      <w:pPr>
        <w:pStyle w:val="BodyText"/>
      </w:pPr>
      <w:r>
        <w:t xml:space="preserve">[10]</w:t>
      </w:r>
    </w:p>
    <w:bookmarkEnd w:id="106"/>
    <w:p>
      <w:pPr>
        <w:pStyle w:val="BodyText"/>
      </w:pPr>
      <w:r>
        <w:t xml:space="preserve">F. Parisi, F. Strino, B. Nadler, and Y. Kluger,</w:t>
      </w:r>
      <w:r>
        <w:t xml:space="preserve"> </w:t>
      </w:r>
      <w:r>
        <w:t xml:space="preserve">“Ranking and combining multiple predictors without labeled data,”</w:t>
      </w:r>
      <w:r>
        <w:t xml:space="preserve"> </w:t>
      </w:r>
      <w:r>
        <w:rPr>
          <w:i/>
          <w:iCs/>
        </w:rPr>
        <w:t xml:space="preserve">Proc. Natl. Acad. Sci.</w:t>
      </w:r>
      <w:r>
        <w:t xml:space="preserve">, vol. 111, no. 4, pp. 1253–1258, 2014. </w:t>
      </w:r>
      <w:hyperlink r:id="rId107">
        <w:r>
          <w:rPr>
            <w:rStyle w:val="Hyperlink"/>
          </w:rPr>
          <w:t xml:space="preserve">https://pmc.ncbi.nlm.nih.gov/articles/PMC3910607/pdf/pnas.201219097.pdf</w:t>
        </w:r>
      </w:hyperlink>
    </w:p>
    <w:bookmarkStart w:id="108" w:name="bib:li2023diverse"/>
    <w:p>
      <w:pPr>
        <w:pStyle w:val="BodyText"/>
      </w:pPr>
      <w:r>
        <w:t xml:space="preserve">[11]</w:t>
      </w:r>
    </w:p>
    <w:bookmarkEnd w:id="108"/>
    <w:p>
      <w:pPr>
        <w:pStyle w:val="BodyText"/>
      </w:pPr>
      <w:r>
        <w:t xml:space="preserve">Y. Li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“Making language models better reasoners with step-aware verifier,”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ACL</w:t>
      </w:r>
      <w:r>
        <w:t xml:space="preserve">, 2023. </w:t>
      </w:r>
      <w:hyperlink r:id="rId109">
        <w:r>
          <w:rPr>
            <w:rStyle w:val="Hyperlink"/>
          </w:rPr>
          <w:t xml:space="preserve">https://aclanthology.org/2023.acl-long.291.pdf</w:t>
        </w:r>
      </w:hyperlink>
    </w:p>
    <w:bookmarkStart w:id="110" w:name="bib:aggarwal2023adaptive"/>
    <w:p>
      <w:pPr>
        <w:pStyle w:val="BodyText"/>
      </w:pPr>
      <w:r>
        <w:t xml:space="preserve">[12]</w:t>
      </w:r>
    </w:p>
    <w:bookmarkEnd w:id="110"/>
    <w:p>
      <w:pPr>
        <w:pStyle w:val="BodyText"/>
      </w:pPr>
      <w:r>
        <w:t xml:space="preserve">P. Aggarwal, A. Madaan, Y. Yang, and Mausam,</w:t>
      </w:r>
      <w:r>
        <w:t xml:space="preserve"> </w:t>
      </w:r>
      <w:r>
        <w:t xml:space="preserve">“Let’s sample step by step: Adaptive-consistency for efficient reasoning and coding with</w:t>
      </w:r>
      <w:r>
        <w:t xml:space="preserve"> </w:t>
      </w:r>
      <w:r>
        <w:t xml:space="preserve">LLMs</w:t>
      </w:r>
      <w:r>
        <w:t xml:space="preserve">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2023, pp. 12375–12396. </w:t>
      </w:r>
      <w:hyperlink r:id="rId111">
        <w:r>
          <w:rPr>
            <w:rStyle w:val="Hyperlink"/>
          </w:rPr>
          <w:t xml:space="preserve">https://aclanthology.org/2023.emnlp-main.761.pdf</w:t>
        </w:r>
      </w:hyperlink>
    </w:p>
    <w:bookmarkStart w:id="112" w:name="bib:li2024escape"/>
    <w:p>
      <w:pPr>
        <w:pStyle w:val="BodyText"/>
      </w:pPr>
      <w:r>
        <w:t xml:space="preserve">[13]</w:t>
      </w:r>
    </w:p>
    <w:bookmarkEnd w:id="112"/>
    <w:p>
      <w:pPr>
        <w:pStyle w:val="BodyText"/>
      </w:pPr>
      <w:r>
        <w:t xml:space="preserve">Y. Li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“Escape sky-high cost: Early-stopping self-consistency for multi-step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 </w:t>
      </w:r>
      <w:hyperlink r:id="rId113">
        <w:r>
          <w:rPr>
            <w:rStyle w:val="Hyperlink"/>
          </w:rPr>
          <w:t xml:space="preserve">https://arxiv.org/pdf/2401.10480</w:t>
        </w:r>
      </w:hyperlink>
    </w:p>
    <w:bookmarkStart w:id="114" w:name="bib:borda2025"/>
    <w:p>
      <w:pPr>
        <w:pStyle w:val="BodyText"/>
      </w:pPr>
      <w:r>
        <w:t xml:space="preserve">[14]</w:t>
      </w:r>
    </w:p>
    <w:bookmarkEnd w:id="114"/>
    <w:p>
      <w:pPr>
        <w:pStyle w:val="BodyText"/>
      </w:pPr>
      <w:r>
        <w:t xml:space="preserve">Z. Kang, X. Zhao, and D. Song,</w:t>
      </w:r>
      <w:r>
        <w:t xml:space="preserve"> </w:t>
      </w:r>
      <w:r>
        <w:t xml:space="preserve">“Scalable best-of-N selection for large language models via self-certainty,”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2025, arXiv:2502.18581. </w:t>
      </w:r>
      <w:hyperlink r:id="rId115">
        <w:r>
          <w:rPr>
            <w:rStyle w:val="Hyperlink"/>
          </w:rPr>
          <w:t xml:space="preserve">https://proceedings.neurips.cc/paper_files/paper/2025/file/1c7eff166a8e345f664f0faa8f4e4d2e-Paper-Conference.pdf</w:t>
        </w:r>
      </w:hyperlink>
    </w:p>
    <w:bookmarkStart w:id="116" w:name="bib:whitehill2009whose"/>
    <w:p>
      <w:pPr>
        <w:pStyle w:val="BodyText"/>
      </w:pPr>
      <w:r>
        <w:t xml:space="preserve">[15]</w:t>
      </w:r>
    </w:p>
    <w:bookmarkEnd w:id="116"/>
    <w:p>
      <w:pPr>
        <w:pStyle w:val="BodyText"/>
      </w:pPr>
      <w:r>
        <w:t xml:space="preserve">J. Whitehill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“Whose vote should count more: Optimal integration of labels from labelers of unknown expertise,”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2009. </w:t>
      </w:r>
      <w:hyperlink r:id="rId117">
        <w:r>
          <w:rPr>
            <w:rStyle w:val="Hyperlink"/>
          </w:rPr>
          <w:t xml:space="preserve">https://proceedings.neurips.cc/paper_files/paper/2009/file/f899139df5e1059396431415e770c6dd-Paper.pdf</w:t>
        </w:r>
      </w:hyperlink>
    </w:p>
    <w:bookmarkStart w:id="118" w:name="bib:karger2011iterative"/>
    <w:p>
      <w:pPr>
        <w:pStyle w:val="BodyText"/>
      </w:pPr>
      <w:r>
        <w:t xml:space="preserve">[16]</w:t>
      </w:r>
    </w:p>
    <w:bookmarkEnd w:id="118"/>
    <w:p>
      <w:pPr>
        <w:pStyle w:val="BodyText"/>
      </w:pPr>
      <w:r>
        <w:t xml:space="preserve">D. R. Karger, S. Oh, and D. Shah,</w:t>
      </w:r>
      <w:r>
        <w:t xml:space="preserve"> </w:t>
      </w:r>
      <w:r>
        <w:t xml:space="preserve">“Iterative learning for reliable crowdsourcing systems,”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2011. </w:t>
      </w:r>
      <w:hyperlink r:id="rId119">
        <w:r>
          <w:rPr>
            <w:rStyle w:val="Hyperlink"/>
          </w:rPr>
          <w:t xml:space="preserve">https://proceedings.neurips.cc/paper_files/paper/2011/file/c667d53acd899a97a85de0c201ba99be-Paper.pdf</w:t>
        </w:r>
      </w:hyperlink>
    </w:p>
    <w:bookmarkStart w:id="120" w:name="bib:fuse2026"/>
    <w:p>
      <w:pPr>
        <w:pStyle w:val="BodyText"/>
      </w:pPr>
      <w:r>
        <w:t xml:space="preserve">[17]</w:t>
      </w:r>
    </w:p>
    <w:bookmarkEnd w:id="120"/>
    <w:p>
      <w:pPr>
        <w:pStyle w:val="BodyText"/>
      </w:pPr>
      <w:r>
        <w:t xml:space="preserve">J. Lee, V. Ma, S. Zhao, Y. Nair, A. Spector, R. Cohen, and E. J. Candès,</w:t>
      </w:r>
      <w:r>
        <w:t xml:space="preserve"> </w:t>
      </w:r>
      <w:r>
        <w:t xml:space="preserve">“FUSE: Ensembling verifiers with zero labeled data,”</w:t>
      </w:r>
      <w:r>
        <w:t xml:space="preserve"> </w:t>
      </w:r>
      <w:r>
        <w:t xml:space="preserve">arXiv:2604.18547, 2026. </w:t>
      </w:r>
      <w:hyperlink r:id="rId121">
        <w:r>
          <w:rPr>
            <w:rStyle w:val="Hyperlink"/>
          </w:rPr>
          <w:t xml:space="preserve">https://arxiv.org/pdf/2604.18547</w:t>
        </w:r>
      </w:hyperlink>
    </w:p>
    <w:bookmarkStart w:id="122" w:name="bib:beyondmajority2025"/>
    <w:p>
      <w:pPr>
        <w:pStyle w:val="BodyText"/>
      </w:pPr>
      <w:r>
        <w:t xml:space="preserve">[18]</w:t>
      </w:r>
    </w:p>
    <w:bookmarkEnd w:id="122"/>
    <w:p>
      <w:pPr>
        <w:pStyle w:val="BodyText"/>
      </w:pPr>
      <w:r>
        <w:t xml:space="preserve">R. Ai, Y. Pan, D. Simchi-Levi, M. Tambe, and H. Xu,</w:t>
      </w:r>
      <w:r>
        <w:t xml:space="preserve"> </w:t>
      </w:r>
      <w:r>
        <w:t xml:space="preserve">“Beyond majority voting: LLM aggregation by leveraging higher-order information,”</w:t>
      </w:r>
      <w:r>
        <w:t xml:space="preserve"> </w:t>
      </w:r>
      <w:r>
        <w:t xml:space="preserve">arXiv:2510.01499, 2025, accepted to ICML 2026. </w:t>
      </w:r>
      <w:hyperlink r:id="rId123">
        <w:r>
          <w:rPr>
            <w:rStyle w:val="Hyperlink"/>
          </w:rPr>
          <w:t xml:space="preserve">https://arxiv.org/pdf/2510.01499</w:t>
        </w:r>
      </w:hyperlink>
    </w:p>
    <w:bookmarkStart w:id="124" w:name="bib:vanelteren1960"/>
    <w:p>
      <w:pPr>
        <w:pStyle w:val="BodyText"/>
      </w:pPr>
      <w:r>
        <w:t xml:space="preserve">[19]</w:t>
      </w:r>
    </w:p>
    <w:bookmarkEnd w:id="124"/>
    <w:p>
      <w:pPr>
        <w:pStyle w:val="BodyText"/>
      </w:pPr>
      <w:r>
        <w:t xml:space="preserve">P. van Elteren,</w:t>
      </w:r>
      <w:r>
        <w:t xml:space="preserve"> </w:t>
      </w:r>
      <w:r>
        <w:t xml:space="preserve">“On the combination of independent two-sample tests of Wilcoxon,”</w:t>
      </w:r>
      <w:r>
        <w:t xml:space="preserve"> </w:t>
      </w:r>
      <w:r>
        <w:rPr>
          <w:i/>
          <w:iCs/>
        </w:rPr>
        <w:t xml:space="preserve">Bull. Int. Statist. Inst.</w:t>
      </w:r>
      <w:r>
        <w:t xml:space="preserve">, vol. 37, pp. 351–361, 1960. </w:t>
      </w:r>
      <w:hyperlink r:id="rId125">
        <w:r>
          <w:rPr>
            <w:rStyle w:val="Hyperlink"/>
          </w:rPr>
          <w:t xml:space="preserve">https://catalog.hathitrust.org/Record/008896012</w:t>
        </w:r>
      </w:hyperlink>
    </w:p>
    <w:bookmarkStart w:id="126" w:name="bib:james1961estimation"/>
    <w:p>
      <w:pPr>
        <w:pStyle w:val="BodyText"/>
      </w:pPr>
      <w:r>
        <w:t xml:space="preserve">[20]</w:t>
      </w:r>
    </w:p>
    <w:bookmarkEnd w:id="126"/>
    <w:p>
      <w:pPr>
        <w:pStyle w:val="BodyText"/>
      </w:pPr>
      <w:r>
        <w:t xml:space="preserve">W. James and C. Stein,</w:t>
      </w:r>
      <w:r>
        <w:t xml:space="preserve"> </w:t>
      </w:r>
      <w:r>
        <w:t xml:space="preserve">“Estimation with quadratic loss,”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4th Berkeley Symp. Math. Statist. Prob.</w:t>
      </w:r>
      <w:r>
        <w:t xml:space="preserve">, 1961, pp. 361–379. </w:t>
      </w:r>
      <w:hyperlink r:id="rId127">
        <w:r>
          <w:rPr>
            <w:rStyle w:val="Hyperlink"/>
          </w:rPr>
          <w:t xml:space="preserve">https://digitalassets.lib.berkeley.edu/math/ucb/text/math_s4_v1_article-19.pdf</w:t>
        </w:r>
      </w:hyperlink>
    </w:p>
    <w:bookmarkStart w:id="128" w:name="bib:kish1965"/>
    <w:p>
      <w:pPr>
        <w:pStyle w:val="BodyText"/>
      </w:pPr>
      <w:r>
        <w:t xml:space="preserve">[21]</w:t>
      </w:r>
    </w:p>
    <w:bookmarkEnd w:id="128"/>
    <w:p>
      <w:pPr>
        <w:pStyle w:val="BodyText"/>
      </w:pPr>
      <w:r>
        <w:t xml:space="preserve">L. Kish,</w:t>
      </w:r>
      <w:r>
        <w:t xml:space="preserve"> </w:t>
      </w:r>
      <w:r>
        <w:rPr>
          <w:i/>
          <w:iCs/>
        </w:rPr>
        <w:t xml:space="preserve">Survey Sampling</w:t>
      </w:r>
      <w:r>
        <w:t xml:space="preserve">. New York, NY, USA: Wiley, 1965. </w:t>
      </w:r>
      <w:hyperlink r:id="rId129">
        <w:r>
          <w:rPr>
            <w:rStyle w:val="Hyperlink"/>
          </w:rPr>
          <w:t xml:space="preserve">https://www.wiley.com/en-us/Survey+Sampling-p-9780471109495</w:t>
        </w:r>
      </w:hyperlink>
    </w:p>
    <w:bookmarkStart w:id="130" w:name="bib:rao1981analysis"/>
    <w:p>
      <w:pPr>
        <w:pStyle w:val="BodyText"/>
      </w:pPr>
      <w:r>
        <w:t xml:space="preserve">[22]</w:t>
      </w:r>
    </w:p>
    <w:bookmarkEnd w:id="130"/>
    <w:p>
      <w:pPr>
        <w:pStyle w:val="BodyText"/>
      </w:pPr>
      <w:r>
        <w:t xml:space="preserve">J. N. K. Rao and A. J. Scott,</w:t>
      </w:r>
      <w:r>
        <w:t xml:space="preserve"> </w:t>
      </w:r>
      <w:r>
        <w:t xml:space="preserve">“The analysis of categorical data from complex sample surveys,”</w:t>
      </w:r>
      <w:r>
        <w:t xml:space="preserve"> </w:t>
      </w:r>
      <w:r>
        <w:rPr>
          <w:i/>
          <w:iCs/>
        </w:rPr>
        <w:t xml:space="preserve">J. Amer. Statist. Assoc.</w:t>
      </w:r>
      <w:r>
        <w:t xml:space="preserve">, vol. 76, no. 374, pp. 221–230, 1981. </w:t>
      </w:r>
      <w:hyperlink r:id="rId131">
        <w:r>
          <w:rPr>
            <w:rStyle w:val="Hyperlink"/>
          </w:rPr>
          <w:t xml:space="preserve">https://doi.org/10.1080/01621459.1981.10477633</w:t>
        </w:r>
      </w:hyperlink>
    </w:p>
    <w:bookmarkStart w:id="132" w:name="bib:gsm8k2021"/>
    <w:p>
      <w:pPr>
        <w:pStyle w:val="BodyText"/>
      </w:pPr>
      <w:r>
        <w:t xml:space="preserve">[23]</w:t>
      </w:r>
    </w:p>
    <w:bookmarkEnd w:id="132"/>
    <w:p>
      <w:pPr>
        <w:pStyle w:val="BodyText"/>
      </w:pPr>
      <w:r>
        <w:t xml:space="preserve">K. Cobbe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“Training verifiers to solve math word problems,”</w:t>
      </w:r>
      <w:r>
        <w:t xml:space="preserve"> </w:t>
      </w:r>
      <w:r>
        <w:t xml:space="preserve">arXiv:2110.14168, 2021.</w:t>
      </w:r>
    </w:p>
    <w:bookmarkStart w:id="133" w:name="bib:math500"/>
    <w:p>
      <w:pPr>
        <w:pStyle w:val="BodyText"/>
      </w:pPr>
      <w:r>
        <w:t xml:space="preserve">[24]</w:t>
      </w:r>
    </w:p>
    <w:bookmarkEnd w:id="133"/>
    <w:p>
      <w:pPr>
        <w:pStyle w:val="BodyText"/>
      </w:pPr>
      <w:r>
        <w:t xml:space="preserve">D. Hendrycks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“Measuring mathematical problem solving with the MATH dataset,”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 Datasets and Benchmarks</w:t>
      </w:r>
      <w:r>
        <w:t xml:space="preserve">, 2021. </w:t>
      </w:r>
      <w:hyperlink r:id="rId134">
        <w:r>
          <w:rPr>
            <w:rStyle w:val="Hyperlink"/>
          </w:rPr>
          <w:t xml:space="preserve">https://datasets-benchmarks-proceedings.neurips.cc/paper/2021/file/be83ab3ecd0db773eb2dc1b0a17836a1-Paper-round2.pdf</w:t>
        </w:r>
      </w:hyperlink>
    </w:p>
    <w:bookmarkStart w:id="135" w:name="bib:lightman2024verify"/>
    <w:p>
      <w:pPr>
        <w:pStyle w:val="BodyText"/>
      </w:pPr>
      <w:r>
        <w:t xml:space="preserve">[25]</w:t>
      </w:r>
    </w:p>
    <w:bookmarkEnd w:id="135"/>
    <w:p>
      <w:pPr>
        <w:pStyle w:val="BodyText"/>
      </w:pPr>
      <w:r>
        <w:t xml:space="preserve">H. Lightman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“Let’s verify step by step,”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 (MATH-500 test subset.)</w:t>
      </w:r>
    </w:p>
    <w:bookmarkStart w:id="136" w:name="bib:leetcodedataset"/>
    <w:p>
      <w:pPr>
        <w:pStyle w:val="BodyText"/>
      </w:pPr>
      <w:r>
        <w:t xml:space="preserve">[26]</w:t>
      </w:r>
    </w:p>
    <w:bookmarkEnd w:id="136"/>
    <w:p>
      <w:pPr>
        <w:pStyle w:val="BodyText"/>
      </w:pPr>
      <w:r>
        <w:t xml:space="preserve">Y. Xia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“LeetCodeDataset: A temporal dataset for robust evaluation and efficient training of code LLMs,”</w:t>
      </w:r>
      <w:r>
        <w:t xml:space="preserve"> </w:t>
      </w:r>
      <w:r>
        <w:t xml:space="preserve">arXiv:2504.14655, 2025. </w:t>
      </w:r>
      <w:hyperlink r:id="rId137">
        <w:r>
          <w:rPr>
            <w:rStyle w:val="Hyperlink"/>
          </w:rPr>
          <w:t xml:space="preserve">https://arxiv.org/pdf/2504.14655</w:t>
        </w:r>
      </w:hyperlink>
    </w:p>
    <w:bookmarkStart w:id="138" w:name="bib:kuhn2023semantic"/>
    <w:p>
      <w:pPr>
        <w:pStyle w:val="BodyText"/>
      </w:pPr>
      <w:r>
        <w:t xml:space="preserve">[27]</w:t>
      </w:r>
    </w:p>
    <w:bookmarkEnd w:id="138"/>
    <w:p>
      <w:pPr>
        <w:pStyle w:val="BodyText"/>
      </w:pPr>
      <w:r>
        <w:t xml:space="preserve">L. Kuhn, Y. Gal, and S. Farquhar,</w:t>
      </w:r>
      <w:r>
        <w:t xml:space="preserve"> </w:t>
      </w:r>
      <w:r>
        <w:t xml:space="preserve">“Semantic uncertainty: Linguistic invariances for uncertainty estimation in natural language generation,”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2023. </w:t>
      </w:r>
      <w:hyperlink r:id="rId139">
        <w:r>
          <w:rPr>
            <w:rStyle w:val="Hyperlink"/>
          </w:rPr>
          <w:t xml:space="preserve">https://arxiv.org/pdf/2302.09664</w:t>
        </w:r>
      </w:hyperlink>
    </w:p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14" Target="media/rId14.png" /><Relationship Type="http://schemas.openxmlformats.org/officeDocument/2006/relationships/image" Id="rId60" Target="media/rId60.png" /><Relationship Type="http://schemas.openxmlformats.org/officeDocument/2006/relationships/image" Id="rId52" Target="media/rId52.png" /><Relationship Type="http://schemas.openxmlformats.org/officeDocument/2006/relationships/hyperlink" Id="rId109" Target="https://aclanthology.org/2023.acl-long.291.pdf" TargetMode="External" /><Relationship Type="http://schemas.openxmlformats.org/officeDocument/2006/relationships/hyperlink" Id="rId91" Target="https://aclanthology.org/2023.emnlp-main.330.pdf" TargetMode="External" /><Relationship Type="http://schemas.openxmlformats.org/officeDocument/2006/relationships/hyperlink" Id="rId111" Target="https://aclanthology.org/2023.emnlp-main.761.pdf" TargetMode="External" /><Relationship Type="http://schemas.openxmlformats.org/officeDocument/2006/relationships/hyperlink" Id="rId103" Target="https://aclanthology.org/2024.emnlp-main.18.pdf" TargetMode="External" /><Relationship Type="http://schemas.openxmlformats.org/officeDocument/2006/relationships/hyperlink" Id="rId97" Target="https://aclanthology.org/2025.findings-acl.1030.pdf" TargetMode="External" /><Relationship Type="http://schemas.openxmlformats.org/officeDocument/2006/relationships/hyperlink" Id="rId99" Target="https://aclanthology.org/2026.findings-acl.1085.pdf" TargetMode="External" /><Relationship Type="http://schemas.openxmlformats.org/officeDocument/2006/relationships/hyperlink" Id="rId89" Target="https://arxiv.org/pdf/2203.11171" TargetMode="External" /><Relationship Type="http://schemas.openxmlformats.org/officeDocument/2006/relationships/hyperlink" Id="rId95" Target="https://arxiv.org/pdf/2207.05221" TargetMode="External" /><Relationship Type="http://schemas.openxmlformats.org/officeDocument/2006/relationships/hyperlink" Id="rId139" Target="https://arxiv.org/pdf/2302.09664" TargetMode="External" /><Relationship Type="http://schemas.openxmlformats.org/officeDocument/2006/relationships/hyperlink" Id="rId113" Target="https://arxiv.org/pdf/2401.10480" TargetMode="External" /><Relationship Type="http://schemas.openxmlformats.org/officeDocument/2006/relationships/hyperlink" Id="rId137" Target="https://arxiv.org/pdf/2504.14655" TargetMode="External" /><Relationship Type="http://schemas.openxmlformats.org/officeDocument/2006/relationships/hyperlink" Id="rId101" Target="https://arxiv.org/pdf/2508.15260" TargetMode="External" /><Relationship Type="http://schemas.openxmlformats.org/officeDocument/2006/relationships/hyperlink" Id="rId123" Target="https://arxiv.org/pdf/2510.01499" TargetMode="External" /><Relationship Type="http://schemas.openxmlformats.org/officeDocument/2006/relationships/hyperlink" Id="rId121" Target="https://arxiv.org/pdf/2604.18547" TargetMode="External" /><Relationship Type="http://schemas.openxmlformats.org/officeDocument/2006/relationships/hyperlink" Id="rId125" Target="https://catalog.hathitrust.org/Record/008896012" TargetMode="External" /><Relationship Type="http://schemas.openxmlformats.org/officeDocument/2006/relationships/hyperlink" Id="rId134" Target="https://datasets-benchmarks-proceedings.neurips.cc/paper/2021/file/be83ab3ecd0db773eb2dc1b0a17836a1-Paper-round2.pdf" TargetMode="External" /><Relationship Type="http://schemas.openxmlformats.org/officeDocument/2006/relationships/hyperlink" Id="rId127" Target="https://digitalassets.lib.berkeley.edu/math/ucb/text/math_s4_v1_article-19.pdf" TargetMode="External" /><Relationship Type="http://schemas.openxmlformats.org/officeDocument/2006/relationships/hyperlink" Id="rId131" Target="https://doi.org/10.1080/01621459.1981.10477633" TargetMode="External" /><Relationship Type="http://schemas.openxmlformats.org/officeDocument/2006/relationships/hyperlink" Id="rId105" Target="https://doi.org/10.2307/2346806" TargetMode="External" /><Relationship Type="http://schemas.openxmlformats.org/officeDocument/2006/relationships/hyperlink" Id="rId84" Target="https://github.com/vito1317/adaptive-reasoning-consensus" TargetMode="External" /><Relationship Type="http://schemas.openxmlformats.org/officeDocument/2006/relationships/hyperlink" Id="rId93" Target="https://openreview.net/pdf?id=gjeQKFxFpZ" TargetMode="External" /><Relationship Type="http://schemas.openxmlformats.org/officeDocument/2006/relationships/hyperlink" Id="rId107" Target="https://pmc.ncbi.nlm.nih.gov/articles/PMC3910607/pdf/pnas.201219097.pdf" TargetMode="External" /><Relationship Type="http://schemas.openxmlformats.org/officeDocument/2006/relationships/hyperlink" Id="rId117" Target="https://proceedings.neurips.cc/paper_files/paper/2009/file/f899139df5e1059396431415e770c6dd-Paper.pdf" TargetMode="External" /><Relationship Type="http://schemas.openxmlformats.org/officeDocument/2006/relationships/hyperlink" Id="rId119" Target="https://proceedings.neurips.cc/paper_files/paper/2011/file/c667d53acd899a97a85de0c201ba99be-Paper.pdf" TargetMode="External" /><Relationship Type="http://schemas.openxmlformats.org/officeDocument/2006/relationships/hyperlink" Id="rId115" Target="https://proceedings.neurips.cc/paper_files/paper/2025/file/1c7eff166a8e345f664f0faa8f4e4d2e-Paper-Conference.pdf" TargetMode="External" /><Relationship Type="http://schemas.openxmlformats.org/officeDocument/2006/relationships/hyperlink" Id="rId129" Target="https://www.wiley.com/en-us/Survey+Sampling-p-978047110949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9" Target="https://aclanthology.org/2023.acl-long.291.pdf" TargetMode="External" /><Relationship Type="http://schemas.openxmlformats.org/officeDocument/2006/relationships/hyperlink" Id="rId91" Target="https://aclanthology.org/2023.emnlp-main.330.pdf" TargetMode="External" /><Relationship Type="http://schemas.openxmlformats.org/officeDocument/2006/relationships/hyperlink" Id="rId111" Target="https://aclanthology.org/2023.emnlp-main.761.pdf" TargetMode="External" /><Relationship Type="http://schemas.openxmlformats.org/officeDocument/2006/relationships/hyperlink" Id="rId103" Target="https://aclanthology.org/2024.emnlp-main.18.pdf" TargetMode="External" /><Relationship Type="http://schemas.openxmlformats.org/officeDocument/2006/relationships/hyperlink" Id="rId97" Target="https://aclanthology.org/2025.findings-acl.1030.pdf" TargetMode="External" /><Relationship Type="http://schemas.openxmlformats.org/officeDocument/2006/relationships/hyperlink" Id="rId99" Target="https://aclanthology.org/2026.findings-acl.1085.pdf" TargetMode="External" /><Relationship Type="http://schemas.openxmlformats.org/officeDocument/2006/relationships/hyperlink" Id="rId89" Target="https://arxiv.org/pdf/2203.11171" TargetMode="External" /><Relationship Type="http://schemas.openxmlformats.org/officeDocument/2006/relationships/hyperlink" Id="rId95" Target="https://arxiv.org/pdf/2207.05221" TargetMode="External" /><Relationship Type="http://schemas.openxmlformats.org/officeDocument/2006/relationships/hyperlink" Id="rId139" Target="https://arxiv.org/pdf/2302.09664" TargetMode="External" /><Relationship Type="http://schemas.openxmlformats.org/officeDocument/2006/relationships/hyperlink" Id="rId113" Target="https://arxiv.org/pdf/2401.10480" TargetMode="External" /><Relationship Type="http://schemas.openxmlformats.org/officeDocument/2006/relationships/hyperlink" Id="rId137" Target="https://arxiv.org/pdf/2504.14655" TargetMode="External" /><Relationship Type="http://schemas.openxmlformats.org/officeDocument/2006/relationships/hyperlink" Id="rId101" Target="https://arxiv.org/pdf/2508.15260" TargetMode="External" /><Relationship Type="http://schemas.openxmlformats.org/officeDocument/2006/relationships/hyperlink" Id="rId123" Target="https://arxiv.org/pdf/2510.01499" TargetMode="External" /><Relationship Type="http://schemas.openxmlformats.org/officeDocument/2006/relationships/hyperlink" Id="rId121" Target="https://arxiv.org/pdf/2604.18547" TargetMode="External" /><Relationship Type="http://schemas.openxmlformats.org/officeDocument/2006/relationships/hyperlink" Id="rId125" Target="https://catalog.hathitrust.org/Record/008896012" TargetMode="External" /><Relationship Type="http://schemas.openxmlformats.org/officeDocument/2006/relationships/hyperlink" Id="rId134" Target="https://datasets-benchmarks-proceedings.neurips.cc/paper/2021/file/be83ab3ecd0db773eb2dc1b0a17836a1-Paper-round2.pdf" TargetMode="External" /><Relationship Type="http://schemas.openxmlformats.org/officeDocument/2006/relationships/hyperlink" Id="rId127" Target="https://digitalassets.lib.berkeley.edu/math/ucb/text/math_s4_v1_article-19.pdf" TargetMode="External" /><Relationship Type="http://schemas.openxmlformats.org/officeDocument/2006/relationships/hyperlink" Id="rId131" Target="https://doi.org/10.1080/01621459.1981.10477633" TargetMode="External" /><Relationship Type="http://schemas.openxmlformats.org/officeDocument/2006/relationships/hyperlink" Id="rId105" Target="https://doi.org/10.2307/2346806" TargetMode="External" /><Relationship Type="http://schemas.openxmlformats.org/officeDocument/2006/relationships/hyperlink" Id="rId84" Target="https://github.com/vito1317/adaptive-reasoning-consensus" TargetMode="External" /><Relationship Type="http://schemas.openxmlformats.org/officeDocument/2006/relationships/hyperlink" Id="rId93" Target="https://openreview.net/pdf?id=gjeQKFxFpZ" TargetMode="External" /><Relationship Type="http://schemas.openxmlformats.org/officeDocument/2006/relationships/hyperlink" Id="rId107" Target="https://pmc.ncbi.nlm.nih.gov/articles/PMC3910607/pdf/pnas.201219097.pdf" TargetMode="External" /><Relationship Type="http://schemas.openxmlformats.org/officeDocument/2006/relationships/hyperlink" Id="rId117" Target="https://proceedings.neurips.cc/paper_files/paper/2009/file/f899139df5e1059396431415e770c6dd-Paper.pdf" TargetMode="External" /><Relationship Type="http://schemas.openxmlformats.org/officeDocument/2006/relationships/hyperlink" Id="rId119" Target="https://proceedings.neurips.cc/paper_files/paper/2011/file/c667d53acd899a97a85de0c201ba99be-Paper.pdf" TargetMode="External" /><Relationship Type="http://schemas.openxmlformats.org/officeDocument/2006/relationships/hyperlink" Id="rId115" Target="https://proceedings.neurips.cc/paper_files/paper/2025/file/1c7eff166a8e345f664f0faa8f4e4d2e-Paper-Conference.pdf" TargetMode="External" /><Relationship Type="http://schemas.openxmlformats.org/officeDocument/2006/relationships/hyperlink" Id="rId129" Target="https://www.wiley.com/en-us/Survey+Sampling-p-978047110949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TACT: Trust-Anchored Confidence Tempering for Self-Consistency Voting in Large Language Models</dc:title>
  <dc:creator>Wei-Chen Ko (柯瑋宸, vito1317) Independent Researcher</dc:creator>
  <cp:keywords/>
  <dcterms:created xsi:type="dcterms:W3CDTF">2026-08-14T01:58:00Z</dcterms:created>
  <dcterms:modified xsi:type="dcterms:W3CDTF">2026-08-14T01:58:00Z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