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3.png" ContentType="image/png"/>
  <Override PartName="/word/media/rId4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r>
        <w:br/>
      </w:r>
      <w:r>
        <w:t xml:space="preserve">Draft manuscript — synthetic-oracle evidence; real-trace validation pending</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 warmup-thresholded filtering</w:t>
      </w:r>
      <w:r>
        <w:t xml:space="preserve"> </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6"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5" w:name="anchor-properties"/>
    <w:p>
      <w:pPr>
        <w:pStyle w:val="Heading2"/>
      </w:pPr>
      <w:r>
        <w:t xml:space="preserve">Anchor properties</w:t>
      </w:r>
    </w:p>
    <w:bookmarkStart w:id="2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2"/>
    <w:bookmarkStart w:id="2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3"/>
    <w:bookmarkStart w:id="2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4"/>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5"/>
    <w:bookmarkEnd w:id="26"/>
    <w:bookmarkStart w:id="31" w:name="sec:lf"/>
    <w:p>
      <w:pPr>
        <w:pStyle w:val="Heading1"/>
      </w:pPr>
      <w:r>
        <w:t xml:space="preserve">Label-Free Estimation</w:t>
      </w:r>
    </w:p>
    <w:bookmarkStart w:id="2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7"/>
    <w:bookmarkStart w:id="29" w:name="sign-consistency-and-its-boundary"/>
    <w:p>
      <w:pPr>
        <w:pStyle w:val="Heading2"/>
      </w:pPr>
      <w:r>
        <w:t xml:space="preserve">Sign consistency and its boundary</w:t>
      </w:r>
    </w:p>
    <w:bookmarkStart w:id="2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8"/>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29"/>
    <w:bookmarkStart w:id="3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0"/>
    <w:bookmarkEnd w:id="31"/>
    <w:bookmarkStart w:id="37" w:name="sec:hetero"/>
    <w:p>
      <w:pPr>
        <w:pStyle w:val="Heading1"/>
      </w:pPr>
      <w:r>
        <w:t xml:space="preserve">Heterogeneity: Impossibility and Escape</w:t>
      </w:r>
    </w:p>
    <w:bookmarkStart w:id="3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2"/>
    <w:bookmarkStart w:id="3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3"/>
    <w:bookmarkStart w:id="3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4"/>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5"/>
    <w:bookmarkStart w:id="3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6"/>
    <w:bookmarkEnd w:id="37"/>
    <w:bookmarkStart w:id="4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8"/>
    <w:bookmarkStart w:id="42" w:name="fig:sweep"/>
    <w:p>
      <w:pPr>
        <w:pStyle w:val="CaptionedFigure"/>
      </w:pPr>
      <w:r>
        <w:drawing>
          <wp:inline>
            <wp:extent cx="5334000" cy="3225209"/>
            <wp:effectExtent b="0" l="0" r="0" t="0"/>
            <wp:docPr descr="" title="" id="40" name="Picture"/>
            <a:graphic>
              <a:graphicData uri="http://schemas.openxmlformats.org/drawingml/2006/picture">
                <pic:pic>
                  <pic:nvPicPr>
                    <pic:cNvPr descr="figs/tact_sweep.png" id="41" name="Picture"/>
                    <pic:cNvPicPr>
                      <a:picLocks noChangeArrowheads="1" noChangeAspect="1"/>
                    </pic:cNvPicPr>
                  </pic:nvPicPr>
                  <pic:blipFill>
                    <a:blip r:embed="rId3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2"/>
    <w:bookmarkEnd w:id="43"/>
    <w:bookmarkStart w:id="58" w:name="sec:results"/>
    <w:p>
      <w:pPr>
        <w:pStyle w:val="Heading1"/>
      </w:pPr>
      <w:r>
        <w:t xml:space="preserve">Results</w:t>
      </w:r>
    </w:p>
    <w:bookmarkStart w:id="4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4"/>
    <w:bookmarkEnd w:id="45"/>
    <w:bookmarkStart w:id="5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49" w:name="fig:adv"/>
    <w:p>
      <w:pPr>
        <w:pStyle w:val="CaptionedFigure"/>
      </w:pPr>
      <w:r>
        <w:drawing>
          <wp:inline>
            <wp:extent cx="5334000" cy="2726266"/>
            <wp:effectExtent b="0" l="0" r="0" t="0"/>
            <wp:docPr descr="" title="" id="47" name="Picture"/>
            <a:graphic>
              <a:graphicData uri="http://schemas.openxmlformats.org/drawingml/2006/picture">
                <pic:pic>
                  <pic:nvPicPr>
                    <pic:cNvPr descr="figs/tact_adversarial.png" id="48" name="Picture"/>
                    <pic:cNvPicPr>
                      <a:picLocks noChangeArrowheads="1" noChangeAspect="1"/>
                    </pic:cNvPicPr>
                  </pic:nvPicPr>
                  <pic:blipFill>
                    <a:blip r:embed="rId4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49"/>
    <w:bookmarkEnd w:id="50"/>
    <w:bookmarkStart w:id="5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1"/>
    <w:bookmarkStart w:id="55" w:name="fig:group"/>
    <w:p>
      <w:pPr>
        <w:pStyle w:val="CaptionedFigure"/>
      </w:pPr>
      <w:r>
        <w:drawing>
          <wp:inline>
            <wp:extent cx="5334000" cy="2133600"/>
            <wp:effectExtent b="0" l="0" r="0" t="0"/>
            <wp:docPr descr="" title="" id="53" name="Picture"/>
            <a:graphic>
              <a:graphicData uri="http://schemas.openxmlformats.org/drawingml/2006/picture">
                <pic:pic>
                  <pic:nvPicPr>
                    <pic:cNvPr descr="figs/group_eval.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5"/>
    <w:bookmarkEnd w:id="56"/>
    <w:bookmarkStart w:id="5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7"/>
    <w:bookmarkEnd w:id="58"/>
    <w:bookmarkStart w:id="59"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 confident-echo ambiguity is fundamental (Proposition </w:t>
      </w:r>
      <w:hyperlink w:anchor="prop:twoworld">
        <w:r>
          <w:rPr>
            <w:rStyle w:val="Hyperlink"/>
          </w:rPr>
          <w:t xml:space="preserve">7</w:t>
        </w:r>
      </w:hyperlink>
      <w:r>
        <w:t xml:space="preserve">); the alarms detect the verbatim case only, and paraphrased echo would evade them—the semi-label-free mode is the honest fix at</w:t>
      </w:r>
      <w:r>
        <w:t xml:space="preserve"> </w:t>
      </w:r>
      <m:oMath>
        <m:r>
          <m:rPr>
            <m:sty m:val="p"/>
          </m:rPr>
          <m:t>∼</m:t>
        </m:r>
        <m:r>
          <m:t>50</m:t>
        </m:r>
      </m:oMath>
      <w:r>
        <w:t xml:space="preserve"> </w:t>
      </w:r>
      <w:r>
        <w:t xml:space="preserve">labels.</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bookmarkEnd w:id="59"/>
    <w:bookmarkStart w:id="60"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0"/>
    <w:bookmarkStart w:id="61"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A. M.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w:t>
      </w:r>
      <w:r>
        <w:t xml:space="preserve"> </w:t>
      </w:r>
      <w:r>
        <w:rPr>
          <w:i/>
          <w:iCs/>
        </w:rPr>
        <w:t xml:space="preserve">et al.</w:t>
      </w:r>
      <w:r>
        <w:t xml:space="preserve">,</w:t>
      </w:r>
      <w:r>
        <w:t xml:space="preserve"> </w:t>
      </w:r>
      <w:r>
        <w:t xml:space="preserve">“Uncertainty in language models: Assessment through rank-calibration,”</w:t>
      </w:r>
      <w:r>
        <w:t xml:space="preserve"> </w:t>
      </w:r>
      <w:r>
        <w:t xml:space="preserve">arXiv:2404.03163, 2024.</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w:t>
      </w:r>
      <w:r>
        <w:t xml:space="preserve"> </w:t>
      </w:r>
      <w:r>
        <w:rPr>
          <w:i/>
          <w:iCs/>
        </w:rPr>
        <w:t xml:space="preserve">et al.</w:t>
      </w:r>
      <w:r>
        <w:t xml:space="preserve">,</w:t>
      </w:r>
      <w:r>
        <w:t xml:space="preserve"> </w:t>
      </w:r>
      <w:r>
        <w:t xml:space="preserve">“Scalable best-of-N selection for large language models via self-certainty,”</w:t>
      </w:r>
      <w:r>
        <w:t xml:space="preserve"> </w:t>
      </w:r>
      <w:r>
        <w:t xml:space="preserve">arXiv:2502.18581, 2025.</w:t>
      </w:r>
    </w:p>
    <w:p>
      <w:pPr>
        <w:pStyle w:val="BodyText"/>
      </w:pPr>
      <w:r>
        <w:t xml:space="preserve">J. Kim</w:t>
      </w:r>
      <w:r>
        <w:t xml:space="preserve"> </w:t>
      </w:r>
      <w:r>
        <w:rPr>
          <w:i/>
          <w:iCs/>
        </w:rPr>
        <w:t xml:space="preserve">et al.</w:t>
      </w:r>
      <w:r>
        <w:t xml:space="preserve">,</w:t>
      </w:r>
      <w:r>
        <w:t xml:space="preserve"> </w:t>
      </w:r>
      <w:r>
        <w:t xml:space="preserve">“Reliability-aware adaptive self-consistency,”</w:t>
      </w:r>
      <w:r>
        <w:t xml:space="preserve"> </w:t>
      </w:r>
      <w:r>
        <w:t xml:space="preserve">arXiv:2601.02970, 2026.</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Anonymous,</w:t>
      </w:r>
      <w:r>
        <w:t xml:space="preserve"> </w:t>
      </w:r>
      <w:r>
        <w:t xml:space="preserve">“FUSE: Label-free reliability estimation for ensembles of LLM verifiers,”</w:t>
      </w:r>
      <w:r>
        <w:t xml:space="preserve"> </w:t>
      </w:r>
      <w:r>
        <w:t xml:space="preserve">arXiv:2604.18547, 2026.</w:t>
      </w:r>
    </w:p>
    <w:p>
      <w:pPr>
        <w:pStyle w:val="BodyText"/>
      </w:pPr>
      <w:r>
        <w:t xml:space="preserve">Anonymous,</w:t>
      </w:r>
      <w:r>
        <w:t xml:space="preserve"> </w:t>
      </w:r>
      <w:r>
        <w:t xml:space="preserve">“Beyond majority voting: Unsupervised reliability weighting of multiple LLMs,”</w:t>
      </w:r>
      <w:r>
        <w:t xml:space="preserve"> </w:t>
      </w:r>
      <w:r>
        <w:t xml:space="preserve">arXiv:2510.01499, 2025.</w:t>
      </w:r>
    </w:p>
    <w:p>
      <w:pPr>
        <w:pStyle w:val="BodyText"/>
      </w:pPr>
      <w:r>
        <w:t xml:space="preserve">P. van Elteren,</w:t>
      </w:r>
      <w:r>
        <w:t xml:space="preserve"> </w:t>
      </w:r>
      <w:r>
        <w:t xml:space="preserve">“On the combination of independent two 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w:t>
      </w:r>
      <w:r>
        <w:t xml:space="preserve"> </w:t>
      </w:r>
      <w:r>
        <w:rPr>
          <w:i/>
          <w:iCs/>
        </w:rPr>
        <w:t xml:space="preserve">et al.</w:t>
      </w:r>
      <w:r>
        <w:t xml:space="preserve">,</w:t>
      </w:r>
      <w:r>
        <w:t xml:space="preserve"> </w:t>
      </w:r>
      <w:r>
        <w:t xml:space="preserve">“Reasoning-aware self-consistency: Leveraging reasoning paths for efficient LLM sampling,”</w:t>
      </w:r>
      <w:r>
        <w:t xml:space="preserve"> </w:t>
      </w:r>
      <w:r>
        <w:t xml:space="preserve">arXiv:2408.17017, 2024.</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3" Target="media/rId13.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 Draft manuscript — synthetic-oracle evidence; real-trace validation pending</dc:creator>
  <cp:keywords/>
  <dcterms:created xsi:type="dcterms:W3CDTF">2026-07-30T10:54:17Z</dcterms:created>
  <dcterms:modified xsi:type="dcterms:W3CDTF">2026-07-30T10:54:17Z</dcterms:modified>
</cp:coreProperties>
</file>

<file path=docProps/custom.xml><?xml version="1.0" encoding="utf-8"?>
<Properties xmlns="http://schemas.openxmlformats.org/officeDocument/2006/custom-properties" xmlns:vt="http://schemas.openxmlformats.org/officeDocument/2006/docPropsVTypes"/>
</file>