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designed, for two different reasons.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both label-free paths, and the two failures are worth</w:t>
      </w:r>
      <w:r>
        <w:t xml:space="preserve"> </w:t>
      </w:r>
      <w:r>
        <w:t xml:space="preserve">separating. The fully label-free arm was stopped by alarms E4 and E2: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something else entirely: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That is a power shortfall in the sign</w:t>
      </w:r>
      <w:r>
        <w:t xml:space="preserve"> </w:t>
      </w:r>
      <w:r>
        <w:t xml:space="preserve">set, not an absent channel, and the remedy is more labels rather than a</w:t>
      </w:r>
      <w:r>
        <w:t xml:space="preserve"> </w:t>
      </w:r>
      <w:r>
        <w:t xml:space="preserve">different method.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0.750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2026-08-03T11:12:08Z</dcterms:created>
  <dcterms:modified xsi:type="dcterms:W3CDTF">2026-08-03T11:12:08Z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