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14.png" ContentType="image/png"/>
  <Override PartName="/word/media/rId58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improves on majority voting when a frozen</w:t>
      </w:r>
      <w:r>
        <w:t xml:space="preserve"> </w:t>
      </w:r>
      <w:r>
        <w:t xml:space="preserve">model’s self-reported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</w:t>
      </w:r>
      <w:r>
        <w:t xml:space="preserve"> </w:t>
      </w:r>
      <w:r>
        <w:t xml:space="preserve">published scheme is monotone increasing in confidence, so an anti-correlated</w:t>
      </w:r>
      <w:r>
        <w:t xml:space="preserve"> </w:t>
      </w:r>
      <w:r>
        <w:t xml:space="preserve">channel poisons the vote, and binary calibration gates survive inversion only</w:t>
      </w:r>
      <w:r>
        <w:t xml:space="preserve"> </w:t>
      </w:r>
      <w:r>
        <w:t xml:space="preserve">by discarding discriminative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</w:t>
      </w:r>
      <w:r>
        <w:t xml:space="preserve"> </w:t>
      </w:r>
      <w:r>
        <w:t xml:space="preserve">measured,</w:t>
      </w:r>
      <w:r>
        <w:t xml:space="preserve"> </w:t>
      </w:r>
      <w:r>
        <w:rPr>
          <w:i/>
          <w:iCs/>
        </w:rPr>
        <w:t xml:space="preserve">signed</w:t>
      </w:r>
      <w:r>
        <w:t xml:space="preserve">, 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an item-clustered standard error, positive-part</w:t>
      </w:r>
      <w:r>
        <w:t xml:space="preserve"> </w:t>
      </w:r>
      <w:r>
        <w:t xml:space="preserve">James–Stein shrinkage, and a Bayes-discriminant link, which at the default</w:t>
      </w:r>
      <w:r>
        <w:t xml:space="preserve"> </w:t>
      </w:r>
      <w:r>
        <w:t xml:space="preserve">base rate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probit of the shrunk pooled AUC. Inside the shrinkage dead zone the vote is</w:t>
      </w:r>
      <w:r>
        <w:t xml:space="preserve"> </w:t>
      </w:r>
      <w:r>
        <w:t xml:space="preserve">bit-identical to plain self-consistency. A label-free variant estimates the</w:t>
      </w:r>
      <w:r>
        <w:t xml:space="preserve"> </w:t>
      </w:r>
      <w:r>
        <w:t xml:space="preserve">sign from agreement pseudo-labels under an attenuation identity that</w:t>
      </w:r>
      <w:r>
        <w:t xml:space="preserve"> </w:t>
      </w:r>
      <w:r>
        <w:t xml:space="preserve">guarantees sign consistency while the plurality-error rate stays below one</w:t>
      </w:r>
      <w:r>
        <w:t xml:space="preserve"> </w:t>
      </w:r>
      <w:r>
        <w:t xml:space="preserve">half; past that boundary it mis-signs, which the paper measures and reports.</w:t>
      </w:r>
      <w:r>
        <w:t xml:space="preserve"> </w:t>
      </w:r>
      <w:r>
        <w:t xml:space="preserve">On a synthetic-oracle harness it recovers anti-correlated channels that pin</w:t>
      </w:r>
      <w:r>
        <w:t xml:space="preserve"> </w:t>
      </w:r>
      <w:r>
        <w:t xml:space="preserve">every published protocol to 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</w:t>
      </w:r>
      <w:r>
        <w:t xml:space="preserve"> </w:t>
      </w:r>
      <w:r>
        <w:t xml:space="preserve">cracks the 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).</w:t>
      </w:r>
      <w:r>
        <w:t xml:space="preserve"> </w:t>
      </w:r>
      <w:r>
        <w:t xml:space="preserve">Against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grid, which the sweep shows is a far</w:t>
      </w:r>
      <w:r>
        <w:t xml:space="preserve"> </w:t>
      </w:r>
      <w:r>
        <w:t xml:space="preserve">stronger baseline than the published protocols, the advantage narrows to</w:t>
      </w:r>
      <w:r>
        <w:t xml:space="preserve"> </w:t>
      </w:r>
      <w:r>
        <w:t xml:space="preserve">distortion, echo, and label-free operation. Two real-trace campaigns then</w:t>
      </w:r>
      <w:r>
        <w:t xml:space="preserve"> </w:t>
      </w:r>
      <w:r>
        <w:t xml:space="preserve">bound the setting: the channel is null on saturated benchmarks</w:t>
      </w:r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yet the stratum any such method can act on measures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 substrates in two domains, so abstention is the correct</w:t>
      </w:r>
      <w:r>
        <w:t xml:space="preserve"> </w:t>
      </w:r>
      <w:r>
        <w:t xml:space="preserve">default and the dead zone 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Each trace can also report a confidence score, 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], so weighting votes by confidence is a natural refinement.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best of our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 rather than assumes away.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across all five substrates, in two domains, and does not widen as items</w:t>
      </w:r>
      <w:r>
        <w:t xml:space="preserve"> </w:t>
      </w:r>
      <w:r>
        <w:t xml:space="preserve">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 rather</w:t>
      </w:r>
      <w:r>
        <w:t xml:space="preserve"> </w:t>
      </w:r>
      <w:r>
        <w:t xml:space="preserve">than a conservative one.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 rather than by raw</w:t>
      </w:r>
      <w:r>
        <w:t xml:space="preserve"> </w:t>
      </w:r>
      <w:r>
        <w:t xml:space="preserve">confidence,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5334000" cy="330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6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1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and not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the vote then sees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rather than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p>
      <w:pPr>
        <w:pStyle w:val="BodyText"/>
      </w:pPr>
      <w:r>
        <w:t xml:space="preserve">labeled dev pools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test pools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floor</w:t>
      </w:r>
      <w:r>
        <w:t xml:space="preserve"> </w:t>
      </w:r>
      <m:oMath>
        <m:r>
          <m:t>ν</m:t>
        </m:r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one scalar</w:t>
      </w:r>
      <w:r>
        <w:t xml:space="preserve"> </w:t>
      </w:r>
      <m:oMath>
        <m:r>
          <m:t>γ</m:t>
        </m:r>
      </m:oMath>
      <w:r>
        <w:t xml:space="preserve">; an answer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;</w:t>
      </w:r>
      <m:oMath>
        <m:r>
          <m:t>H</m:t>
        </m:r>
        <m:r>
          <m:rPr>
            <m:sty m:val="p"/>
          </m:rPr>
          <m:t>←</m:t>
        </m:r>
        <m:r>
          <m:t>H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m:oMath>
        <m:r>
          <m:t>R</m:t>
        </m:r>
        <m:r>
          <m:rPr>
            <m:sty m:val="p"/>
          </m:rPr>
          <m:t>←</m:t>
        </m:r>
      </m:oMath>
      <w:r>
        <w:t xml:space="preserve"> </w:t>
      </w:r>
      <w:r>
        <w:t xml:space="preserve">within-item midranks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t>2</m:t>
        </m:r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cr m:val="script"/>
            <m:sty m:val="p"/>
          </m:rP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  <m:sSub>
          <m:e>
            <m:r>
              <m:t>D</m:t>
            </m:r>
          </m:e>
          <m:sub>
            <m:r>
              <m:t>q</m:t>
            </m:r>
          </m:sub>
        </m:sSub>
        <m:r>
          <m:t> 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0.05</m:t>
        </m:r>
        <m:r>
          <m:rPr>
            <m:sty m:val="p"/>
          </m:rPr>
          <m:t>,</m:t>
        </m:r>
        <m:r>
          <m:t> </m:t>
        </m:r>
        <m:r>
          <m:t>0.95</m:t>
        </m:r>
        <m:r>
          <m:rPr>
            <m:sty m:val="p"/>
          </m:rPr>
          <m:t>)</m:t>
        </m:r>
      </m:oMath>
      <w:r>
        <w:t xml:space="preserve"> </w:t>
      </w:r>
      <m:oMath>
        <m:r>
          <m:t>ζ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z</m:t>
        </m:r>
        <m:r>
          <m:rPr>
            <m:sty m:val="p"/>
          </m:rPr>
          <m:t>←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</m:e>
            </m:ra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±</m:t>
            </m:r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r>
          <m:t>φ</m:t>
        </m:r>
        <m:r>
          <m:rPr>
            <m:sty m:val="p"/>
          </m:rPr>
          <m:t>←</m:t>
        </m:r>
      </m:oMath>
      <w:r>
        <w:t xml:space="preserve"> </w:t>
      </w:r>
      <w:r>
        <w:t xml:space="preserve">standardized van der Waerden scores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γ</m:t>
                </m:r>
                <m:sSub>
                  <m:e>
                    <m:r>
                      <m:t>φ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}</m:t>
        </m:r>
      </m:oMath>
    </w:p>
    <w:p>
      <w:pPr>
        <w:pStyle w:val="BodyText"/>
      </w:pPr>
      <w:r>
        <w:t xml:space="preserve">Algorithm </w:t>
      </w:r>
      <w:hyperlink w:anchor="alg:tact">
        <w:r>
          <w:rPr>
            <w:rStyle w:val="Hyperlink"/>
          </w:rPr>
          <w:t xml:space="preserve">[alg:tact]</w:t>
        </w:r>
      </w:hyperlink>
      <w:r>
        <w:t xml:space="preserve"> </w:t>
      </w:r>
      <w:r>
        <w:t xml:space="preserve">states the labeled path end to end. Both loops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per item, dominated by the within-item ranking, and the estimate</w:t>
      </w:r>
      <w:r>
        <w:t xml:space="preserve"> </w:t>
      </w:r>
      <w:r>
        <w:t xml:space="preserve">is a single scalar: nothing item-specific crosses from dev to test, which is</w:t>
      </w:r>
      <w:r>
        <w:t xml:space="preserve"> </w:t>
      </w:r>
      <w:r>
        <w:t xml:space="preserve">what makes the dead zone a global abstention rather than a per-item one.</w:t>
      </w:r>
    </w:p>
    <w:bookmarkEnd w:id="31"/>
    <w:bookmarkStart w:id="35" w:name="anchor-properties"/>
    <w:p>
      <w:pPr>
        <w:pStyle w:val="Heading2"/>
      </w:pPr>
      <w:r>
        <w:t xml:space="preserve">Anchor properties</w:t>
      </w:r>
    </w:p>
    <w:bookmarkStart w:id="32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2"/>
    <w:bookmarkStart w:id="33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3"/>
    <w:bookmarkStart w:id="34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4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5"/>
    <w:bookmarkEnd w:id="36"/>
    <w:bookmarkStart w:id="43" w:name="sec:lf"/>
    <w:p>
      <w:pPr>
        <w:pStyle w:val="Heading1"/>
      </w:pPr>
      <w:r>
        <w:t xml:space="preserve">Label-Free Estimation</w:t>
      </w:r>
    </w:p>
    <w:bookmarkStart w:id="39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pools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 dedup threshold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,</w:t>
      </w:r>
      <w:r>
        <w:t xml:space="preserve"> </w:t>
      </w:r>
      <w:r>
        <w:t xml:space="preserve">margin quantile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t xml:space="preserve">, floor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splits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t xml:space="preserve">, attenuation floor</w:t>
      </w:r>
      <w:r>
        <w:t xml:space="preserve"> </w:t>
      </w:r>
      <m:oMath>
        <m:r>
          <m:t>0.20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;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below is the</w:t>
      </w:r>
      <w:r>
        <w:t xml:space="preserve"> </w:t>
      </w:r>
      <w:r>
        <w:t xml:space="preserve">estimated attenuation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t xml:space="preserve">, not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m:oMath>
        <m:r>
          <m:t>γ</m:t>
        </m:r>
      </m:oMath>
      <w:r>
        <w:t xml:space="preserve">, equal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whenever any alarm fires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from single linkage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p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t xml:space="preserve">top-two dedup-weighted share gap</w:t>
      </w:r>
      <w:r>
        <w:t xml:space="preserve"> 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q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≥</m:t>
        </m:r>
        <m:sSub>
          <m:e>
            <m:r>
              <m:t>Q</m:t>
            </m:r>
          </m:e>
          <m:sub>
            <m:r>
              <m:t>β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≥</m:t>
        </m:r>
        <m:r>
          <m:t>2</m:t>
        </m:r>
        <m:r>
          <m:rPr>
            <m:nor/>
            <m:sty m:val="p"/>
          </m:rPr>
          <m:t> distinct answers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Kish ratio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t xml:space="preserve">pooled statistic 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g</m:t>
        </m:r>
      </m:oMath>
      <w:r>
        <w:t xml:space="preserve"> </w:t>
      </w: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sign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t>ψ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0.05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r>
          <m:t>α</m:t>
        </m:r>
        <m:r>
          <m:rPr>
            <m:sty m:val="p"/>
          </m:rPr>
          <m:t>←</m:t>
        </m:r>
      </m:oMath>
      <w:r>
        <w:t xml:space="preserve"> </w:t>
      </w:r>
      <w:r>
        <w:t xml:space="preserve">mean two-half plurality agreement over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splits</w:t>
      </w:r>
      <w:r>
        <w:t xml:space="preserve"> </w:t>
      </w:r>
      <m:oMath>
        <m:r>
          <m:t>k</m:t>
        </m:r>
        <m:r>
          <m:rPr>
            <m:sty m:val="p"/>
          </m:rPr>
          <m:t>←</m:t>
        </m:r>
      </m:oMath>
      <w:r>
        <w:t xml:space="preserve"> </w:t>
      </w:r>
      <w:r>
        <w:t xml:space="preserve">inverse-Simpson size of the non-plurality mass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</m:e>
            </m:rad>
            <m:r>
              <m:t> 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nor/>
            <m:sty m:val="p"/>
          </m:rPr>
          <m:t>discriminant</m:t>
        </m:r>
        <m:r>
          <m:rPr>
            <m:sty m:val="p"/>
          </m:rPr>
          <m:t>&lt;</m:t>
        </m:r>
        <m:r>
          <m:t>0.02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95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0.20</m:t>
            </m:r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bookmarkStart w:id="37" w:name="ln:gate"/>
      <w:bookmarkEnd w:id="37"/>
      <w:r>
        <w:t xml:space="preserve"> </w:t>
      </w:r>
      <m:oMath>
        <m:r>
          <m:t>0</m:t>
        </m:r>
      </m:oMath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D</m:t>
                    </m:r>
                  </m:e>
                </m:acc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unset</w:t>
      </w:r>
      <w:r>
        <w:t xml:space="preserve"> </w:t>
      </w:r>
      <w:bookmarkStart w:id="38" w:name="ln:temper"/>
      <w:bookmarkEnd w:id="38"/>
    </w:p>
    <w:p>
      <w:pPr>
        <w:pStyle w:val="BodyText"/>
      </w:pPr>
      <w:r>
        <w:t xml:space="preserve">Two orderings in Algorithm </w:t>
      </w:r>
      <w:hyperlink w:anchor="alg:tactlf">
        <w:r>
          <w:rPr>
            <w:rStyle w:val="Hyperlink"/>
          </w:rPr>
          <w:t xml:space="preserve">[alg:tactlf]</w:t>
        </w:r>
      </w:hyperlink>
      <w:r>
        <w:t xml:space="preserve"> </w:t>
      </w:r>
      <w:r>
        <w:t xml:space="preserve">are load-bearing. The significance</w:t>
      </w:r>
      <w:r>
        <w:t xml:space="preserve"> </w:t>
      </w:r>
      <w:r>
        <w:t xml:space="preserve">gate on line </w:t>
      </w:r>
      <w:hyperlink w:anchor="ln:gate">
        <w:r>
          <w:rPr>
            <w:rStyle w:val="Hyperlink"/>
          </w:rPr>
          <w:t xml:space="preserve">[ln:gate]</w:t>
        </w:r>
      </w:hyperlink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t xml:space="preserve">, whose sign is unbiased by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, while the tempering on line </w:t>
      </w:r>
      <w:hyperlink w:anchor="ln:temper">
        <w:r>
          <w:rPr>
            <w:rStyle w:val="Hyperlink"/>
          </w:rPr>
          <w:t xml:space="preserve">[ln:temper]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the de-attenuated pair; testing the inflated statistic instead would let the</w:t>
      </w:r>
      <w:r>
        <w:t xml:space="preserve"> </w:t>
      </w:r>
      <w:r>
        <w:t xml:space="preserve">de-attenuation manufacture significance. 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left unset on the</w:t>
      </w:r>
      <w:r>
        <w:t xml:space="preserve"> </w:t>
      </w:r>
      <w:r>
        <w:t xml:space="preserve">label-free path, so the mixture correction of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is not applied</w:t>
      </w:r>
      <w:r>
        <w:t xml:space="preserve"> </w:t>
      </w:r>
      <w:r>
        <w:t xml:space="preserve">there: the base rate is exactly what no label-free estimator knows.</w:t>
      </w:r>
    </w:p>
    <w:bookmarkEnd w:id="39"/>
    <w:bookmarkStart w:id="41" w:name="sign-consistency-and-its-boundary"/>
    <w:p>
      <w:pPr>
        <w:pStyle w:val="Heading2"/>
      </w:pPr>
      <w:r>
        <w:t xml:space="preserve">Sign consistency and its boundary</w:t>
      </w:r>
    </w:p>
    <w:bookmarkStart w:id="40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40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conditional; it is stated as such rather than papered over.</w:t>
      </w:r>
    </w:p>
    <w:bookmarkEnd w:id="41"/>
    <w:bookmarkStart w:id="42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encountered, diagnosed, and fixed during development, and pinned by the released tests.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2"/>
    <w:bookmarkEnd w:id="43"/>
    <w:bookmarkStart w:id="49" w:name="sec:hetero"/>
    <w:p>
      <w:pPr>
        <w:pStyle w:val="Heading1"/>
      </w:pPr>
      <w:r>
        <w:t xml:space="preserve">Heterogeneity: Impossibility and Escape</w:t>
      </w:r>
    </w:p>
    <w:bookmarkStart w:id="47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4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4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5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 rather than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5"/>
    <w:bookmarkStart w:id="46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6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7"/>
    <w:bookmarkStart w:id="48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48"/>
    <w:bookmarkEnd w:id="49"/>
    <w:bookmarkStart w:id="54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53" w:name="fig:sweep"/>
    <w:p>
      <w:pPr>
        <w:pStyle w:val="CaptionedFigure"/>
      </w:pPr>
      <w:r>
        <w:drawing>
          <wp:inline>
            <wp:extent cx="5334000" cy="322520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s/tact_sweep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3"/>
    <w:bookmarkEnd w:id="54"/>
    <w:bookmarkStart w:id="79" w:name="sec:results"/>
    <w:p>
      <w:pPr>
        <w:pStyle w:val="Heading1"/>
      </w:pPr>
      <w:r>
        <w:t xml:space="preserve">Results</w:t>
      </w:r>
    </w:p>
    <w:bookmarkStart w:id="55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5"/>
    <w:bookmarkStart w:id="57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6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6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7"/>
    <w:bookmarkStart w:id="62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61" w:name="fig:adv"/>
    <w:p>
      <w:pPr>
        <w:pStyle w:val="CaptionedFigure"/>
      </w:pPr>
      <w:r>
        <w:drawing>
          <wp:inline>
            <wp:extent cx="5334000" cy="272626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tact_adversaria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61"/>
    <w:bookmarkEnd w:id="62"/>
    <w:bookmarkStart w:id="68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method sits at the floor with zero discordant pairs, the naive self-referential control included: it cannot beat the plurality it is derived from. That control is 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, and the grouped cell is where it shows: given the same covariate the per-group estimator exploits, it reaches</w:t>
      </w:r>
      <w:r>
        <w:t xml:space="preserve"> </w:t>
      </w:r>
      <m:oMath>
        <m:r>
          <m:t>0.787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floor, two items in</w:t>
      </w:r>
      <w:r>
        <w:t xml:space="preserve"> </w:t>
      </w:r>
      <m:oMath>
        <m:r>
          <m:t>600</m:t>
        </m:r>
      </m:oMath>
      <w:r>
        <w:t xml:space="preserve">. The two 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 natural explanation would be the arms’</w:t>
      </w:r>
      <w:r>
        <w:t xml:space="preserve"> </w:t>
      </w:r>
      <w:r>
        <w:t xml:space="preserve">different exponent caps; the ablation rules it out.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3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.973</w:t>
            </w:r>
          </w:p>
        </w:tc>
      </w:tr>
    </w:tbl>
    <w:bookmarkEnd w:id="63"/>
    <w:bookmarkStart w:id="67" w:name="fig:group"/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s/group_eva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method at the floor, the negative control included.</w:t>
      </w:r>
    </w:p>
    <w:bookmarkEnd w:id="67"/>
    <w:bookmarkEnd w:id="68"/>
    <w:bookmarkStart w:id="69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 rather than catastrophically.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vs. </w:t>
      </w:r>
      <m:oMath>
        <m:r>
          <m:t>0.768</m:t>
        </m:r>
      </m:oMath>
      <w:r>
        <w:t xml:space="preserve">), and F4 (both grid baselines trail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69"/>
    <w:bookmarkStart w:id="71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70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70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71"/>
    <w:bookmarkStart w:id="72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 rather than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2"/>
    <w:bookmarkStart w:id="73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items, 50 from</w:t>
      </w:r>
      <w:r>
        <w:t xml:space="preserve"> </w:t>
      </w:r>
      <w:r>
        <w:t xml:space="preserve">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 and 50 from CommonsenseQA, with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and a verbalized confidence per item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3"/>
    <w:bookmarkStart w:id="75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 rather than of the estimator.</w:t>
      </w:r>
    </w:p>
    <w:p>
      <w:pPr>
        <w:pStyle w:val="BodyText"/>
      </w:pPr>
      <w:r>
        <w:rPr>
          <w:i/>
          <w:iCs/>
        </w:rPr>
        <w:t xml:space="preserve">Abstention behaved as designed.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w:r>
        <w:t xml:space="preserve">alarms E4 and E2 firing on the label-free path and the sign set holding too</w:t>
      </w:r>
      <w:r>
        <w:t xml:space="preserve"> </w:t>
      </w:r>
      <w:r>
        <w:t xml:space="preserve">few informative items to supply a semi-label-free sign.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</w:t>
      </w:r>
    </w:p>
    <w:bookmarkStart w:id="74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4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5"/>
    <w:bookmarkStart w:id="77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6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 The MATH L5 row is over</w:t>
      </w:r>
      <w:r>
        <w:t xml:space="preserve"> </w:t>
      </w:r>
      <w:r>
        <w:t xml:space="preserve">the full registered list of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the substrate being the object</w:t>
      </w:r>
      <w:r>
        <w:t xml:space="preserve"> </w:t>
      </w:r>
      <w:r>
        <w:t xml:space="preserve">measured; 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quotes the same quantities over the</w:t>
      </w:r>
      <w:r>
        <w:t xml:space="preserve"> </w:t>
      </w:r>
      <m:oMath>
        <m:r>
          <m:t>89</m:t>
        </m:r>
      </m:oMath>
      <w:r>
        <w:t xml:space="preserve">-item</w:t>
      </w:r>
      <w:r>
        <w:t xml:space="preserve"> </w:t>
      </w:r>
      <w:r>
        <w:t xml:space="preserve">evaluation set that remains after the sign set is split off (</w:t>
      </w:r>
      <m:oMath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items, so</w:t>
      </w:r>
      <w:r>
        <w:t xml:space="preserve"> </w:t>
      </w:r>
      <m:oMath>
        <m:r>
          <m:t>11.2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). The last row is that same MATH L5 substrate</w:t>
      </w:r>
      <w:r>
        <w:t xml:space="preserve"> </w:t>
      </w:r>
      <w:r>
        <w:t xml:space="preserve">under the budget manipulation of 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, not a sixth</w:t>
      </w:r>
      <w:r>
        <w:t xml:space="preserve"> </w:t>
      </w:r>
      <w:r>
        <w:t xml:space="preserve">substrate: the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range quoted throughout is over the five</w:t>
      </w:r>
      <w:r>
        <w:t xml:space="preserve"> </w:t>
      </w:r>
      <w:r>
        <w:t xml:space="preserve">above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 The MATH L5 row is over the full registered list of 119 items, the substrate being the object measured; Section 8.8 quotes the same quantities over the 89-item evaluation set that remains after the sign set is split off (10 and 4 items, so 11.2 and 4.5). The last row is that same MATH L5 substrate under the budget manipulation of Section 8.10, not a sixth substrate: the 2.5–7.5\% range quoted throughout is over the five above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6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The check is not a formality: a sandbox whose</w:t>
      </w:r>
      <w:r>
        <w:t xml:space="preserve"> </w:t>
      </w:r>
      <w:r>
        <w:t xml:space="preserve">resource limits the host rejects outright fails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executions, and</w:t>
      </w:r>
      <w:r>
        <w:t xml:space="preserve"> </w:t>
      </w:r>
      <w:r>
        <w:t xml:space="preserve">that condition presents as a candidate failure rather than as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7"/>
    <w:bookmarkStart w:id="78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fired. That abstention is testable rather than a matter of taste,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78"/>
    <w:bookmarkEnd w:id="79"/>
    <w:bookmarkStart w:id="80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tests that the</w:t>
      </w:r>
      <w:r>
        <w:t xml:space="preserve"> </w:t>
      </w:r>
      <w:r>
        <w:t xml:space="preserve">implementation respects an invariance it was built to have rather than</w:t>
      </w:r>
      <w:r>
        <w:t xml:space="preserve"> </w:t>
      </w:r>
      <w:r>
        <w:t xml:space="preserve">probing an untested regime;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 rather</w:t>
      </w:r>
      <w:r>
        <w:t xml:space="preserve"> </w:t>
      </w:r>
      <w:r>
        <w:t xml:space="preserve">than an optional refinement. The other standard remedy is not tried here and</w:t>
      </w:r>
      <w:r>
        <w:t xml:space="preserve"> </w:t>
      </w:r>
      <w:r>
        <w:t xml:space="preserve">should be: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all five</w:t>
      </w:r>
      <w:r>
        <w:t xml:space="preserve"> </w:t>
      </w:r>
      <w:r>
        <w:t xml:space="preserve">substrates,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adds the one axis that does widen the window, and it</w:t>
      </w:r>
      <w:r>
        <w:t xml:space="preserve"> </w:t>
      </w:r>
      <w:r>
        <w:t xml:space="preserve">cuts the same way: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 an oracle able to convert</w:t>
      </w:r>
      <w:r>
        <w:t xml:space="preserve"> </w:t>
      </w:r>
      <w:r>
        <w:t xml:space="preserve">nine items, confidence weighting still reaches fewer than half of them. The</w:t>
      </w:r>
      <w:r>
        <w:t xml:space="preserve"> </w:t>
      </w:r>
      <w:r>
        <w:t xml:space="preserve">width of the window is not the only thing in the way.</w:t>
      </w:r>
    </w:p>
    <w:bookmarkEnd w:id="80"/>
    <w:bookmarkStart w:id="8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81"/>
    <w:bookmarkStart w:id="83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2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. Each script</w:t>
      </w:r>
      <w:r>
        <w:t xml:space="preserve"> </w:t>
      </w:r>
      <w:r>
        <w:t xml:space="preserve">writes the artifact its table cites.</w:t>
      </w:r>
    </w:p>
    <w:bookmarkEnd w:id="83"/>
    <w:bookmarkStart w:id="13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p>
      <w:pPr>
        <w:pStyle w:val="BodyText"/>
      </w:pPr>
      <w:bookmarkStart w:id="84" w:name="bib:wang2023selfconsistency"/>
      <w:bookmarkEnd w:id="84"/>
      <w:r>
        <w:t xml:space="preserve"> </w:t>
      </w: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5">
        <w:r>
          <w:rPr>
            <w:rStyle w:val="Hyperlink"/>
          </w:rPr>
          <w:t xml:space="preserve">https://arxiv.org/pdf/2203.11171</w:t>
        </w:r>
      </w:hyperlink>
    </w:p>
    <w:p>
      <w:pPr>
        <w:pStyle w:val="BodyText"/>
      </w:pPr>
      <w:bookmarkStart w:id="86" w:name="bib:tian2023just"/>
      <w:bookmarkEnd w:id="86"/>
      <w:r>
        <w:t xml:space="preserve"> </w:t>
      </w: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87">
        <w:r>
          <w:rPr>
            <w:rStyle w:val="Hyperlink"/>
          </w:rPr>
          <w:t xml:space="preserve">https://aclanthology.org/2023.emnlp-main.330.pdf</w:t>
        </w:r>
      </w:hyperlink>
    </w:p>
    <w:p>
      <w:pPr>
        <w:pStyle w:val="BodyText"/>
      </w:pPr>
      <w:bookmarkStart w:id="88" w:name="bib:xiong2024can"/>
      <w:bookmarkEnd w:id="88"/>
      <w:r>
        <w:t xml:space="preserve"> </w:t>
      </w: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89">
        <w:r>
          <w:rPr>
            <w:rStyle w:val="Hyperlink"/>
          </w:rPr>
          <w:t xml:space="preserve">https://openreview.net/pdf?id=gjeQKFxFpZ</w:t>
        </w:r>
      </w:hyperlink>
    </w:p>
    <w:p>
      <w:pPr>
        <w:pStyle w:val="BodyText"/>
      </w:pPr>
      <w:bookmarkStart w:id="90" w:name="bib:kadavath2022language"/>
      <w:bookmarkEnd w:id="90"/>
      <w:r>
        <w:t xml:space="preserve"> </w:t>
      </w: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91">
        <w:r>
          <w:rPr>
            <w:rStyle w:val="Hyperlink"/>
          </w:rPr>
          <w:t xml:space="preserve">https://arxiv.org/pdf/2207.05221</w:t>
        </w:r>
      </w:hyperlink>
    </w:p>
    <w:p>
      <w:pPr>
        <w:pStyle w:val="BodyText"/>
      </w:pPr>
      <w:bookmarkStart w:id="92" w:name="bib:taubenfeld2025cisc"/>
      <w:bookmarkEnd w:id="92"/>
      <w:r>
        <w:t xml:space="preserve"> </w:t>
      </w: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3">
        <w:r>
          <w:rPr>
            <w:rStyle w:val="Hyperlink"/>
          </w:rPr>
          <w:t xml:space="preserve">https://aclanthology.org/2025.findings-acl.1030.pdf</w:t>
        </w:r>
      </w:hyperlink>
    </w:p>
    <w:p>
      <w:pPr>
        <w:pStyle w:val="BodyText"/>
      </w:pPr>
      <w:bookmarkStart w:id="94" w:name="bib:reasc2026"/>
      <w:bookmarkEnd w:id="94"/>
      <w:r>
        <w:t xml:space="preserve"> </w:t>
      </w: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5">
        <w:r>
          <w:rPr>
            <w:rStyle w:val="Hyperlink"/>
          </w:rPr>
          <w:t xml:space="preserve">https://aclanthology.org/2026.findings-acl.1085.pdf</w:t>
        </w:r>
      </w:hyperlink>
    </w:p>
    <w:p>
      <w:pPr>
        <w:pStyle w:val="BodyText"/>
      </w:pPr>
      <w:bookmarkStart w:id="96" w:name="bib:deepconf2025"/>
      <w:bookmarkEnd w:id="96"/>
      <w:r>
        <w:t xml:space="preserve"> </w:t>
      </w: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97">
        <w:r>
          <w:rPr>
            <w:rStyle w:val="Hyperlink"/>
          </w:rPr>
          <w:t xml:space="preserve">https://arxiv.org/pdf/2508.15260</w:t>
        </w:r>
      </w:hyperlink>
    </w:p>
    <w:p>
      <w:pPr>
        <w:pStyle w:val="BodyText"/>
      </w:pPr>
      <w:bookmarkStart w:id="98" w:name="bib:huang2024rankcalibration"/>
      <w:bookmarkEnd w:id="98"/>
      <w:r>
        <w:t xml:space="preserve"> </w:t>
      </w: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99">
        <w:r>
          <w:rPr>
            <w:rStyle w:val="Hyperlink"/>
          </w:rPr>
          <w:t xml:space="preserve">https://aclanthology.org/2024.emnlp-main.18.pdf</w:t>
        </w:r>
      </w:hyperlink>
    </w:p>
    <w:p>
      <w:pPr>
        <w:pStyle w:val="BodyText"/>
      </w:pPr>
      <w:bookmarkStart w:id="100" w:name="bib:dawid1979maximum"/>
      <w:bookmarkEnd w:id="100"/>
      <w:r>
        <w:t xml:space="preserve"> </w:t>
      </w: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101">
        <w:r>
          <w:rPr>
            <w:rStyle w:val="Hyperlink"/>
          </w:rPr>
          <w:t xml:space="preserve">https://doi.org/10.2307/2346806</w:t>
        </w:r>
      </w:hyperlink>
    </w:p>
    <w:p>
      <w:pPr>
        <w:pStyle w:val="BodyText"/>
      </w:pPr>
      <w:bookmarkStart w:id="102" w:name="bib:parisi2014ranking"/>
      <w:bookmarkEnd w:id="102"/>
      <w:r>
        <w:t xml:space="preserve"> </w:t>
      </w: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3">
        <w:r>
          <w:rPr>
            <w:rStyle w:val="Hyperlink"/>
          </w:rPr>
          <w:t xml:space="preserve">https://pmc.ncbi.nlm.nih.gov/articles/PMC3910607/pdf/pnas.201219097.pdf</w:t>
        </w:r>
      </w:hyperlink>
    </w:p>
    <w:p>
      <w:pPr>
        <w:pStyle w:val="BodyText"/>
      </w:pPr>
      <w:bookmarkStart w:id="104" w:name="bib:li2023diverse"/>
      <w:bookmarkEnd w:id="104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5">
        <w:r>
          <w:rPr>
            <w:rStyle w:val="Hyperlink"/>
          </w:rPr>
          <w:t xml:space="preserve">https://aclanthology.org/2023.acl-long.291.pdf</w:t>
        </w:r>
      </w:hyperlink>
    </w:p>
    <w:p>
      <w:pPr>
        <w:pStyle w:val="BodyText"/>
      </w:pPr>
      <w:bookmarkStart w:id="106" w:name="bib:aggarwal2023adaptive"/>
      <w:bookmarkEnd w:id="106"/>
      <w:r>
        <w:t xml:space="preserve"> </w:t>
      </w: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07">
        <w:r>
          <w:rPr>
            <w:rStyle w:val="Hyperlink"/>
          </w:rPr>
          <w:t xml:space="preserve">https://aclanthology.org/2023.emnlp-main.761.pdf</w:t>
        </w:r>
      </w:hyperlink>
    </w:p>
    <w:p>
      <w:pPr>
        <w:pStyle w:val="BodyText"/>
      </w:pPr>
      <w:bookmarkStart w:id="108" w:name="bib:li2024escape"/>
      <w:bookmarkEnd w:id="108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09">
        <w:r>
          <w:rPr>
            <w:rStyle w:val="Hyperlink"/>
          </w:rPr>
          <w:t xml:space="preserve">https://arxiv.org/pdf/2401.10480</w:t>
        </w:r>
      </w:hyperlink>
    </w:p>
    <w:p>
      <w:pPr>
        <w:pStyle w:val="BodyText"/>
      </w:pPr>
      <w:bookmarkStart w:id="110" w:name="bib:borda2025"/>
      <w:bookmarkEnd w:id="110"/>
      <w:r>
        <w:t xml:space="preserve"> </w:t>
      </w: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11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p>
      <w:pPr>
        <w:pStyle w:val="BodyText"/>
      </w:pPr>
      <w:bookmarkStart w:id="112" w:name="bib:whitehill2009whose"/>
      <w:bookmarkEnd w:id="112"/>
      <w:r>
        <w:t xml:space="preserve"> </w:t>
      </w: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3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p>
      <w:pPr>
        <w:pStyle w:val="BodyText"/>
      </w:pPr>
      <w:bookmarkStart w:id="114" w:name="bib:karger2011iterative"/>
      <w:bookmarkEnd w:id="114"/>
      <w:r>
        <w:t xml:space="preserve"> </w:t>
      </w: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5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p>
      <w:pPr>
        <w:pStyle w:val="BodyText"/>
      </w:pPr>
      <w:bookmarkStart w:id="116" w:name="bib:fuse2026"/>
      <w:bookmarkEnd w:id="116"/>
      <w:r>
        <w:t xml:space="preserve"> </w:t>
      </w: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17">
        <w:r>
          <w:rPr>
            <w:rStyle w:val="Hyperlink"/>
          </w:rPr>
          <w:t xml:space="preserve">https://arxiv.org/pdf/2604.18547</w:t>
        </w:r>
      </w:hyperlink>
    </w:p>
    <w:p>
      <w:pPr>
        <w:pStyle w:val="BodyText"/>
      </w:pPr>
      <w:bookmarkStart w:id="118" w:name="bib:beyondmajority2025"/>
      <w:bookmarkEnd w:id="118"/>
      <w:r>
        <w:t xml:space="preserve"> </w:t>
      </w: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19">
        <w:r>
          <w:rPr>
            <w:rStyle w:val="Hyperlink"/>
          </w:rPr>
          <w:t xml:space="preserve">https://arxiv.org/pdf/2510.01499</w:t>
        </w:r>
      </w:hyperlink>
    </w:p>
    <w:p>
      <w:pPr>
        <w:pStyle w:val="BodyText"/>
      </w:pPr>
      <w:bookmarkStart w:id="120" w:name="bib:vanelteren1960"/>
      <w:bookmarkEnd w:id="120"/>
      <w:r>
        <w:t xml:space="preserve"> </w:t>
      </w: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21">
        <w:r>
          <w:rPr>
            <w:rStyle w:val="Hyperlink"/>
          </w:rPr>
          <w:t xml:space="preserve">https://catalog.hathitrust.org/Record/008896012</w:t>
        </w:r>
      </w:hyperlink>
    </w:p>
    <w:p>
      <w:pPr>
        <w:pStyle w:val="BodyText"/>
      </w:pPr>
      <w:bookmarkStart w:id="122" w:name="bib:james1961estimation"/>
      <w:bookmarkEnd w:id="122"/>
      <w:r>
        <w:t xml:space="preserve"> </w:t>
      </w: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3">
        <w:r>
          <w:rPr>
            <w:rStyle w:val="Hyperlink"/>
          </w:rPr>
          <w:t xml:space="preserve">https://digitalassets.lib.berkeley.edu/math/ucb/text/math_s4_v1_article-19.pdf</w:t>
        </w:r>
      </w:hyperlink>
    </w:p>
    <w:p>
      <w:pPr>
        <w:pStyle w:val="BodyText"/>
      </w:pPr>
      <w:bookmarkStart w:id="124" w:name="bib:kish1965"/>
      <w:bookmarkEnd w:id="124"/>
      <w:r>
        <w:t xml:space="preserve"> </w:t>
      </w: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5">
        <w:r>
          <w:rPr>
            <w:rStyle w:val="Hyperlink"/>
          </w:rPr>
          <w:t xml:space="preserve">https://www.wiley.com/en-us/Survey+Sampling-p-9780471109495</w:t>
        </w:r>
      </w:hyperlink>
    </w:p>
    <w:p>
      <w:pPr>
        <w:pStyle w:val="BodyText"/>
      </w:pPr>
      <w:bookmarkStart w:id="126" w:name="bib:rao1981analysis"/>
      <w:bookmarkEnd w:id="126"/>
      <w:r>
        <w:t xml:space="preserve"> </w:t>
      </w: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27">
        <w:r>
          <w:rPr>
            <w:rStyle w:val="Hyperlink"/>
          </w:rPr>
          <w:t xml:space="preserve">https://doi.org/10.1080/01621459.1981.10477633</w:t>
        </w:r>
      </w:hyperlink>
    </w:p>
    <w:p>
      <w:pPr>
        <w:pStyle w:val="BodyText"/>
      </w:pPr>
      <w:bookmarkStart w:id="128" w:name="bib:gsm8k2021"/>
      <w:bookmarkEnd w:id="128"/>
      <w:r>
        <w:t xml:space="preserve"> </w:t>
      </w: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p>
      <w:pPr>
        <w:pStyle w:val="BodyText"/>
      </w:pPr>
      <w:bookmarkStart w:id="129" w:name="bib:math500"/>
      <w:bookmarkEnd w:id="129"/>
      <w:r>
        <w:t xml:space="preserve"> </w:t>
      </w: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30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p>
      <w:pPr>
        <w:pStyle w:val="BodyText"/>
      </w:pPr>
      <w:bookmarkStart w:id="131" w:name="bib:lightman2024verify"/>
      <w:bookmarkEnd w:id="131"/>
      <w:r>
        <w:t xml:space="preserve"> </w:t>
      </w: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p>
      <w:pPr>
        <w:pStyle w:val="BodyText"/>
      </w:pPr>
      <w:bookmarkStart w:id="132" w:name="bib:leetcodedataset"/>
      <w:bookmarkEnd w:id="132"/>
      <w:r>
        <w:t xml:space="preserve"> </w:t>
      </w: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3">
        <w:r>
          <w:rPr>
            <w:rStyle w:val="Hyperlink"/>
          </w:rPr>
          <w:t xml:space="preserve">https://arxiv.org/pdf/2504.14655</w:t>
        </w:r>
      </w:hyperlink>
    </w:p>
    <w:p>
      <w:pPr>
        <w:pStyle w:val="BodyText"/>
      </w:pPr>
      <w:bookmarkStart w:id="134" w:name="bib:kuhn2023semantic"/>
      <w:bookmarkEnd w:id="134"/>
      <w:r>
        <w:t xml:space="preserve"> </w:t>
      </w: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5">
        <w:r>
          <w:rPr>
            <w:rStyle w:val="Hyperlink"/>
          </w:rPr>
          <w:t xml:space="preserve">https://arxiv.org/pdf/2302.09664</w:t>
        </w:r>
      </w:hyperlink>
    </w:p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50" Target="media/rId50.png" /><Relationship Type="http://schemas.openxmlformats.org/officeDocument/2006/relationships/hyperlink" Id="rId105" Target="https://aclanthology.org/2023.acl-long.291.pdf" TargetMode="External" /><Relationship Type="http://schemas.openxmlformats.org/officeDocument/2006/relationships/hyperlink" Id="rId87" Target="https://aclanthology.org/2023.emnlp-main.330.pdf" TargetMode="External" /><Relationship Type="http://schemas.openxmlformats.org/officeDocument/2006/relationships/hyperlink" Id="rId107" Target="https://aclanthology.org/2023.emnlp-main.761.pdf" TargetMode="External" /><Relationship Type="http://schemas.openxmlformats.org/officeDocument/2006/relationships/hyperlink" Id="rId99" Target="https://aclanthology.org/2024.emnlp-main.18.pdf" TargetMode="External" /><Relationship Type="http://schemas.openxmlformats.org/officeDocument/2006/relationships/hyperlink" Id="rId93" Target="https://aclanthology.org/2025.findings-acl.1030.pdf" TargetMode="External" /><Relationship Type="http://schemas.openxmlformats.org/officeDocument/2006/relationships/hyperlink" Id="rId95" Target="https://aclanthology.org/2026.findings-acl.1085.pdf" TargetMode="External" /><Relationship Type="http://schemas.openxmlformats.org/officeDocument/2006/relationships/hyperlink" Id="rId85" Target="https://arxiv.org/pdf/2203.11171" TargetMode="External" /><Relationship Type="http://schemas.openxmlformats.org/officeDocument/2006/relationships/hyperlink" Id="rId91" Target="https://arxiv.org/pdf/2207.05221" TargetMode="External" /><Relationship Type="http://schemas.openxmlformats.org/officeDocument/2006/relationships/hyperlink" Id="rId135" Target="https://arxiv.org/pdf/2302.09664" TargetMode="External" /><Relationship Type="http://schemas.openxmlformats.org/officeDocument/2006/relationships/hyperlink" Id="rId109" Target="https://arxiv.org/pdf/2401.10480" TargetMode="External" /><Relationship Type="http://schemas.openxmlformats.org/officeDocument/2006/relationships/hyperlink" Id="rId133" Target="https://arxiv.org/pdf/2504.14655" TargetMode="External" /><Relationship Type="http://schemas.openxmlformats.org/officeDocument/2006/relationships/hyperlink" Id="rId97" Target="https://arxiv.org/pdf/2508.15260" TargetMode="External" /><Relationship Type="http://schemas.openxmlformats.org/officeDocument/2006/relationships/hyperlink" Id="rId119" Target="https://arxiv.org/pdf/2510.01499" TargetMode="External" /><Relationship Type="http://schemas.openxmlformats.org/officeDocument/2006/relationships/hyperlink" Id="rId117" Target="https://arxiv.org/pdf/2604.18547" TargetMode="External" /><Relationship Type="http://schemas.openxmlformats.org/officeDocument/2006/relationships/hyperlink" Id="rId121" Target="https://catalog.hathitrust.org/Record/008896012" TargetMode="External" /><Relationship Type="http://schemas.openxmlformats.org/officeDocument/2006/relationships/hyperlink" Id="rId130" Target="https://datasets-benchmarks-proceedings.neurips.cc/paper/2021/file/be83ab3ecd0db773eb2dc1b0a17836a1-Paper-round2.pdf" TargetMode="External" /><Relationship Type="http://schemas.openxmlformats.org/officeDocument/2006/relationships/hyperlink" Id="rId123" Target="https://digitalassets.lib.berkeley.edu/math/ucb/text/math_s4_v1_article-19.pdf" TargetMode="External" /><Relationship Type="http://schemas.openxmlformats.org/officeDocument/2006/relationships/hyperlink" Id="rId127" Target="https://doi.org/10.1080/01621459.1981.10477633" TargetMode="External" /><Relationship Type="http://schemas.openxmlformats.org/officeDocument/2006/relationships/hyperlink" Id="rId101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89" Target="https://openreview.net/pdf?id=gjeQKFxFpZ" TargetMode="External" /><Relationship Type="http://schemas.openxmlformats.org/officeDocument/2006/relationships/hyperlink" Id="rId103" Target="https://pmc.ncbi.nlm.nih.gov/articles/PMC3910607/pdf/pnas.201219097.pdf" TargetMode="External" /><Relationship Type="http://schemas.openxmlformats.org/officeDocument/2006/relationships/hyperlink" Id="rId113" Target="https://proceedings.neurips.cc/paper_files/paper/2009/file/f899139df5e1059396431415e770c6dd-Paper.pdf" TargetMode="External" /><Relationship Type="http://schemas.openxmlformats.org/officeDocument/2006/relationships/hyperlink" Id="rId115" Target="https://proceedings.neurips.cc/paper_files/paper/2011/file/c667d53acd899a97a85de0c201ba99be-Paper.pdf" TargetMode="External" /><Relationship Type="http://schemas.openxmlformats.org/officeDocument/2006/relationships/hyperlink" Id="rId111" Target="https://proceedings.neurips.cc/paper_files/paper/2025/file/1c7eff166a8e345f664f0faa8f4e4d2e-Paper-Conference.pdf" TargetMode="External" /><Relationship Type="http://schemas.openxmlformats.org/officeDocument/2006/relationships/hyperlink" Id="rId125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aclanthology.org/2023.acl-long.291.pdf" TargetMode="External" /><Relationship Type="http://schemas.openxmlformats.org/officeDocument/2006/relationships/hyperlink" Id="rId87" Target="https://aclanthology.org/2023.emnlp-main.330.pdf" TargetMode="External" /><Relationship Type="http://schemas.openxmlformats.org/officeDocument/2006/relationships/hyperlink" Id="rId107" Target="https://aclanthology.org/2023.emnlp-main.761.pdf" TargetMode="External" /><Relationship Type="http://schemas.openxmlformats.org/officeDocument/2006/relationships/hyperlink" Id="rId99" Target="https://aclanthology.org/2024.emnlp-main.18.pdf" TargetMode="External" /><Relationship Type="http://schemas.openxmlformats.org/officeDocument/2006/relationships/hyperlink" Id="rId93" Target="https://aclanthology.org/2025.findings-acl.1030.pdf" TargetMode="External" /><Relationship Type="http://schemas.openxmlformats.org/officeDocument/2006/relationships/hyperlink" Id="rId95" Target="https://aclanthology.org/2026.findings-acl.1085.pdf" TargetMode="External" /><Relationship Type="http://schemas.openxmlformats.org/officeDocument/2006/relationships/hyperlink" Id="rId85" Target="https://arxiv.org/pdf/2203.11171" TargetMode="External" /><Relationship Type="http://schemas.openxmlformats.org/officeDocument/2006/relationships/hyperlink" Id="rId91" Target="https://arxiv.org/pdf/2207.05221" TargetMode="External" /><Relationship Type="http://schemas.openxmlformats.org/officeDocument/2006/relationships/hyperlink" Id="rId135" Target="https://arxiv.org/pdf/2302.09664" TargetMode="External" /><Relationship Type="http://schemas.openxmlformats.org/officeDocument/2006/relationships/hyperlink" Id="rId109" Target="https://arxiv.org/pdf/2401.10480" TargetMode="External" /><Relationship Type="http://schemas.openxmlformats.org/officeDocument/2006/relationships/hyperlink" Id="rId133" Target="https://arxiv.org/pdf/2504.14655" TargetMode="External" /><Relationship Type="http://schemas.openxmlformats.org/officeDocument/2006/relationships/hyperlink" Id="rId97" Target="https://arxiv.org/pdf/2508.15260" TargetMode="External" /><Relationship Type="http://schemas.openxmlformats.org/officeDocument/2006/relationships/hyperlink" Id="rId119" Target="https://arxiv.org/pdf/2510.01499" TargetMode="External" /><Relationship Type="http://schemas.openxmlformats.org/officeDocument/2006/relationships/hyperlink" Id="rId117" Target="https://arxiv.org/pdf/2604.18547" TargetMode="External" /><Relationship Type="http://schemas.openxmlformats.org/officeDocument/2006/relationships/hyperlink" Id="rId121" Target="https://catalog.hathitrust.org/Record/008896012" TargetMode="External" /><Relationship Type="http://schemas.openxmlformats.org/officeDocument/2006/relationships/hyperlink" Id="rId130" Target="https://datasets-benchmarks-proceedings.neurips.cc/paper/2021/file/be83ab3ecd0db773eb2dc1b0a17836a1-Paper-round2.pdf" TargetMode="External" /><Relationship Type="http://schemas.openxmlformats.org/officeDocument/2006/relationships/hyperlink" Id="rId123" Target="https://digitalassets.lib.berkeley.edu/math/ucb/text/math_s4_v1_article-19.pdf" TargetMode="External" /><Relationship Type="http://schemas.openxmlformats.org/officeDocument/2006/relationships/hyperlink" Id="rId127" Target="https://doi.org/10.1080/01621459.1981.10477633" TargetMode="External" /><Relationship Type="http://schemas.openxmlformats.org/officeDocument/2006/relationships/hyperlink" Id="rId101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89" Target="https://openreview.net/pdf?id=gjeQKFxFpZ" TargetMode="External" /><Relationship Type="http://schemas.openxmlformats.org/officeDocument/2006/relationships/hyperlink" Id="rId103" Target="https://pmc.ncbi.nlm.nih.gov/articles/PMC3910607/pdf/pnas.201219097.pdf" TargetMode="External" /><Relationship Type="http://schemas.openxmlformats.org/officeDocument/2006/relationships/hyperlink" Id="rId113" Target="https://proceedings.neurips.cc/paper_files/paper/2009/file/f899139df5e1059396431415e770c6dd-Paper.pdf" TargetMode="External" /><Relationship Type="http://schemas.openxmlformats.org/officeDocument/2006/relationships/hyperlink" Id="rId115" Target="https://proceedings.neurips.cc/paper_files/paper/2011/file/c667d53acd899a97a85de0c201ba99be-Paper.pdf" TargetMode="External" /><Relationship Type="http://schemas.openxmlformats.org/officeDocument/2006/relationships/hyperlink" Id="rId111" Target="https://proceedings.neurips.cc/paper_files/paper/2025/file/1c7eff166a8e345f664f0faa8f4e4d2e-Paper-Conference.pdf" TargetMode="External" /><Relationship Type="http://schemas.openxmlformats.org/officeDocument/2006/relationships/hyperlink" Id="rId125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2026-08-02T06:16:37Z</dcterms:created>
  <dcterms:modified xsi:type="dcterms:W3CDTF">2026-08-02T06:16:37Z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