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14.png" ContentType="image/png"/>
  <Override PartName="/word/media/rId58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TACT: Trust-Anchored Confidence Tempering for</w:t>
      </w:r>
      <w:r>
        <w:br/>
      </w:r>
      <w:r>
        <w:t xml:space="preserve">Self-Consistency Voting in Large Language Models</w:t>
      </w:r>
    </w:p>
    <w:p>
      <w:pPr>
        <w:pStyle w:val="Author"/>
      </w:pPr>
      <w:r>
        <w:t xml:space="preserve">Wei-Chen Ko </w:t>
      </w:r>
      <w:r>
        <w:rPr>
          <w:rFonts w:hint="eastAsia"/>
        </w:rPr>
        <w:t xml:space="preserve">(柯瑋宸,</w:t>
      </w:r>
      <w:r>
        <w:t xml:space="preserve"> vito1317)</w:t>
      </w:r>
      <w:r>
        <w:br/>
      </w:r>
      <w:r>
        <w:t xml:space="preserve">Independent Researcher</w:t>
      </w:r>
    </w:p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Confidence-weighted self-consistency improves on majority voting when a frozen</w:t>
      </w:r>
      <w:r>
        <w:t xml:space="preserve"> </w:t>
      </w:r>
      <w:r>
        <w:t xml:space="preserve">model’s self-reported confidence is calibrated in</w:t>
      </w:r>
      <w:r>
        <w:t xml:space="preserve"> </w:t>
      </w:r>
      <w:r>
        <w:rPr>
          <w:i/>
          <w:iCs/>
        </w:rPr>
        <w:t xml:space="preserve">direction</w:t>
      </w:r>
      <w:r>
        <w:t xml:space="preserve">. Every</w:t>
      </w:r>
      <w:r>
        <w:t xml:space="preserve"> </w:t>
      </w:r>
      <w:r>
        <w:t xml:space="preserve">published scheme is monotone increasing in confidence, so an anti-correlated</w:t>
      </w:r>
      <w:r>
        <w:t xml:space="preserve"> </w:t>
      </w:r>
      <w:r>
        <w:t xml:space="preserve">channel poisons the vote, and binary calibration gates survive inversion only</w:t>
      </w:r>
      <w:r>
        <w:t xml:space="preserve"> </w:t>
      </w:r>
      <w:r>
        <w:t xml:space="preserve">by discarding discriminative signal.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derives the vote exponent from the</w:t>
      </w:r>
      <w:r>
        <w:t xml:space="preserve"> </w:t>
      </w:r>
      <w:r>
        <w:t xml:space="preserve">measured,</w:t>
      </w:r>
      <w:r>
        <w:t xml:space="preserve"> </w:t>
      </w:r>
      <w:r>
        <w:rPr>
          <w:i/>
          <w:iCs/>
        </w:rPr>
        <w:t xml:space="preserve">signed</w:t>
      </w:r>
      <w:r>
        <w:t xml:space="preserve">, within-item discrimination of the channel: a pooled</w:t>
      </w:r>
      <w:r>
        <w:t xml:space="preserve"> </w:t>
      </w:r>
      <w:r>
        <w:t xml:space="preserve">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an item-clustered standard error, positive-part</w:t>
      </w:r>
      <w:r>
        <w:t xml:space="preserve"> </w:t>
      </w:r>
      <w:r>
        <w:t xml:space="preserve">James–Stein shrinkage, and a Bayes-discriminant link, which at the default</w:t>
      </w:r>
      <w:r>
        <w:t xml:space="preserve"> </w:t>
      </w:r>
      <w:r>
        <w:t xml:space="preserve">base rate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collapses to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z</m:t>
        </m:r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+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probit of the shrunk pooled AUC. Inside the shrinkage dead zone the vote is</w:t>
      </w:r>
      <w:r>
        <w:t xml:space="preserve"> </w:t>
      </w:r>
      <w:r>
        <w:t xml:space="preserve">bit-identical to plain self-consistency. A label-free variant estimates the</w:t>
      </w:r>
      <w:r>
        <w:t xml:space="preserve"> </w:t>
      </w:r>
      <w:r>
        <w:t xml:space="preserve">sign from agreement pseudo-labels under an attenuation identity that</w:t>
      </w:r>
      <w:r>
        <w:t xml:space="preserve"> </w:t>
      </w:r>
      <w:r>
        <w:t xml:space="preserve">guarantees sign consistency while the plurality-error rate stays below one</w:t>
      </w:r>
      <w:r>
        <w:t xml:space="preserve"> </w:t>
      </w:r>
      <w:r>
        <w:t xml:space="preserve">half; past that boundary it mis-signs, which the paper measures and reports.</w:t>
      </w:r>
      <w:r>
        <w:t xml:space="preserve"> </w:t>
      </w:r>
      <w:r>
        <w:t xml:space="preserve">On a synthetic-oracle harness it recovers anti-correlated channels that pin</w:t>
      </w:r>
      <w:r>
        <w:t xml:space="preserve"> </w:t>
      </w:r>
      <w:r>
        <w:t xml:space="preserve">every published protocol to the majority floor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0.762</m:t>
        </m:r>
      </m:oMath>
      <w:r>
        <w:t xml:space="preserve">) and</w:t>
      </w:r>
      <w:r>
        <w:t xml:space="preserve"> </w:t>
      </w:r>
      <w:r>
        <w:t xml:space="preserve">cracks the heterogeneity floor with zero paired losses (</w:t>
      </w:r>
      <m:oMath>
        <m:r>
          <m:t>0.923</m:t>
        </m:r>
      </m:oMath>
      <w:r>
        <w:t xml:space="preserve"> </w:t>
      </w:r>
      <w:r>
        <w:t xml:space="preserve">vs. </w:t>
      </w:r>
      <m:oMath>
        <m:r>
          <m:t>0.785</m:t>
        </m:r>
      </m:oMath>
      <w:r>
        <w:t xml:space="preserve">).</w:t>
      </w:r>
      <w:r>
        <w:t xml:space="preserve"> </w:t>
      </w:r>
      <w:r>
        <w:t xml:space="preserve">Against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grid, which the sweep shows is a far</w:t>
      </w:r>
      <w:r>
        <w:t xml:space="preserve"> </w:t>
      </w:r>
      <w:r>
        <w:t xml:space="preserve">stronger baseline than the published protocols, the advantage narrows to</w:t>
      </w:r>
      <w:r>
        <w:t xml:space="preserve"> </w:t>
      </w:r>
      <w:r>
        <w:t xml:space="preserve">distortion, echo, and label-free operation. Two real-trace campaigns then</w:t>
      </w:r>
      <w:r>
        <w:t xml:space="preserve"> </w:t>
      </w:r>
      <w:r>
        <w:t xml:space="preserve">bound the setting: the channel is null on saturated benchmarks</w:t>
      </w:r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 mathematics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yet the stratum any such method can act on measures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five substrates in two domains, so abstention is the correct</w:t>
      </w:r>
      <w:r>
        <w:t xml:space="preserve"> </w:t>
      </w:r>
      <w:r>
        <w:t xml:space="preserve">default and the dead zone implements it.</w:t>
      </w:r>
    </w:p>
    <w:p>
      <w:pPr>
        <w:pStyle w:val="BodyText"/>
      </w:pPr>
      <w:r>
        <w:rPr>
          <w:b/>
          <w:bCs/>
        </w:rPr>
        <w:t xml:space="preserve">Keywords—</w:t>
      </w:r>
      <w:r>
        <w:t xml:space="preserve"> </w:t>
      </w:r>
      <w:r>
        <w:t xml:space="preserve">large language models, self-consistency, confidence calibration, label-free estimation, rank statistics</w:t>
      </w:r>
    </w:p>
    <w:bookmarkEnd w:id="9"/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Self-consistency (</w:t>
      </w:r>
      <w:r>
        <w:rPr>
          <w:smallCaps/>
        </w:rPr>
        <w:t xml:space="preserve">sc</w:t>
      </w:r>
      <w:r>
        <w:t xml:space="preserve">) 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improves the reasoning accuracy of a frozen large language model (LLM) by sampling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chain-of-thought traces and returning the plurality answer. Each trace can also report a confidence score, verbalized [</w:t>
      </w:r>
      <w:hyperlink w:anchor="bib:tian2023just">
        <w:r>
          <w:rPr>
            <w:rStyle w:val="Hyperlink"/>
          </w:rPr>
          <w:t xml:space="preserve">2</w:t>
        </w:r>
      </w:hyperlink>
      <w:r>
        <w:t xml:space="preserve">,</w:t>
      </w:r>
      <w:hyperlink w:anchor="bib:xiong2024can">
        <w:r>
          <w:rPr>
            <w:rStyle w:val="Hyperlink"/>
          </w:rPr>
          <w:t xml:space="preserve">3</w:t>
        </w:r>
      </w:hyperlink>
      <w:r>
        <w:t xml:space="preserve">], derived from token log-probabilities, or elicited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nor/>
            <m:sty m:val="p"/>
          </m:rPr>
          <m:t>True</m:t>
        </m:r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kadavath2022language">
        <w:r>
          <w:rPr>
            <w:rStyle w:val="Hyperlink"/>
          </w:rPr>
          <w:t xml:space="preserve">4</w:t>
        </w:r>
      </w:hyperlink>
      <w:r>
        <w:t xml:space="preserve">], so weighting votes by confidence is a natural refinement. Confidence-Informed Self-Consistency (CISC)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showed that this recovers the accuracy of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a fraction of the sampling budget, and introduced Within-Question Discrimination (WQD) to argue that</w:t>
      </w:r>
      <w:r>
        <w:t xml:space="preserve"> </w:t>
      </w:r>
      <w:r>
        <w:rPr>
          <w:i/>
          <w:iCs/>
        </w:rPr>
        <w:t xml:space="preserve">discrimination</w:t>
      </w:r>
      <w:r>
        <w:t xml:space="preserve">, not calibration, is the property that makes a confidence signal useful for voting.</w:t>
      </w:r>
    </w:p>
    <w:p>
      <w:pPr>
        <w:pStyle w:val="BodyText"/>
      </w:pPr>
      <w:r>
        <w:t xml:space="preserve">This refinement carries a structural fragility that, to the best of our knowledge, no published method addresses. Every existing weighting scheme is monotone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in confidence, including CISC’s softmax weights,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],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]. The trust decision is which magnitude of up-weighting to apply; the possibility that the channel is</w:t>
      </w:r>
      <w:r>
        <w:t xml:space="preserve"> </w:t>
      </w:r>
      <w:r>
        <w:rPr>
          <w:i/>
          <w:iCs/>
        </w:rPr>
        <w:t xml:space="preserve">anti-correlated</w:t>
      </w:r>
      <w:r>
        <w:t xml:space="preserve"> </w:t>
      </w:r>
      <w:r>
        <w:t xml:space="preserve">with correctness is never searched for. Yet miscalibration of direction is not exotic: reinforcement fine-tuning is known to distort verbalized confidence, distribution shift can invert a signal that was informative in-domain, and in the experiments reported here a simple anti-correlated channel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; 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 drives confidence-weighted baselines from near-perfect accuracy to far below the majority-vote floor, while the same evidence, read with the correct sign, is a perfect signal. The defensive alternative, a binary dev-set gate that disables the channel when calibration error is high, survives the inversion but discards discriminative signal wholesale: a systematically under-confident yet perfectly ranked channel fails an ECE gate for reasons irrelevant to voting utility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,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].</w:t>
      </w:r>
    </w:p>
    <w:p>
      <w:pPr>
        <w:pStyle w:val="BodyText"/>
      </w:pPr>
      <w:r>
        <w:t xml:space="preserve">This paper frames the problem as estimating one scalar: the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within-item discrimination of the confidence channel, and mapping that scalar, with its uncertainty, to a vote exponent. The contributions are:</w:t>
      </w:r>
    </w:p>
    <w:p>
      <w:pPr>
        <w:pStyle w:val="BodyText"/>
      </w:pPr>
      <w:r>
        <w:rPr>
          <w:b/>
          <w:bCs/>
        </w:rPr>
        <w:t xml:space="preserve">C1: Signed, analytically-tempered weighting.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votes with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γ</m:t>
        </m:r>
        <m:sSub>
          <m:e>
            <m:r>
              <m:t>φ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sSub>
          <m:e>
            <m:r>
              <m:t>φ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standardized van der</w:t>
      </w:r>
      <w:r>
        <w:t xml:space="preserve"> </w:t>
      </w:r>
      <w:r>
        <w:t xml:space="preserve">Waerden score of trace</w:t>
      </w:r>
      <w:r>
        <w:t xml:space="preserve"> </w:t>
      </w:r>
      <m:oMath>
        <m:r>
          <m:t>i</m:t>
        </m:r>
      </m:oMath>
      <w:r>
        <w:t xml:space="preserve">’s within-item confidence midrank and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derived</w:t>
      </w:r>
      <w:r>
        <w:t xml:space="preserve">, not grid-searched: a pooled van Elteren Somers’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(equal to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rPr>
            <m:sty m:val="p"/>
          </m:rPr>
          <m:t>W</m:t>
        </m:r>
        <m:r>
          <m:rPr>
            <m:sty m:val="p"/>
          </m:rPr>
          <m:t>Q</m:t>
        </m:r>
        <m:r>
          <m:rPr>
            <m:sty m:val="p"/>
          </m:rPr>
          <m:t>D</m:t>
        </m:r>
        <m:r>
          <m:rPr>
            <m:sty m:val="p"/>
          </m:rPr>
          <m:t>−</m:t>
        </m:r>
        <m:r>
          <m:t>1</m:t>
        </m:r>
      </m:oMath>
      <w:r>
        <w:t xml:space="preserve">) with an exact tie-corrected null variance and an</w:t>
      </w:r>
      <w:r>
        <w:t xml:space="preserve"> </w:t>
      </w:r>
      <w:r>
        <w:t xml:space="preserve">item-clustered jackknife standard error, shrunk by positive-part James–Stein</w:t>
      </w:r>
      <w:r>
        <w:t xml:space="preserve"> </w:t>
      </w:r>
      <w:r>
        <w:t xml:space="preserve">with a significance floor, then mapped through a Bayes-discriminant link. Two</w:t>
      </w:r>
      <w:r>
        <w:t xml:space="preserve"> </w:t>
      </w:r>
      <w:r>
        <w:t xml:space="preserve">anchors are exact: inside the dead zone the vote is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via a shared code path, and the log-value feature map reproduces</w:t>
      </w:r>
      <w:r>
        <w:t xml:space="preserve"> </w:t>
      </w:r>
      <w:r>
        <w:t xml:space="preserve">CISC-power. Since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uses only within-item ranks, the method is</w:t>
      </w:r>
      <w:r>
        <w:t xml:space="preserve"> </w:t>
      </w:r>
      <w:r>
        <w:t xml:space="preserve">invariant to every strictly monotone distortion of the confidence scale, and</w:t>
      </w:r>
      <w:r>
        <w:t xml:space="preserve"> </w:t>
      </w:r>
      <w:r>
        <w:t xml:space="preserve">under compression it beats the best exponent in the tested grid</w:t>
      </w:r>
      <w:r>
        <w:t xml:space="preserve"> </w:t>
      </w:r>
      <m:oMath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0.963</m:t>
        </m:r>
      </m:oMath>
      <w:r>
        <w:t xml:space="preserve">; that optimum sits at the largest</w:t>
      </w:r>
      <w:r>
        <w:t xml:space="preserve"> </w:t>
      </w:r>
      <w:r>
        <w:t xml:space="preserve">exponent tried, so the comparison bounds the grid, not the family).</w:t>
      </w:r>
    </w:p>
    <w:p>
      <w:pPr>
        <w:pStyle w:val="BodyText"/>
      </w:pPr>
      <w:r>
        <w:rPr>
          <w:b/>
          <w:bCs/>
        </w:rPr>
        <w:t xml:space="preserve">C2: Label-free estimation of the sign.</w:t>
      </w:r>
      <w:r>
        <w:t xml:space="preserve"> </w:t>
      </w:r>
      <w:r>
        <w:t xml:space="preserve">The crowdsourcing lineage</w:t>
      </w:r>
      <w:r>
        <w:t xml:space="preserve"> </w:t>
      </w:r>
      <w:r>
        <w:t xml:space="preserve">estimates reliability from cross-annotator covariance</w:t>
      </w:r>
      <w:r>
        <w:t xml:space="preserve"> </w:t>
      </w:r>
      <w:r>
        <w:t xml:space="preserve">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]; one exchangeable channel from one</w:t>
      </w:r>
      <w:r>
        <w:t xml:space="preserve"> </w:t>
      </w:r>
      <w:r>
        <w:t xml:space="preserve">model offers no such structure.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estimates the signed discrimination</w:t>
      </w:r>
      <w:r>
        <w:t xml:space="preserve"> </w:t>
      </w:r>
      <w:r>
        <w:t xml:space="preserve">from deduplication-weighted agreement pseudo-labels under a proven</w:t>
      </w:r>
      <w:r>
        <w:t xml:space="preserve"> </w:t>
      </w:r>
      <w:r>
        <w:t xml:space="preserve">class-conditional-noise identity,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D</m:t>
        </m:r>
      </m:oMath>
      <w:r>
        <w:t xml:space="preserve">: while</w:t>
      </w:r>
      <w:r>
        <w:t xml:space="preserve"> </w:t>
      </w:r>
      <w:r>
        <w:t xml:space="preserve">the pair-weighted plurality-error rate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w:r>
        <w:t xml:space="preserve">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the estimate</w:t>
      </w:r>
      <w:r>
        <w:t xml:space="preserve"> </w:t>
      </w:r>
      <w:r>
        <w:t xml:space="preserve">can only</w:t>
      </w:r>
      <w:r>
        <w:t xml:space="preserve"> </w:t>
      </w:r>
      <w:r>
        <w:rPr>
          <w:i/>
          <w:iCs/>
        </w:rPr>
        <w:t xml:space="preserve">under</w:t>
      </w:r>
      <w:r>
        <w:t xml:space="preserve">-trust, never mis-sign. A split-half inversion</w:t>
      </w:r>
      <w:r>
        <w:t xml:space="preserve"> </w:t>
      </w:r>
      <w:r>
        <w:t xml:space="preserve">de-attenuates conservatively and sign-aware alarms return the method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 the identifiability boundary. Past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it does mis-sign, which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measures rather than assumes away.</w:t>
      </w:r>
    </w:p>
    <w:p>
      <w:pPr>
        <w:pStyle w:val="BodyText"/>
      </w:pPr>
      <w:r>
        <w:rPr>
          <w:b/>
          <w:bCs/>
        </w:rPr>
        <w:t xml:space="preserve">C3: An impossibility result and its structured escape.</w:t>
      </w:r>
      <w:r>
        <w:t xml:space="preserve"> </w:t>
      </w:r>
      <w:r>
        <w:t xml:space="preserve">With i.i.d. per-item coupling and no observable covariate, per-item label-free adaptation</w:t>
      </w:r>
      <w:r>
        <w:t xml:space="preserve"> </w:t>
      </w:r>
      <w:r>
        <w:t xml:space="preserve">is closed: any monotone use of an item’s own agreement statistic collapses to</w:t>
      </w:r>
      <w:r>
        <w:t xml:space="preserve"> </w:t>
      </w:r>
      <w:r>
        <w:t xml:space="preserve">plurality reinforcement, the observable sign opposes the truth on</w:t>
      </w:r>
      <w:r>
        <w:t xml:space="preserve"> </w:t>
      </w:r>
      <m:oMath>
        <m:r>
          <m:t>96</m:t>
        </m:r>
        <m:r>
          <m:rPr>
            <m:sty m:val="p"/>
          </m:rPr>
          <m:t>%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 plurality-wrong items with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t xml:space="preserve">, the ones where a flip could win, 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minority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rPr>
            <m:nor/>
            <m:sty m:val="p"/>
          </m:rPr>
          <m:t>plurality right</m:t>
        </m:r>
        <m:r>
          <m:rPr>
            <m:sty m:val="p"/>
          </m:rPr>
          <m:t>}</m:t>
        </m:r>
      </m:oMath>
      <w:r>
        <w:t xml:space="preserve"> </w:t>
      </w:r>
      <w:r>
        <w:t xml:space="preserve">induce the same observable law. Indexed instead by an observable covariate,</w:t>
      </w:r>
      <w:r>
        <w:t xml:space="preserve"> </w:t>
      </w:r>
      <w:r>
        <w:t xml:space="preserve">the same estimator run per group recovers each group’s signed coupling with</w:t>
      </w:r>
      <w:r>
        <w:t xml:space="preserve"> </w:t>
      </w:r>
      <w:r>
        <w:t xml:space="preserve">zero 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C4: A pre-registered falsification protocol.</w:t>
      </w:r>
      <w:r>
        <w:t xml:space="preserve"> </w:t>
      </w:r>
      <w:r>
        <w:t xml:space="preserve">Four falsifiers were</w:t>
      </w:r>
      <w:r>
        <w:t xml:space="preserve"> </w:t>
      </w:r>
      <w:r>
        <w:t xml:space="preserve">fixed before implementation, two of them designed to kill the method: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dev-calibrated CISC protocol, whose tuned temperature already</w:t>
      </w:r>
      <w:r>
        <w:t xml:space="preserve"> </w:t>
      </w:r>
      <w:r>
        <w:t xml:space="preserve">interpolates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CISC, and a dev-picked</w:t>
      </w:r>
      <w:r>
        <w:t xml:space="preserve"> </w:t>
      </w:r>
      <w:r>
        <w:rPr>
          <w:i/>
          <w:iCs/>
        </w:rPr>
        <w:t xml:space="preserve">signed</w:t>
      </w:r>
      <w:r>
        <w:t xml:space="preserve"> </w:t>
      </w:r>
      <w:r>
        <w:t xml:space="preserve">exponent</w:t>
      </w:r>
      <w:r>
        <w:t xml:space="preserve"> </w:t>
      </w:r>
      <w:r>
        <w:t xml:space="preserve">grid, which the sweep shows is far the stronger of the two. All four survived,</w:t>
      </w:r>
      <w:r>
        <w:t xml:space="preserve"> </w:t>
      </w:r>
      <w:r>
        <w:t xml:space="preserve">and the margins are reported both ways: against the signed grid the advantage</w:t>
      </w:r>
      <w:r>
        <w:t xml:space="preserve"> </w:t>
      </w:r>
      <w:r>
        <w:t xml:space="preserve">concentrates in distortion, echo, and label-free operation, and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trails</w:t>
      </w:r>
      <w:r>
        <w:t xml:space="preserve"> </w:t>
      </w:r>
      <w:r>
        <w:t xml:space="preserve">it in the mid-range.</w:t>
      </w:r>
    </w:p>
    <w:p>
      <w:pPr>
        <w:pStyle w:val="BodyText"/>
      </w:pPr>
      <w:r>
        <w:rPr>
          <w:b/>
          <w:bCs/>
        </w:rPr>
        <w:t xml:space="preserve">C5: A measurement of the addressable stratum.</w:t>
      </w:r>
      <w:r>
        <w:t xml:space="preserve"> </w:t>
      </w:r>
      <w:r>
        <w:t xml:space="preserve">Two real-trace</w:t>
      </w:r>
      <w:r>
        <w:t xml:space="preserve"> </w:t>
      </w:r>
      <w:r>
        <w:t xml:space="preserve">campaigns and a five-substrate window measurement bound what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label-free aggregation method can do. The channel is null on saturated</w:t>
      </w:r>
      <w:r>
        <w:t xml:space="preserve"> </w:t>
      </w:r>
      <w:r>
        <w:t xml:space="preserve">benchmarks (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 and positive on competition</w:t>
      </w:r>
      <w:r>
        <w:t xml:space="preserve"> </w:t>
      </w:r>
      <w:r>
        <w:t xml:space="preserve">mathematics (</w:t>
      </w:r>
      <m:oMath>
        <m:r>
          <m:rPr>
            <m:sty m:val="p"/>
          </m:rPr>
          <m:t>+</m:t>
        </m:r>
        <m:r>
          <m:t>0.250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), so the premise holds where the model is</w:t>
      </w:r>
      <w:r>
        <w:t xml:space="preserve"> </w:t>
      </w:r>
      <w:r>
        <w:t xml:space="preserve">uncertain; but the stratum such a method can act on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</w:t>
      </w:r>
      <w:r>
        <w:t xml:space="preserve"> </w:t>
      </w:r>
      <w:r>
        <w:t xml:space="preserve">across all five substrates, in two domains, and does not widen as items</w:t>
      </w:r>
      <w:r>
        <w:t xml:space="preserve"> </w:t>
      </w:r>
      <w:r>
        <w:t xml:space="preserve">harden.</w:t>
      </w:r>
      <w:r>
        <w:t xml:space="preserve"> </w:t>
      </w:r>
      <w:r>
        <w:t xml:space="preserve">On both real substrates the in-pool oracle itself cannot clear the</w:t>
      </w:r>
      <w:r>
        <w:t xml:space="preserve"> </w:t>
      </w:r>
      <w:r>
        <w:t xml:space="preserve">pre-registered endpoint, which makes abstention the correct default rather</w:t>
      </w:r>
      <w:r>
        <w:t xml:space="preserve"> </w:t>
      </w:r>
      <w:r>
        <w:t xml:space="preserve">than a conservative one.</w:t>
      </w:r>
    </w:p>
    <w:bookmarkEnd w:id="10"/>
    <w:bookmarkStart w:id="11" w:name="sec:related"/>
    <w:p>
      <w:pPr>
        <w:pStyle w:val="Heading1"/>
      </w:pPr>
      <w:r>
        <w:t xml:space="preserve">Related Work</w:t>
      </w:r>
    </w:p>
    <w:p>
      <w:pPr>
        <w:pStyle w:val="FirstParagraph"/>
      </w:pPr>
      <w:r>
        <w:rPr>
          <w:b/>
          <w:bCs/>
        </w:rPr>
        <w:t xml:space="preserve">Confidence-weighted self-consistency.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[</w:t>
      </w:r>
      <w:hyperlink w:anchor="bib:wang2023selfconsistency">
        <w:r>
          <w:rPr>
            <w:rStyle w:val="Hyperlink"/>
          </w:rPr>
          <w:t xml:space="preserve">1</w:t>
        </w:r>
      </w:hyperlink>
      <w:r>
        <w:t xml:space="preserve">] treats sampled traces as i.i.d. votes. CISC [</w:t>
      </w:r>
      <w:hyperlink w:anchor="bib:taubenfeld2025cisc">
        <w:r>
          <w:rPr>
            <w:rStyle w:val="Hyperlink"/>
          </w:rPr>
          <w:t xml:space="preserve">5</w:t>
        </w:r>
      </w:hyperlink>
      <w:r>
        <w:t xml:space="preserve">] weights votes by softmax-normalized confidence with a temperature tuned on a labeled split, and its WQD metric makes the discrimination-vs-calibration point that also motivates this work; the rank-calibration line [</w:t>
      </w:r>
      <w:hyperlink w:anchor="bib:huang2024rankcalibration">
        <w:r>
          <w:rPr>
            <w:rStyle w:val="Hyperlink"/>
          </w:rPr>
          <w:t xml:space="preserve">8</w:t>
        </w:r>
      </w:hyperlink>
      <w:r>
        <w:t xml:space="preserve">] reaches the same conclusion independently. Weighted variants [</w:t>
      </w:r>
      <w:hyperlink w:anchor="bib:li2023diverse">
        <w:r>
          <w:rPr>
            <w:rStyle w:val="Hyperlink"/>
          </w:rPr>
          <w:t xml:space="preserve">11</w:t>
        </w:r>
      </w:hyperlink>
      <w:r>
        <w:t xml:space="preserve">] and early-stopping families</w:t>
      </w:r>
      <w:r>
        <w:t xml:space="preserve"> </w:t>
      </w:r>
      <w:r>
        <w:t xml:space="preserve">[</w:t>
      </w:r>
      <w:hyperlink w:anchor="bib:aggarwal2023adaptive">
        <w:r>
          <w:rPr>
            <w:rStyle w:val="Hyperlink"/>
          </w:rPr>
          <w:t xml:space="preserve">12</w:t>
        </w:r>
      </w:hyperlink>
      <w:r>
        <w:t xml:space="preserve">,</w:t>
      </w:r>
      <w:hyperlink w:anchor="bib:li2024escape">
        <w:r>
          <w:rPr>
            <w:rStyle w:val="Hyperlink"/>
          </w:rPr>
          <w:t xml:space="preserve">13</w:t>
        </w:r>
      </w:hyperlink>
      <w:r>
        <w:t xml:space="preserve">] refine the budget. Self-certainty</w:t>
      </w:r>
      <w:r>
        <w:t xml:space="preserve"> </w:t>
      </w:r>
      <w:r>
        <w:t xml:space="preserve">[</w:t>
      </w:r>
      <w:hyperlink w:anchor="bib:borda2025">
        <w:r>
          <w:rPr>
            <w:rStyle w:val="Hyperlink"/>
          </w:rPr>
          <w:t xml:space="preserve">14</w:t>
        </w:r>
      </w:hyperlink>
      <w:r>
        <w:t xml:space="preserve">] is the closest relative in spirit, being the one published</w:t>
      </w:r>
      <w:r>
        <w:t xml:space="preserve"> </w:t>
      </w:r>
      <w:r>
        <w:t xml:space="preserve">selector that scores candidates by a rank-like quantity rather than by raw</w:t>
      </w:r>
      <w:r>
        <w:t xml:space="preserve"> </w:t>
      </w:r>
      <w:r>
        <w:t xml:space="preserve">confidence, but it ranks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candidates with a fixed positive</w:t>
      </w:r>
      <w:r>
        <w:t xml:space="preserve"> </w:t>
      </w:r>
      <w:r>
        <w:t xml:space="preserve">orientation and is not evaluated here; reliability-aware pseudo-counts [</w:t>
      </w:r>
      <w:hyperlink w:anchor="bib:reasc2026">
        <w:r>
          <w:rPr>
            <w:rStyle w:val="Hyperlink"/>
          </w:rPr>
          <w:t xml:space="preserve">6</w:t>
        </w:r>
      </w:hyperlink>
      <w:r>
        <w:t xml:space="preserve">] and warmup-thresholded filtering [</w:t>
      </w:r>
      <w:hyperlink w:anchor="bib:deepconf2025">
        <w:r>
          <w:rPr>
            <w:rStyle w:val="Hyperlink"/>
          </w:rPr>
          <w:t xml:space="preserve">7</w:t>
        </w:r>
      </w:hyperlink>
      <w:r>
        <w:t xml:space="preserve">] adapt online but only re-scale positive trust. None of these searches a negative exponent: the obstruction is a sign bit in</w:t>
      </w:r>
      <w:r>
        <w:t xml:space="preserve"> </w:t>
      </w:r>
      <w:r>
        <w:t xml:space="preserve">the hyperparameter grid rather than the weight family itself, as this paper’s</w:t>
      </w:r>
      <w:r>
        <w:t xml:space="preserve"> </w:t>
      </w:r>
      <w:r>
        <w:t xml:space="preserve">own SignGrid-dev baseline shows by opening the same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 </w:t>
      </w:r>
      <w:r>
        <w:t xml:space="preserve">family to</w:t>
      </w:r>
      <w:r>
        <w:t xml:space="preserve"> </w:t>
      </w:r>
      <w:r>
        <w:t xml:space="preserve">negative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 reaching the signed oracle across the negative half-axis.</w:t>
      </w:r>
      <w:r>
        <w:t xml:space="preserve"> </w:t>
      </w:r>
      <w:r>
        <w:t xml:space="preserve">What no published protocol does is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that sign, with or without</w:t>
      </w:r>
      <w:r>
        <w:t xml:space="preserve"> </w:t>
      </w:r>
      <w:r>
        <w:t xml:space="preserve">labels. The dev-calibrated variant must therefore be positioned honestly: CISC’s tuned temperature is already a dev-calibrated</w:t>
      </w:r>
      <w:r>
        <w:t xml:space="preserve"> </w:t>
      </w:r>
      <w:r>
        <w:rPr>
          <w:smallCaps/>
        </w:rPr>
        <w:t xml:space="preserve">sc</w:t>
      </w:r>
      <m:oMath>
        <m:r>
          <m:rPr>
            <m:sty m:val="p"/>
          </m:rPr>
          <m:t>↔</m:t>
        </m:r>
      </m:oMath>
      <w:r>
        <w:t xml:space="preserve">CISC interpolation, so the novelty of</w:t>
      </w:r>
      <w:r>
        <w:t xml:space="preserve"> </w:t>
      </w:r>
      <w:r>
        <w:rPr>
          <w:smallCaps/>
        </w:rPr>
        <w:t xml:space="preserve">tact</w:t>
      </w:r>
      <w:r>
        <w:t xml:space="preserve">-dev lies in the sign, the rank invariance, and the analytic (grid-free) map, not in dev calibration itself.</w:t>
      </w:r>
    </w:p>
    <w:p>
      <w:pPr>
        <w:pStyle w:val="BodyText"/>
      </w:pPr>
      <w:r>
        <w:rPr>
          <w:b/>
          <w:bCs/>
        </w:rPr>
        <w:t xml:space="preserve">Reliability estimation without labels.</w:t>
      </w:r>
      <w:r>
        <w:t xml:space="preserve"> </w:t>
      </w:r>
      <w:r>
        <w:t xml:space="preserve">Estimating worker reliability from agreement is classical [</w:t>
      </w:r>
      <w:hyperlink w:anchor="bib:dawid1979maximum">
        <w:r>
          <w:rPr>
            <w:rStyle w:val="Hyperlink"/>
          </w:rPr>
          <w:t xml:space="preserve">9</w:t>
        </w:r>
      </w:hyperlink>
      <w:r>
        <w:t xml:space="preserve">,</w:t>
      </w:r>
      <w:hyperlink w:anchor="bib:whitehill2009whose">
        <w:r>
          <w:rPr>
            <w:rStyle w:val="Hyperlink"/>
          </w:rPr>
          <w:t xml:space="preserve">15</w:t>
        </w:r>
      </w:hyperlink>
      <w:r>
        <w:t xml:space="preserve">,</w:t>
      </w:r>
      <w:hyperlink w:anchor="bib:karger2011iterative">
        <w:r>
          <w:rPr>
            <w:rStyle w:val="Hyperlink"/>
          </w:rPr>
          <w:t xml:space="preserve">16</w:t>
        </w:r>
      </w:hyperlink>
      <w:r>
        <w:t xml:space="preserve">]; spectral meta-learners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and recent LLM ensemble work [</w:t>
      </w:r>
      <w:hyperlink w:anchor="bib:fuse2026">
        <w:r>
          <w:rPr>
            <w:rStyle w:val="Hyperlink"/>
          </w:rPr>
          <w:t xml:space="preserve">17</w:t>
        </w:r>
      </w:hyperlink>
      <w:r>
        <w:t xml:space="preserve">,</w:t>
      </w:r>
      <w:hyperlink w:anchor="bib:beyondmajority2025">
        <w:r>
          <w:rPr>
            <w:rStyle w:val="Hyperlink"/>
          </w:rPr>
          <w:t xml:space="preserve">18</w:t>
        </w:r>
      </w:hyperlink>
      <w:r>
        <w:t xml:space="preserve">] exploit covariance across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predictors. The setting here differs: one exchangeable channel from one model, per-item vote structure, and the known failure of agreement proxies under correlated errors—met here with a quantified attenuation identity, conservative de-attenuation, and alarms in place of an unconditional claim.</w:t>
      </w:r>
    </w:p>
    <w:p>
      <w:pPr>
        <w:pStyle w:val="BodyText"/>
      </w:pPr>
      <w:r>
        <w:rPr>
          <w:b/>
          <w:bCs/>
        </w:rPr>
        <w:t xml:space="preserve">Shrinkage and rank statistics.</w:t>
      </w:r>
      <w:r>
        <w:t xml:space="preserve"> </w:t>
      </w:r>
      <w:r>
        <w:t xml:space="preserve">The estimator assembles classical parts: stratified rank statistics 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], the James–Stein positive-part estimator 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], effective-sample-size corrections [</w:t>
      </w:r>
      <w:hyperlink w:anchor="bib:kish1965">
        <w:r>
          <w:rPr>
            <w:rStyle w:val="Hyperlink"/>
          </w:rPr>
          <w:t xml:space="preserve">21</w:t>
        </w:r>
      </w:hyperlink>
      <w:r>
        <w:t xml:space="preserve">,</w:t>
      </w:r>
      <w:hyperlink w:anchor="bib:rao1981analysis">
        <w:r>
          <w:rPr>
            <w:rStyle w:val="Hyperlink"/>
          </w:rPr>
          <w:t xml:space="preserve">22</w:t>
        </w:r>
      </w:hyperlink>
      <w:r>
        <w:t xml:space="preserve">], and normal-scores discriminant analysis. The claim is the assembly and its anchors, not the parts.</w:t>
      </w:r>
    </w:p>
    <w:p>
      <w:pPr>
        <w:pStyle w:val="BodyText"/>
      </w:pPr>
      <w:r>
        <w:rPr>
          <w:b/>
          <w:bCs/>
        </w:rPr>
        <w:t xml:space="preserve">Honest sibling result.</w:t>
      </w:r>
      <w:r>
        <w:t xml:space="preserve"> </w:t>
      </w:r>
      <w:r>
        <w:t xml:space="preserve">A preceding system in the same line of work</w:t>
      </w:r>
      <w:r>
        <w:t xml:space="preserve"> </w:t>
      </w:r>
      <w:r>
        <w:t xml:space="preserve">(RLEV-VoI, redundancy-discounted voting with value-of-information stopping)</w:t>
      </w:r>
      <w:r>
        <w:t xml:space="preserve"> </w:t>
      </w:r>
      <w:r>
        <w:t xml:space="preserve">was evaluated under the same falsification discipline and</w:t>
      </w:r>
      <w:r>
        <w:t xml:space="preserve"> </w:t>
      </w:r>
      <w:r>
        <w:rPr>
          <w:i/>
          <w:iCs/>
        </w:rPr>
        <w:t xml:space="preserve">failed</w:t>
      </w:r>
      <w:r>
        <w:t xml:space="preserve"> </w:t>
      </w:r>
      <w:r>
        <w:t xml:space="preserve">it,</w:t>
      </w:r>
      <w:r>
        <w:t xml:space="preserve"> </w:t>
      </w:r>
      <w:r>
        <w:t xml:space="preserve">dominated everywhere by a simple deduplication baseline, and is reported as a</w:t>
      </w:r>
      <w:r>
        <w:t xml:space="preserve"> </w:t>
      </w:r>
      <w:r>
        <w:t xml:space="preserve">negative result. Its post-mortem isolated the confidence dilemma studied</w:t>
      </w:r>
      <w:r>
        <w:t xml:space="preserve"> </w:t>
      </w:r>
      <w:r>
        <w:t xml:space="preserve">here.</w:t>
      </w:r>
    </w:p>
    <w:bookmarkEnd w:id="11"/>
    <w:bookmarkStart w:id="19" w:name="sec:setup"/>
    <w:p>
      <w:pPr>
        <w:pStyle w:val="Heading1"/>
      </w:pPr>
      <w:r>
        <w:t xml:space="preserve">Problem Setup</w:t>
      </w:r>
    </w:p>
    <w:bookmarkStart w:id="12" w:name="notation"/>
    <w:p>
      <w:pPr>
        <w:pStyle w:val="Heading2"/>
      </w:pPr>
      <w:r>
        <w:t xml:space="preserve">Notation</w:t>
      </w:r>
    </w:p>
    <w:p>
      <w:pPr>
        <w:pStyle w:val="FirstParagraph"/>
      </w:pPr>
      <w:r>
        <w:t xml:space="preserve">Items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;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sampled traces. Trace</w:t>
      </w:r>
      <w:r>
        <w:t xml:space="preserve"> </w:t>
      </w:r>
      <m:oMath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yields an answer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in a discrete set and a confidence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 correctness is</w:t>
      </w:r>
      <w:r>
        <w:t xml:space="preserve"> </w:t>
      </w:r>
      <m:oMath>
        <m:sSub>
          <m:e>
            <m:r>
              <m:t>y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 unobserved at test time.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counts votes for answer</w:t>
      </w:r>
      <w:r>
        <w:t xml:space="preserve"> </w:t>
      </w:r>
      <m:oMath>
        <m:r>
          <m:t>A</m:t>
        </m:r>
      </m:oMath>
      <w:r>
        <w:t xml:space="preserve">. CISC-power weights votes by</w:t>
      </w:r>
      <w:r>
        <w:t xml:space="preserve"> </w:t>
      </w:r>
      <m:oMath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t xml:space="preserve"> </w:t>
      </w:r>
      <w:r>
        <w:t xml:space="preserve">with a fixed</w:t>
      </w:r>
      <w:r>
        <w:t xml:space="preserve"> </w:t>
      </w:r>
      <m:oMath>
        <m:r>
          <m:t>γ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"/>
    <w:bookmarkStart w:id="18" w:name="the-confidence-dilemma"/>
    <w:p>
      <w:pPr>
        <w:pStyle w:val="Heading2"/>
      </w:pPr>
      <w:r>
        <w:t xml:space="preserve">The confidence dilemma</w:t>
      </w:r>
    </w:p>
    <w:p>
      <w:pPr>
        <w:pStyle w:val="FirstParagraph"/>
      </w:pPr>
      <w:r>
        <w:t xml:space="preserve">The synthetic oracle draws, per item, traces from a cluster mixture with a latent correct answer and generates confidence as</w:t>
      </w:r>
      <w:r>
        <w:t xml:space="preserve"> </w:t>
      </w:r>
      <w:bookmarkStart w:id="13" w:name="eq:confmodel"/>
      <w:bookmarkEnd w:id="13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clip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κ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 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0.99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noise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coupling</w:t>
      </w:r>
      <w:r>
        <w:t xml:space="preserve"> </w:t>
      </w:r>
      <m:oMath>
        <m:r>
          <m:t>κ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]</m:t>
        </m:r>
      </m:oMath>
      <w:r>
        <w:t xml:space="preserve">. 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maps the baseline landscape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proposed method existed: unconditional weighting (CISC,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) collapses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; an ECE gate never opens off the well-calibrated diagonal; a sign-corrected AUC gate over dev labels nearly saturates the homogeneous sweep. This pre-measurement fixes where a new method can legitimately claim wins—monotone distortion of the confidence scale, covariate heterogeneity, small dev sets, and label-free operation—and the evaluation holds itself to exactly those cells.</w:t>
      </w:r>
    </w:p>
    <w:bookmarkStart w:id="17" w:name="fig:baselines"/>
    <w:p>
      <w:pPr>
        <w:pStyle w:val="CaptionedFigure"/>
      </w:pPr>
      <w:r>
        <w:drawing>
          <wp:inline>
            <wp:extent cx="3121335" cy="257590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s/kappa_sweep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pre-measured problem statement: accuracy of baseline confidence policies at fixed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as the true coupling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varies. A trivial sign-corrected AUC gate (green) nearly saturates the homogeneous sweep; the headroom for any new method (shaded) concentrates in the mid-range and, off this plot, in distortion, heterogeneity, and label-free cells.</w:t>
      </w:r>
    </w:p>
    <w:bookmarkEnd w:id="17"/>
    <w:bookmarkEnd w:id="18"/>
    <w:bookmarkEnd w:id="19"/>
    <w:bookmarkStart w:id="36" w:name="sec:method"/>
    <w:p>
      <w:pPr>
        <w:pStyle w:val="Heading1"/>
      </w:pPr>
      <w:r>
        <w:t xml:space="preserve">TACT</w:t>
      </w:r>
    </w:p>
    <w:bookmarkStart w:id="22" w:name="vote-family"/>
    <w:p>
      <w:pPr>
        <w:pStyle w:val="Heading2"/>
      </w:pPr>
      <w:r>
        <w:t xml:space="preserve">Vote family</w:t>
      </w:r>
    </w:p>
    <w:p>
      <w:pPr>
        <w:pStyle w:val="FirstParagraph"/>
      </w:pPr>
      <w:r>
        <w:t xml:space="preserve">Within item</w:t>
      </w:r>
      <w:r>
        <w:t xml:space="preserve"> </w:t>
      </w:r>
      <m:oMath>
        <m:r>
          <m:t>q</m:t>
        </m:r>
      </m:oMath>
      <w:r>
        <w:t xml:space="preserve">, let</w:t>
      </w:r>
      <w:r>
        <w:t xml:space="preserve"> </w:t>
      </w:r>
      <m:oMath>
        <m:sSub>
          <m:e>
            <m:r>
              <m:t>R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be the midrank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(ties averaged) and</w:t>
      </w:r>
      <w:r>
        <w:t xml:space="preserve"> </w:t>
      </w:r>
      <w:bookmarkStart w:id="20" w:name="eq:vdw"/>
      <w:bookmarkEnd w:id="20"/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φ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R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standard deviation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within the item (the no-tie value is</w:t>
      </w:r>
      <w:r>
        <w:t xml:space="preserve"> </w:t>
      </w:r>
      <m:oMath>
        <m:r>
          <m:t>0.62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; a closed form would silently rescale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across budgets), and</w:t>
      </w:r>
      <w:r>
        <w:t xml:space="preserve"> </w:t>
      </w:r>
      <m:oMath>
        <m:r>
          <m:t>φ</m:t>
        </m:r>
        <m:r>
          <m:rPr>
            <m:sty m:val="p"/>
          </m:rPr>
          <m:t>≡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(all-tied confidences vote as plain</w:t>
      </w:r>
      <w:r>
        <w:t xml:space="preserve"> </w:t>
      </w:r>
      <w:r>
        <w:rPr>
          <w:smallCaps/>
        </w:rPr>
        <w:t xml:space="preserve">sc</w:t>
      </w:r>
      <w:r>
        <w:t xml:space="preserve">). The vote is</w:t>
      </w:r>
      <w:r>
        <w:t xml:space="preserve"> </w:t>
      </w:r>
      <w:bookmarkStart w:id="21" w:name="eq:vote"/>
      <w:bookmarkEnd w:id="21"/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a</m:t>
                  </m:r>
                </m:e>
              </m:acc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A</m:t>
              </m:r>
            </m:lim>
          </m:limLow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γ</m:t>
              </m:r>
              <m:r>
                <m:t> </m:t>
              </m:r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when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implementation</w:t>
      </w:r>
      <w:r>
        <w:t xml:space="preserve"> </w:t>
      </w:r>
      <w:r>
        <w:rPr>
          <w:i/>
          <w:iCs/>
        </w:rPr>
        <w:t xml:space="preserve">calls the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routine itself</w:t>
      </w:r>
      <w:r>
        <w:t xml:space="preserve">, making the zero-trust anchor bitwise exact rather than equal in distribution. Because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through within-item ranks, every strictly monotone distortion of the confidence scale leaves</w:t>
      </w:r>
      <w:r>
        <w:t xml:space="preserve"> </w:t>
      </w:r>
      <w:hyperlink w:anchor="eq:vote">
        <w:r>
          <w:rPr>
            <w:rStyle w:val="Hyperlink"/>
          </w:rPr>
          <w:t xml:space="preserve">[eq:vote]</w:t>
        </w:r>
      </w:hyperlink>
      <w:r>
        <w:t xml:space="preserve"> </w:t>
      </w:r>
      <w:r>
        <w:t xml:space="preserve">unchanged.</w:t>
      </w:r>
    </w:p>
    <w:bookmarkEnd w:id="22"/>
    <w:bookmarkStart w:id="24" w:name="reliability-statistic"/>
    <w:p>
      <w:pPr>
        <w:pStyle w:val="Heading2"/>
      </w:pPr>
      <w:r>
        <w:t xml:space="preserve">Reliability statistic</w:t>
      </w:r>
    </w:p>
    <w:p>
      <w:pPr>
        <w:pStyle w:val="FirstParagraph"/>
      </w:pPr>
      <w:r>
        <w:t xml:space="preserve">For item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</m:oMath>
      <w:r>
        <w:t xml:space="preserve"> </w:t>
      </w:r>
      <w:r>
        <w:t xml:space="preserve">positive and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negative labels (dev:</w:t>
      </w:r>
      <w:r>
        <w:t xml:space="preserve"> </w:t>
      </w:r>
      <m:oMath>
        <m:r>
          <m:t>y</m:t>
        </m:r>
      </m:oMath>
      <w:r>
        <w:t xml:space="preserve">; label-free: the pseudo-label of Section </w:t>
      </w:r>
      <w:hyperlink w:anchor="sec:lf">
        <w:r>
          <w:rPr>
            <w:rStyle w:val="Hyperlink"/>
          </w:rPr>
          <w:t xml:space="preserve">5</w:t>
        </w:r>
      </w:hyperlink>
      <w:r>
        <w:t xml:space="preserve">), the Mann–Whitney statistic on midranks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q</m:t>
                  </m:r>
                </m:sub>
              </m:sSub>
            </m:num>
            <m:den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W</m:t>
            </m:r>
            <m:r>
              <m:rPr>
                <m:sty m:val="p"/>
              </m:rPr>
              <m:t>Q</m:t>
            </m:r>
            <m:r>
              <m:rPr>
                <m:sty m:val="p"/>
              </m:rP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CISC’s notation. Pooling uses van Elteren pair-count weights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</m:oMath>
      <w:r>
        <w:t xml:space="preserve"> </w:t>
      </w:r>
      <w:r>
        <w:t xml:space="preserve">[</w:t>
      </w:r>
      <w:hyperlink w:anchor="bib:vanelteren1960">
        <w:r>
          <w:rPr>
            <w:rStyle w:val="Hyperlink"/>
          </w:rPr>
          <w:t xml:space="preserve">19</w:t>
        </w:r>
      </w:hyperlink>
      <w:r>
        <w:t xml:space="preserve">]:</w:t>
      </w:r>
      <w:r>
        <w:t xml:space="preserve"> </w:t>
      </w:r>
      <w:bookmarkStart w:id="23" w:name="eq:pooled"/>
      <w:bookmarkEnd w:id="23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q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q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the within-item exchangeability null,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has the exact tie-corrected variance</w:t>
      </w:r>
      <w:r>
        <w:t xml:space="preserve"> </w:t>
      </w:r>
      <m:oMath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⋅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t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m</m:t>
            </m:r>
          </m:e>
          <m:sub>
            <m:r>
              <m:t>q</m:t>
            </m:r>
          </m:sub>
          <m:sup>
            <m:r>
              <m:t>3</m:t>
            </m:r>
          </m:sup>
        </m:sSubSup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yielding a null standard error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</m:oMath>
      <w:r>
        <w:t xml:space="preserve">; between-item heterogeneity is captured by the closed-form delete-one-item jackknife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</m:oMath>
      <w:r>
        <w:t xml:space="preserve">. The conservative choice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/</m:t>
          </m:r>
          <m:r>
            <m:rPr>
              <m:sty m:val="p"/>
            </m:rPr>
            <m:t>S</m:t>
          </m:r>
          <m:r>
            <m:rPr>
              <m:sty m:val="p"/>
            </m:rPr>
            <m:t>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 pairwise functional,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: an exponent estimated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transfers to deployment at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bookmarkEnd w:id="24"/>
    <w:bookmarkStart w:id="27" w:name="tempering-map"/>
    <w:p>
      <w:pPr>
        <w:pStyle w:val="Heading2"/>
      </w:pPr>
      <w:r>
        <w:t xml:space="preserve">Tempering map</w:t>
      </w:r>
    </w:p>
    <w:p>
      <w:pPr>
        <w:pStyle w:val="FirstParagraph"/>
      </w:pPr>
      <w:r>
        <w:rPr>
          <w:i/>
          <w:iCs/>
        </w:rPr>
        <w:t xml:space="preserve">Shrinkage.</w:t>
      </w:r>
      <w:r>
        <w:t xml:space="preserve"> </w:t>
      </w:r>
      <w:r>
        <w:t xml:space="preserve">Positive-part James–Stein with a significance floor</w:t>
      </w:r>
      <w:r>
        <w:t xml:space="preserve"> </w:t>
      </w:r>
      <m:oMath>
        <m:r>
          <m:t>ν</m:t>
        </m:r>
      </m:oMath>
      <w:r>
        <w:t xml:space="preserve">:</w:t>
      </w:r>
      <w:r>
        <w:t xml:space="preserve"> </w:t>
      </w:r>
      <w:bookmarkStart w:id="25" w:name="eq:js"/>
      <w:bookmarkEnd w:id="25"/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D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D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|</m:t>
              </m:r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|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dead zone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v</m:t>
            </m:r>
          </m:sub>
        </m:sSub>
        <m:r>
          <m:rPr>
            <m:sty m:val="p"/>
          </m:rPr>
          <m:t>=</m:t>
        </m:r>
        <m:r>
          <m:t>1.28</m:t>
        </m:r>
      </m:oMath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2.33</m:t>
        </m:r>
      </m:oMath>
      <w:r>
        <w:t xml:space="preserve">. With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is exactly the empirical-Bayes posterior mean under a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prior with plug-in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[</w:t>
      </w:r>
      <w:hyperlink w:anchor="bib:james1961estimation">
        <w:r>
          <w:rPr>
            <w:rStyle w:val="Hyperlink"/>
          </w:rPr>
          <w:t xml:space="preserve">20</w:t>
        </w:r>
      </w:hyperlink>
      <w:r>
        <w:t xml:space="preserve">]. The map is odd, continuous, never exceeds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|</m:t>
        </m:r>
      </m:oMath>
      <w:r>
        <w:t xml:space="preserve">, and is monotone in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and anti-monotone in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Link.</w:t>
      </w:r>
      <w:r>
        <w:t xml:space="preserve"> </w:t>
      </w:r>
      <w:r>
        <w:t xml:space="preserve">Model</w:t>
      </w:r>
      <w:r>
        <w:t xml:space="preserve"> </w:t>
      </w:r>
      <m:oMath>
        <m:r>
          <m:t>φ</m:t>
        </m:r>
        <m:r>
          <m:t> </m:t>
        </m:r>
        <m:r>
          <m:rPr>
            <m:sty m:val="p"/>
          </m:rPr>
          <m:t>|</m:t>
        </m:r>
        <m:r>
          <m:t> </m:t>
        </m:r>
        <m:r>
          <m:t>y</m:t>
        </m:r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within item with the</w:t>
      </w:r>
      <w:r>
        <w:t xml:space="preserve"> </w:t>
      </w:r>
      <w:r>
        <w:rPr>
          <w:i/>
          <w:iCs/>
        </w:rPr>
        <w:t xml:space="preserve">mixture</w:t>
      </w:r>
      <w:r>
        <w:t xml:space="preserve"> </w:t>
      </w:r>
      <w:r>
        <w:t xml:space="preserve">standardized to unit variance, which is what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enforces, so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base rate of correct traces. The Bayes-optimal per-trace log-weight coefficient is then</w:t>
      </w:r>
      <w:r>
        <w:t xml:space="preserve"> </w:t>
      </w:r>
      <w:bookmarkStart w:id="26" w:name="eq:link"/>
      <w:bookmarkEnd w:id="26"/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γ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u</m:t>
              </m:r>
            </m:num>
            <m:den>
              <m:r>
                <m:t>s</m:t>
              </m:r>
            </m:den>
          </m:f>
          <m:r>
            <m:rPr>
              <m:sty m:val="p"/>
            </m:rPr>
            <m:t>=</m:t>
          </m:r>
          <m:r>
            <m:t>u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capped at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(</w:t>
      </w:r>
      <m:oMath>
        <m:r>
          <m:t>4</m:t>
        </m:r>
      </m:oMath>
      <w:r>
        <w:t xml:space="preserve"> </w:t>
      </w:r>
      <w:r>
        <w:t xml:space="preserve">dev,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label-free). The uncorrected link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under-weights strong channels by up to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0.9</m:t>
        </m:r>
      </m:oMath>
      <w:r>
        <w:t xml:space="preserve">. The link assumes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is within-item normal, which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supplies only asymptotically: at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the score takes four values before standardization. The scale consequence is handled by using the realized</w:t>
      </w:r>
      <w:r>
        <w:t xml:space="preserve"> </w:t>
      </w:r>
      <m:oMath>
        <m:sSub>
          <m:e>
            <m:r>
              <m:t>σ</m:t>
            </m:r>
          </m:e>
          <m:sub>
            <m:r>
              <m:t>q</m:t>
            </m:r>
          </m:sub>
        </m:sSub>
      </m:oMath>
      <w:r>
        <w:t xml:space="preserve">, but the distributional one is not, and it bites hardest in the small-budget setting this paper advertises (</w:t>
      </w:r>
      <m:oMath>
        <m:r>
          <m:t>m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estimates transferring to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).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the cap binds and the link’s shape is irrelevant; small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where it has to hold and where it is least justified.</w:t>
      </w:r>
    </w:p>
    <w:bookmarkEnd w:id="27"/>
    <w:bookmarkStart w:id="31" w:name="sec:oneline"/>
    <w:p>
      <w:pPr>
        <w:pStyle w:val="Heading2"/>
      </w:pPr>
      <w:r>
        <w:rPr>
          <w:smallCaps/>
        </w:rPr>
        <w:t xml:space="preserve">tact</w:t>
      </w:r>
      <w:r>
        <w:t xml:space="preserve"> </w:t>
      </w:r>
      <w:r>
        <w:t xml:space="preserve">in one expression</w:t>
      </w:r>
    </w:p>
    <w:p>
      <w:pPr>
        <w:pStyle w:val="FirstParagraph"/>
      </w:pPr>
      <w:r>
        <w:t xml:space="preserve">Two simplifications collapse the pipeline. Factoring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out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makes the shrinkage a multiplicative gain in the pooled</w:t>
      </w:r>
      <w:r>
        <w:t xml:space="preserve"> </w:t>
      </w:r>
      <m:oMath>
        <m:r>
          <m:t>z</m:t>
        </m:r>
      </m:oMath>
      <w:r>
        <w:t xml:space="preserve">-statistic</w:t>
      </w:r>
      <w:r>
        <w:t xml:space="preserve"> </w:t>
      </w:r>
      <m:oMath>
        <m:r>
          <m:t>ζ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w:r>
        <w:t xml:space="preserve">alone, and substituting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</m:num>
              <m:den>
                <m:r>
                  <m:t>2</m:t>
                </m:r>
              </m:den>
            </m:f>
          </m:e>
        </m:d>
      </m:oMath>
      <w:r>
        <w:t xml:space="preserve"> </w:t>
      </w:r>
      <w:r>
        <w:t xml:space="preserve">into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removes the nested radical.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is then</w:t>
      </w:r>
      <w:r>
        <w:t xml:space="preserve"> </w:t>
      </w:r>
      <w:bookmarkStart w:id="28" w:name="eq:oneline"/>
      <w:bookmarkEnd w:id="28"/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 </m:t>
              </m:r>
              <m:eqAr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q</m:t>
                      </m:r>
                    </m:sub>
                  </m:sSub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arg</m:t>
                  </m:r>
                  <m:limLow>
                    <m:e>
                      <m:r>
                        <m:rPr>
                          <m:sty m:val="p"/>
                        </m:rPr>
                        <m:t>max</m:t>
                      </m:r>
                    </m:e>
                    <m:lim>
                      <m:r>
                        <m:t>A</m:t>
                      </m:r>
                    </m:lim>
                  </m:limLow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γ</m:t>
                      </m:r>
                      <m:r>
                        <m:t> </m:t>
                      </m:r>
                      <m:sSub>
                        <m:e>
                          <m:r>
                            <m:t>φ</m:t>
                          </m:r>
                        </m:e>
                        <m:sub>
                          <m:r>
                            <m:t>q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i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,</m:t>
                  </m:r>
                </m:e>
                <m:e>
                  <m:r>
                    <m:t>γ</m:t>
                  </m:r>
                  <m:r>
                    <m:t>&amp;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[</m:t>
                  </m:r>
                  <m:r>
                    <m:t>z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b>
                    <m:sup>
                      <m:sSub>
                        <m:e>
                          <m:r>
                            <m:t>γ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max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,</m:t>
                  </m:r>
                </m:e>
              </m:eqArr>
              <m:r>
                <m:t> </m:t>
              </m:r>
            </m:e>
          </m:borderBox>
        </m:oMath>
      </m:oMathPara>
    </w:p>
    <w:p>
      <w:pPr>
        <w:pStyle w:val="FirstParagraph"/>
      </w:pPr>
      <w:bookmarkStart w:id="29" w:name="eq:oneline2"/>
      <w:bookmarkEnd w:id="29"/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̂"/>
                    </m:accPr>
                    <m:e>
                      <m:r>
                        <m:t>D</m:t>
                      </m:r>
                    </m:e>
                  </m:acc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ζ</m:t>
                      </m:r>
                    </m:e>
                    <m:sup>
                      <m:r>
                        <m:t>2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rPr>
                          <m:sty m:val="p"/>
                        </m:rPr>
                        <m:t>+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  <m:r>
            <m:t>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from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. At the</w:t>
      </w:r>
      <w:r>
        <w:t xml:space="preserve"> </w:t>
      </w:r>
      <w:r>
        <w:t xml:space="preserve">default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exponent is exactly</w:t>
      </w:r>
      <w:r>
        <w:t xml:space="preserve"> </w:t>
      </w:r>
      <w:bookmarkStart w:id="30" w:name="eq:half"/>
      <w:bookmarkEnd w:id="30"/>
    </w:p>
    <w:p>
      <w:pPr>
        <w:pStyle w:val="BodyText"/>
      </w:pPr>
      <m:oMathPara>
        <m:oMathParaPr>
          <m:jc m:val="center"/>
        </m:oMathParaPr>
        <m:oMath>
          <m:r>
            <m:t>γ</m:t>
          </m:r>
          <m:r>
            <m:rPr>
              <m:sty m:val="p"/>
            </m:rPr>
            <m:t>=</m:t>
          </m:r>
          <m:r>
            <m:t>z</m:t>
          </m:r>
          <m:rad>
            <m:radPr>
              <m:degHide m:val="on"/>
            </m:radPr>
            <m:deg/>
            <m:e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probit and one square root, where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is the shrunk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statistic of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 </w:t>
      </w:r>
      <w:r>
        <w:t xml:space="preserve">and not the per-item</w:t>
      </w:r>
      <w: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. Nothing in it is fitted to outcomes: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a</w:t>
      </w:r>
      <w:r>
        <w:t xml:space="preserve"> </w:t>
      </w:r>
      <w:r>
        <w:t xml:space="preserve">significance level and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a clip, both fixed before any data is</w:t>
      </w:r>
      <w:r>
        <w:t xml:space="preserve"> </w:t>
      </w:r>
      <w:r>
        <w:t xml:space="preserve">seen. The clip is not cosmetic, though.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 it binds, and</w:t>
      </w:r>
      <w:r>
        <w:t xml:space="preserve"> </w:t>
      </w:r>
      <w:r>
        <w:t xml:space="preserve">the vote then sees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rather than the derived magnitude</w:t>
      </w:r>
      <w:r>
        <w:t xml:space="preserve"> </w:t>
      </w:r>
      <w:r>
        <w:t xml:space="preserve">(Section </w:t>
      </w:r>
      <w:hyperlink w:anchor="sec:results">
        <w:r>
          <w:rPr>
            <w:rStyle w:val="Hyperlink"/>
          </w:rPr>
          <w:t xml:space="preserve">8</w:t>
        </w:r>
      </w:hyperlink>
      <w:r>
        <w:t xml:space="preserve">). The dead zone is now visible as a single condition,</w:t>
      </w:r>
      <w:r>
        <w:t xml:space="preserve"> </w:t>
      </w:r>
      <m:oMath>
        <m:r>
          <m:rPr>
            <m:sty m:val="p"/>
          </m:rPr>
          <m:t>|</m:t>
        </m:r>
        <m:r>
          <m:t>ζ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ν</m:t>
        </m:r>
      </m:oMath>
      <w:r>
        <w:t xml:space="preserve">, on which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identically zero and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 </w:t>
      </w:r>
      <w:r>
        <w:t xml:space="preserve">is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. Equations</w:t>
      </w:r>
      <w:r>
        <w:t xml:space="preserve"> </w:t>
      </w:r>
      <w:hyperlink w:anchor="eq:oneline">
        <w:r>
          <w:rPr>
            <w:rStyle w:val="Hyperlink"/>
          </w:rPr>
          <w:t xml:space="preserve">[eq:oneline]</w:t>
        </w:r>
      </w:hyperlink>
      <w:r>
        <w:t xml:space="preserve">–</w:t>
      </w:r>
      <w:hyperlink w:anchor="eq:half">
        <w:r>
          <w:rPr>
            <w:rStyle w:val="Hyperlink"/>
          </w:rPr>
          <w:t xml:space="preserve">[eq:half]</w:t>
        </w:r>
      </w:hyperlink>
      <w:r>
        <w:t xml:space="preserve"> </w:t>
      </w:r>
      <w:r>
        <w:t xml:space="preserve">are verified equivalent to the shipped</w:t>
      </w:r>
      <w:r>
        <w:t xml:space="preserve"> </w:t>
      </w:r>
      <w:r>
        <w:t xml:space="preserve">implementation over randomised inputs including every boundary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tests/test_formula.py</w:t>
      </w:r>
      <w:r>
        <w:t xml:space="preserve">).</w:t>
      </w:r>
    </w:p>
    <w:p>
      <w:pPr>
        <w:pStyle w:val="BodyText"/>
      </w:pPr>
      <w:r>
        <w:t xml:space="preserve">labeled dev pools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 test pools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floor</w:t>
      </w:r>
      <w:r>
        <w:t xml:space="preserve"> </w:t>
      </w:r>
      <m:oMath>
        <m:r>
          <m:t>ν</m:t>
        </m:r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one scalar</w:t>
      </w:r>
      <w:r>
        <w:t xml:space="preserve"> </w:t>
      </w:r>
      <m:oMath>
        <m:r>
          <m:t>γ</m:t>
        </m:r>
      </m:oMath>
      <w:r>
        <w:t xml:space="preserve">; an answer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←</m:t>
        </m:r>
        <m:r>
          <m:rPr>
            <m:sty m:val="p"/>
          </m:rPr>
          <m:t>∅</m:t>
        </m:r>
      </m:oMath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t>q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;</w:t>
      </w:r>
      <m:oMath>
        <m:r>
          <m:t>H</m:t>
        </m:r>
        <m:r>
          <m:rPr>
            <m:sty m:val="p"/>
          </m:rPr>
          <m:t>←</m:t>
        </m:r>
        <m:r>
          <m:t>H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m:oMath>
        <m:r>
          <m:t>R</m:t>
        </m:r>
        <m:r>
          <m:rPr>
            <m:sty m:val="p"/>
          </m:rPr>
          <m:t>←</m:t>
        </m:r>
      </m:oMath>
      <w:r>
        <w:t xml:space="preserve"> </w:t>
      </w:r>
      <w:r>
        <w:t xml:space="preserve">within-item midranks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t>2</m:t>
        </m:r>
        <m:sSub>
          <m:e>
            <m:r>
              <m:t>U</m:t>
            </m:r>
          </m:e>
          <m:sub>
            <m:r>
              <m:t>q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n</m:t>
            </m:r>
          </m:e>
          <m:sub>
            <m:r>
              <m:t>q</m:t>
            </m:r>
          </m:sub>
          <m:sup>
            <m:r>
              <m:t>1</m:t>
            </m:r>
          </m:sup>
        </m:sSubSup>
        <m:sSubSup>
          <m:e>
            <m:r>
              <m:t>n</m:t>
            </m:r>
          </m:e>
          <m:sub>
            <m:r>
              <m:t>q</m:t>
            </m:r>
          </m:sub>
          <m:sup>
            <m:r>
              <m:t>0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←</m:t>
        </m:r>
        <m:r>
          <m:rPr>
            <m:scr m:val="script"/>
            <m:sty m:val="p"/>
          </m:rPr>
          <m:t>S</m:t>
        </m:r>
        <m:r>
          <m:rPr>
            <m:sty m:val="p"/>
          </m:rPr>
          <m:t>∪</m:t>
        </m:r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r>
          <m:t> </m:t>
        </m:r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←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  <m:sSub>
          <m:e>
            <m:r>
              <m:t>D</m:t>
            </m:r>
          </m:e>
          <m:sub>
            <m:r>
              <m:t>q</m:t>
            </m:r>
          </m:sub>
        </m:sSub>
        <m:r>
          <m:t> 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q</m:t>
            </m:r>
          </m:sub>
          <m:sup>
            <m:r>
              <m:t>​</m:t>
            </m:r>
          </m:sup>
          <m:e>
            <m:sSub>
              <m:e>
                <m:r>
                  <m:t>N</m:t>
                </m:r>
              </m:e>
              <m:sub>
                <m:r>
                  <m:t>q</m:t>
                </m:r>
              </m:sub>
            </m:sSub>
          </m:e>
        </m:nary>
      </m:oMath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←</m:t>
        </m:r>
        <m:r>
          <m:rPr>
            <m:sty m:val="p"/>
          </m:rPr>
          <m:t>max</m:t>
        </m:r>
        <m:r>
          <m:rPr>
            <m:sty m:val="p"/>
          </m:rPr>
          <m:t>{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t> 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r>
          <m:t>0.05</m:t>
        </m:r>
        <m:r>
          <m:rPr>
            <m:sty m:val="p"/>
          </m:rPr>
          <m:t>,</m:t>
        </m:r>
        <m:r>
          <m:t> </m:t>
        </m:r>
        <m:r>
          <m:t>0.95</m:t>
        </m:r>
        <m:r>
          <m:rPr>
            <m:sty m:val="p"/>
          </m:rPr>
          <m:t>)</m:t>
        </m:r>
      </m:oMath>
      <w:r>
        <w:t xml:space="preserve"> </w:t>
      </w:r>
      <m:oMath>
        <m:r>
          <m:t>ζ</m:t>
        </m:r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t>0</m:t>
        </m:r>
      </m:oMath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←</m:t>
        </m:r>
        <m:acc>
          <m:accPr>
            <m:chr m:val="̂"/>
          </m:accPr>
          <m:e>
            <m:r>
              <m:t>D</m:t>
            </m:r>
          </m:e>
        </m:acc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ζ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m:oMath>
        <m:r>
          <m:t>z</m:t>
        </m:r>
        <m:r>
          <m:rPr>
            <m:sty m:val="p"/>
          </m:rPr>
          <m:t>←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D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  <w:r>
        <w:t xml:space="preserve"> </w:t>
      </w:r>
      <m:oMath>
        <m:r>
          <m:t>γ</m:t>
        </m:r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</m:e>
            </m:rad>
            <m:r>
              <m:rPr>
                <m:sty m:val="p"/>
              </m:rPr>
              <m:t>,</m:t>
            </m:r>
            <m:r>
              <m:t> </m:t>
            </m:r>
            <m:r>
              <m:rPr>
                <m:sty m:val="p"/>
              </m:rPr>
              <m:t>±</m:t>
            </m:r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max</m:t>
                </m:r>
              </m:sub>
            </m:sSub>
          </m:e>
        </m:d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r>
          <m:t>φ</m:t>
        </m:r>
        <m:r>
          <m:rPr>
            <m:sty m:val="p"/>
          </m:rPr>
          <m:t>←</m:t>
        </m:r>
      </m:oMath>
      <w:r>
        <w:t xml:space="preserve"> </w:t>
      </w:r>
      <w:r>
        <w:t xml:space="preserve">standardized van der Waerden scores of</w:t>
      </w:r>
      <w:r>
        <w:t xml:space="preserve"> </w:t>
      </w:r>
      <m:oMath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</m:sub>
        </m:sSub>
      </m:oMath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r>
                  <m:t>γ</m:t>
                </m:r>
                <m:sSub>
                  <m:e>
                    <m:r>
                      <m:t>φ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 </w:t>
      </w:r>
      <m:oMath>
        <m:r>
          <m:t>γ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̂"/>
              </m:accPr>
              <m:e>
                <m:r>
                  <m:t>a</m:t>
                </m:r>
              </m:e>
            </m:acc>
          </m:e>
          <m:sub>
            <m:r>
              <m:t>q</m:t>
            </m:r>
          </m:sub>
        </m:sSub>
        <m:r>
          <m:rPr>
            <m:sty m:val="p"/>
          </m:rPr>
          <m:t>}</m:t>
        </m:r>
      </m:oMath>
    </w:p>
    <w:p>
      <w:pPr>
        <w:pStyle w:val="BodyText"/>
      </w:pPr>
      <w:r>
        <w:t xml:space="preserve">Algorithm </w:t>
      </w:r>
      <w:hyperlink w:anchor="alg:tact">
        <w:r>
          <w:rPr>
            <w:rStyle w:val="Hyperlink"/>
          </w:rPr>
          <w:t xml:space="preserve">[alg:tact]</w:t>
        </w:r>
      </w:hyperlink>
      <w:r>
        <w:t xml:space="preserve"> </w:t>
      </w:r>
      <w:r>
        <w:t xml:space="preserve">states the labeled path end to end. Both loops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log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per item, dominated by the within-item ranking, and the estimate</w:t>
      </w:r>
      <w:r>
        <w:t xml:space="preserve"> </w:t>
      </w:r>
      <w:r>
        <w:t xml:space="preserve">is a single scalar: nothing item-specific crosses from dev to test, which is</w:t>
      </w:r>
      <w:r>
        <w:t xml:space="preserve"> </w:t>
      </w:r>
      <w:r>
        <w:t xml:space="preserve">what makes the dead zone a global abstention rather than a per-item one.</w:t>
      </w:r>
    </w:p>
    <w:bookmarkEnd w:id="31"/>
    <w:bookmarkStart w:id="35" w:name="anchor-properties"/>
    <w:p>
      <w:pPr>
        <w:pStyle w:val="Heading2"/>
      </w:pPr>
      <w:r>
        <w:t xml:space="preserve">Anchor properties</w:t>
      </w:r>
    </w:p>
    <w:bookmarkStart w:id="32" w:name="prop:sc"/>
    <w:p>
      <w:pPr>
        <w:pStyle w:val="FirstParagraph"/>
      </w:pPr>
      <w:r>
        <w:rPr>
          <w:b/>
          <w:bCs/>
        </w:rPr>
        <w:t xml:space="preserve">Proposition 1</w:t>
      </w:r>
      <w:r>
        <w:t xml:space="preserve"> </w:t>
      </w:r>
      <w:r>
        <w:t xml:space="preserve">(Exact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At</w:t>
      </w:r>
      <w:r>
        <w:rPr>
          <w:i/>
          <w:iCs/>
        </w:rP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w:anchor="eq:vote">
        <w:r>
          <w:rPr>
            <w:rStyle w:val="Hyperlink"/>
            <w:i/>
            <w:iCs/>
          </w:rPr>
          <w:t xml:space="preserve">[eq:vote]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equals plain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as a function on every trace pool, including tie-breaks. Under</w:t>
      </w:r>
      <w:r>
        <w:rPr>
          <w:i/>
          <w:iCs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m:oMath>
        <m:r>
          <m:t>P</m:t>
        </m:r>
        <m:r>
          <m:rPr>
            <m:sty m:val="p"/>
          </m:rPr>
          <m:t>(</m:t>
        </m:r>
        <m:r>
          <m:t>γ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m:oMath>
        <m:r>
          <m:t>80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dev,</w:t>
      </w:r>
      <w:r>
        <w:rPr>
          <w:i/>
          <w:iCs/>
        </w:rPr>
        <w:t xml:space="preserve"> </w:t>
      </w:r>
      <m:oMath>
        <m:r>
          <m:t>98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label-free), and</w:t>
      </w:r>
      <w:r>
        <w:rPr>
          <w:i/>
          <w:iCs/>
        </w:rPr>
        <w:t xml:space="preserve"> </w:t>
      </w:r>
      <m:oMath>
        <m:r>
          <m:t>γ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 through the dead-zone boundary, so a false positive applies an infinitesimal exponent.</w:t>
      </w:r>
    </w:p>
    <w:bookmarkEnd w:id="32"/>
    <w:bookmarkStart w:id="33" w:name="prop:cisc"/>
    <w:p>
      <w:pPr>
        <w:pStyle w:val="BodyText"/>
      </w:pPr>
      <w:r>
        <w:rPr>
          <w:b/>
          <w:bCs/>
        </w:rPr>
        <w:t xml:space="preserve">Proposition 2</w:t>
      </w:r>
      <w:r>
        <w:t xml:space="preserve"> </w:t>
      </w:r>
      <w:r>
        <w:t xml:space="preserve">(Exact CISC reduction).</w:t>
      </w:r>
      <w:r>
        <w:t xml:space="preserve"> </w:t>
      </w:r>
      <w:r>
        <w:t xml:space="preserve"> </w:t>
      </w:r>
      <w:r>
        <w:rPr>
          <w:i/>
          <w:iCs/>
        </w:rPr>
        <w:t xml:space="preserve">With the feature map</w:t>
      </w:r>
      <w:r>
        <w:rPr>
          <w:i/>
          <w:iCs/>
        </w:rPr>
        <w:t xml:space="preserve"> </w:t>
      </w:r>
      <m:oMath>
        <m:sSubSup>
          <m:e>
            <m:r>
              <m:t>φ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rPr>
                <m:sty m:val="p"/>
              </m:rPr>
              <m:t>log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log</m:t>
        </m:r>
        <m:sSub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−</m:t>
        </m:r>
        <m:bar>
          <m:barPr>
            <m:pos m:val="top"/>
          </m:barPr>
          <m:e>
            <m:r>
              <m:rPr>
                <m:sty m:val="p"/>
              </m:rPr>
              <m:t>log</m:t>
            </m:r>
            <m:sSub>
              <m:e>
                <m:r>
                  <m:t>c</m:t>
                </m:r>
              </m:e>
              <m:sub>
                <m:r>
                  <m:t>q</m:t>
                </m:r>
              </m:sub>
            </m:sSub>
          </m:e>
        </m:bar>
      </m:oMath>
      <w:r>
        <w:rPr>
          <w:i/>
          <w:iCs/>
        </w:rPr>
        <w:t xml:space="preserve">, the weights equal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t> </m:t>
        </m:r>
        <m:sSubSup>
          <m:e>
            <m:r>
              <m:t>c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  <m:sup>
            <m:r>
              <m:t> </m:t>
            </m:r>
            <m:r>
              <m:t>γ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with a per-item constant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q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(distinct from the coupling</w:t>
      </w:r>
      <w:r>
        <w:rPr>
          <w:i/>
          <w:iCs/>
        </w:rPr>
        <w:t xml:space="preserve"> </w:t>
      </w:r>
      <m:oMath>
        <m:r>
          <m:t>κ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hyperlink w:anchor="eq:confmodel">
        <w:r>
          <w:rPr>
            <w:rStyle w:val="Hyperlink"/>
            <w:i/>
            <w:iCs/>
          </w:rPr>
          <w:t xml:space="preserve">[eq:confmodel]</w:t>
        </w:r>
      </w:hyperlink>
      <w:r>
        <w:rPr>
          <w:i/>
          <w:iCs/>
        </w:rPr>
        <w:t xml:space="preserve">); hence the argmax, the ties, and the normalized vote shares coincide with CISC-power</w:t>
      </w:r>
      <m:oMath>
        <m:r>
          <m:rPr>
            <m:sty m:val="p"/>
          </m:rPr>
          <m:t>(</m:t>
        </m:r>
        <m:r>
          <m:t>γ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every pool.</w:t>
      </w:r>
    </w:p>
    <w:bookmarkEnd w:id="33"/>
    <w:bookmarkStart w:id="34" w:name="prop:reg"/>
    <w:p>
      <w:pPr>
        <w:pStyle w:val="BodyText"/>
      </w:pPr>
      <w:r>
        <w:rPr>
          <w:b/>
          <w:bCs/>
        </w:rPr>
        <w:t xml:space="preserve">Proposition 3</w:t>
      </w:r>
      <w:r>
        <w:t xml:space="preserve"> </w:t>
      </w:r>
      <w:r>
        <w:t xml:space="preserve">(Regularity).</w:t>
      </w:r>
      <w:r>
        <w:t xml:space="preserve"> </w:t>
      </w:r>
      <w:r>
        <w:t xml:space="preserve"> </w:t>
      </w:r>
      <w:r>
        <w:rPr>
          <w:i/>
          <w:iCs/>
        </w:rPr>
        <w:t xml:space="preserve">The composite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continuous, odd, nondecreasing in</w:t>
      </w:r>
      <w:r>
        <w:rPr>
          <w:i/>
          <w:iCs/>
        </w:rP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rPr>
          <w:i/>
          <w:iCs/>
        </w:rPr>
        <w:t xml:space="preserve">, nonincreasing in</w:t>
      </w:r>
      <w:r>
        <w:rPr>
          <w:i/>
          <w:i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in magnitude, with</w:t>
      </w:r>
      <w:r>
        <w:rPr>
          <w:i/>
          <w:iCs/>
        </w:rPr>
        <w:t xml:space="preserve"> </w:t>
      </w:r>
      <m:oMath>
        <m:r>
          <m:t>g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sSup>
          <m:e>
            <m:r>
              <m:t>0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bookmarkEnd w:id="34"/>
    <w:p>
      <w:pPr>
        <w:pStyle w:val="BodyText"/>
      </w:pPr>
      <w:r>
        <w:t xml:space="preserve">Proofs are elementary and pinned by unit tests in the released code (102 tests; the permutation-verified null variance, the EB identity in</w:t>
      </w:r>
      <w:r>
        <w:t xml:space="preserve"> </w:t>
      </w:r>
      <w:hyperlink w:anchor="eq:js">
        <w:r>
          <w:rPr>
            <w:rStyle w:val="Hyperlink"/>
          </w:rPr>
          <w:t xml:space="preserve">[eq:js]</w:t>
        </w:r>
      </w:hyperlink>
      <w:r>
        <w:t xml:space="preserve">, and the link derivation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are each tested numerically).</w:t>
      </w:r>
    </w:p>
    <w:bookmarkEnd w:id="35"/>
    <w:bookmarkEnd w:id="36"/>
    <w:bookmarkStart w:id="43" w:name="sec:lf"/>
    <w:p>
      <w:pPr>
        <w:pStyle w:val="Heading1"/>
      </w:pPr>
      <w:r>
        <w:t xml:space="preserve">Label-Free Estimation</w:t>
      </w:r>
    </w:p>
    <w:bookmarkStart w:id="39" w:name="pipeline"/>
    <w:p>
      <w:pPr>
        <w:pStyle w:val="Heading2"/>
      </w:pPr>
      <w:r>
        <w:t xml:space="preserve">Pipeline</w:t>
      </w:r>
    </w:p>
    <w:p>
      <w:pPr>
        <w:pStyle w:val="FirstParagraph"/>
      </w:pPr>
      <w:r>
        <w:t xml:space="preserve">(i) </w:t>
      </w:r>
      <w:r>
        <w:rPr>
          <w:i/>
          <w:iCs/>
        </w:rPr>
        <w:t xml:space="preserve">Dedup:</w:t>
      </w:r>
      <w:r>
        <w:t xml:space="preserve"> </w:t>
      </w:r>
      <w:r>
        <w:t xml:space="preserve">single-linkage duplicate groups on the lexical-similarity channel at</w:t>
      </w:r>
      <w:r>
        <w:t xml:space="preserve"> </w:t>
      </w:r>
      <m:oMath>
        <m:r>
          <m:t>0.95</m:t>
        </m:r>
      </m:oMath>
      <w:r>
        <w:t xml:space="preserve">; each trace gets weight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|</m:t>
        </m:r>
      </m:oMath>
      <w:r>
        <w:t xml:space="preserve"> </w:t>
      </w:r>
      <w:r>
        <w:t xml:space="preserve">for plurality determination and pair weighting. (ii) </w:t>
      </w:r>
      <w:r>
        <w:rPr>
          <w:i/>
          <w:iCs/>
        </w:rPr>
        <w:t xml:space="preserve">Pseudo-label:</w:t>
      </w:r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dedup-weighted plurality. (iii) </w:t>
      </w:r>
      <w:r>
        <w:rPr>
          <w:i/>
          <w:iCs/>
        </w:rPr>
        <w:t xml:space="preserve">Margin gate:</w:t>
      </w:r>
      <w:r>
        <w:t xml:space="preserve"> </w:t>
      </w:r>
      <w:r>
        <w:t xml:space="preserve">keep the top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by dedup-weighted margin. (iv) Compute</w:t>
      </w:r>
      <w:r>
        <w:t xml:space="preserve"> </w:t>
      </w:r>
      <w:hyperlink w:anchor="eq:pooled">
        <w:r>
          <w:rPr>
            <w:rStyle w:val="Hyperlink"/>
          </w:rPr>
          <w:t xml:space="preserve">[eq:pooled]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=</m:t>
        </m:r>
        <m:r>
          <m:t>g</m:t>
        </m:r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pools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, budget</w:t>
      </w:r>
      <w:r>
        <w:t xml:space="preserve"> </w:t>
      </w:r>
      <m:oMath>
        <m:r>
          <m:t>K</m:t>
        </m:r>
      </m:oMath>
      <w:r>
        <w:t xml:space="preserve">, dedup threshold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0.95</m:t>
        </m:r>
      </m:oMath>
      <w:r>
        <w:t xml:space="preserve">,</w:t>
      </w:r>
      <w:r>
        <w:t xml:space="preserve"> </w:t>
      </w:r>
      <w:r>
        <w:t xml:space="preserve">margin quantile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0.40</m:t>
        </m:r>
      </m:oMath>
      <w:r>
        <w:t xml:space="preserve">, floor</w:t>
      </w:r>
      <w:r>
        <w:t xml:space="preserve"> 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F</m:t>
            </m:r>
          </m:sub>
        </m:sSub>
      </m:oMath>
      <w:r>
        <w:t xml:space="preserve">,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splits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20</m:t>
        </m:r>
      </m:oMath>
      <w:r>
        <w:t xml:space="preserve">, attenuation floor</w:t>
      </w:r>
      <w:r>
        <w:t xml:space="preserve"> </w:t>
      </w:r>
      <m:oMath>
        <m:r>
          <m:t>0.20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t xml:space="preserve">;</w:t>
      </w:r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below is the</w:t>
      </w:r>
      <w:r>
        <w:t xml:space="preserve"> </w:t>
      </w:r>
      <w:r>
        <w:t xml:space="preserve">estimated attenuation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</m:oMath>
      <w:r>
        <w:t xml:space="preserve">, not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t xml:space="preserve"> </w:t>
      </w:r>
      <m:oMath>
        <m:r>
          <m:t>γ</m:t>
        </m:r>
      </m:oMath>
      <w:r>
        <w:t xml:space="preserve">, equal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whenever any alarm fires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|</m:t>
        </m:r>
        <m:r>
          <m:rPr>
            <m:nor/>
            <m:sty m:val="p"/>
          </m:rPr>
          <m:t>group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from single linkage at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u</m:t>
        </m:r>
        <m:r>
          <m:rPr>
            <m:sty m:val="p"/>
          </m:rPr>
          <m:t>p</m:t>
        </m:r>
        <m:r>
          <m:rPr>
            <m:sty m:val="p"/>
          </m:rPr>
          <m:t>≥</m:t>
        </m:r>
        <m:r>
          <m:t>θ</m:t>
        </m:r>
      </m:oMath>
      <w:r>
        <w:t xml:space="preserve"> </w:t>
      </w:r>
      <m:oMath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A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:</m:t>
            </m:r>
            <m:sSub>
              <m:e>
                <m:r>
                  <m:t>a</m:t>
                </m:r>
              </m:e>
              <m:sub>
                <m:r>
                  <m:t>q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←</m:t>
        </m:r>
      </m:oMath>
      <w:r>
        <w:t xml:space="preserve"> </w:t>
      </w:r>
      <w:r>
        <w:t xml:space="preserve">top-two dedup-weighted share gap</w:t>
      </w:r>
      <w:r>
        <w:t xml:space="preserve"> </w:t>
      </w:r>
      <m:oMath>
        <m:r>
          <m:t>G</m:t>
        </m:r>
        <m:r>
          <m:rPr>
            <m:sty m:val="p"/>
          </m:rPr>
          <m:t>←</m:t>
        </m:r>
        <m:r>
          <m:rPr>
            <m:sty m:val="p"/>
          </m:rPr>
          <m:t>{</m:t>
        </m:r>
        <m:r>
          <m:t>q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≥</m:t>
        </m:r>
        <m:sSub>
          <m:e>
            <m:r>
              <m:t>Q</m:t>
            </m:r>
          </m:e>
          <m:sub>
            <m:r>
              <m:t>β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≥</m:t>
        </m:r>
        <m:r>
          <m:t>2</m:t>
        </m:r>
        <m:r>
          <m:rPr>
            <m:nor/>
            <m:sty m:val="p"/>
          </m:rPr>
          <m:t> distinct answers</m:t>
        </m:r>
        <m:r>
          <m:rPr>
            <m:sty m:val="p"/>
          </m:rPr>
          <m:t>}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q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Kish ratio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4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sty m:val="p"/>
          </m:rPr>
          <m:t>|</m:t>
        </m:r>
        <m:r>
          <m:t>G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G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sSub>
          <m:e>
            <m:r>
              <m:t>g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←</m:t>
        </m:r>
        <m:r>
          <m:rPr>
            <m:sty m:val="b"/>
          </m:rPr>
          <m:t>1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q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b>
            <m:r>
              <m:t>g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←</m:t>
        </m:r>
      </m:oMath>
      <w:r>
        <w:t xml:space="preserve"> </w:t>
      </w:r>
      <w:r>
        <w:t xml:space="preserve">pooled statistic over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t>g</m:t>
        </m:r>
      </m:oMath>
      <w:r>
        <w:t xml:space="preserve"> </w:t>
      </w:r>
      <m:oMath>
        <m:r>
          <m:t>s</m:t>
        </m:r>
        <m:r>
          <m:rPr>
            <m:sty m:val="p"/>
          </m:rPr>
          <m:t>←</m:t>
        </m:r>
        <m:r>
          <m:rPr>
            <m:sty m:val="p"/>
          </m:rPr>
          <m:t>sign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t>ψ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0.05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r>
          <m:t>α</m:t>
        </m:r>
        <m:r>
          <m:rPr>
            <m:sty m:val="p"/>
          </m:rPr>
          <m:t>←</m:t>
        </m:r>
      </m:oMath>
      <w:r>
        <w:t xml:space="preserve"> </w:t>
      </w:r>
      <w:r>
        <w:t xml:space="preserve">mean two-half plurality agreement over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splits</w:t>
      </w:r>
      <w:r>
        <w:t xml:space="preserve"> </w:t>
      </w:r>
      <m:oMath>
        <m:r>
          <m:t>k</m:t>
        </m:r>
        <m:r>
          <m:rPr>
            <m:sty m:val="p"/>
          </m:rPr>
          <m:t>←</m:t>
        </m:r>
      </m:oMath>
      <w:r>
        <w:t xml:space="preserve"> </w:t>
      </w:r>
      <w:r>
        <w:t xml:space="preserve">inverse-Simpson size of the non-plurality mass</w:t>
      </w:r>
      <w:r>
        <w:t xml:space="preserve"> </w:t>
      </w:r>
      <m:oMath>
        <m:r>
          <m:t>p</m:t>
        </m:r>
        <m:r>
          <m:rPr>
            <m:sty m:val="p"/>
          </m:rPr>
          <m:t>←</m:t>
        </m:r>
        <m:d>
          <m:dPr>
            <m:begChr m:val="["/>
            <m:sepChr m:val=""/>
            <m:endChr m:val="]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</m:e>
            </m:rad>
            <m:r>
              <m:t> </m:t>
            </m:r>
          </m:e>
        </m:d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←</m:t>
        </m:r>
        <m:r>
          <m:rPr>
            <m:sty m:val="p"/>
          </m:rPr>
          <m:t>[</m:t>
        </m:r>
        <m:r>
          <m:t> </m:t>
        </m:r>
        <m:r>
          <m:rPr>
            <m:nor/>
            <m:sty m:val="p"/>
          </m:rPr>
          <m:t>discriminant</m:t>
        </m:r>
        <m:r>
          <m:rPr>
            <m:sty m:val="p"/>
          </m:rPr>
          <m:t>&lt;</m:t>
        </m:r>
        <m:r>
          <m:t>0.02</m:t>
        </m:r>
        <m:r>
          <m:t> </m:t>
        </m:r>
        <m:r>
          <m:rPr>
            <m:sty m:val="p"/>
          </m:rPr>
          <m:t>]</m:t>
        </m:r>
      </m:oMath>
      <w:r>
        <w:t xml:space="preserve"> </w:t>
      </w:r>
      <m:oMath>
        <m:acc>
          <m:accPr>
            <m:chr m:val="̂"/>
          </m:accPr>
          <m:e>
            <m:r>
              <m:t>η</m:t>
            </m:r>
          </m:e>
        </m:acc>
        <m:r>
          <m:rPr>
            <m:sty m:val="p"/>
          </m:rPr>
          <m:t>←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95</m:t>
                </m:r>
              </m:sub>
            </m:sSub>
            <m:r>
              <m:rPr>
                <m:sty m:val="p"/>
              </m:rPr>
              <m:t>(</m:t>
            </m:r>
            <m:r>
              <m:t>2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0.20</m:t>
            </m:r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</m:e>
        </m:d>
      </m:oMath>
      <w:r>
        <w:t xml:space="preserve"> </w:t>
      </w:r>
      <w:bookmarkStart w:id="37" w:name="ln:gate"/>
      <w:bookmarkEnd w:id="37"/>
      <w:r>
        <w:t xml:space="preserve"> </w:t>
      </w:r>
      <m:oMath>
        <m:r>
          <m:t>0</m:t>
        </m:r>
      </m:oMath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e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e</m:t>
        </m:r>
        <m:r>
          <m:rPr>
            <m:sty m:val="p"/>
          </m:rPr>
          <m:t>r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D</m:t>
                    </m:r>
                  </m:e>
                </m:acc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E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/</m:t>
            </m:r>
            <m:acc>
              <m:accPr>
                <m:chr m:val="̂"/>
              </m:accPr>
              <m:e>
                <m:r>
                  <m:t>η</m:t>
                </m:r>
              </m:e>
            </m:acc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unset</w:t>
      </w:r>
      <w:r>
        <w:t xml:space="preserve"> </w:t>
      </w:r>
      <w:bookmarkStart w:id="38" w:name="ln:temper"/>
      <w:bookmarkEnd w:id="38"/>
    </w:p>
    <w:p>
      <w:pPr>
        <w:pStyle w:val="BodyText"/>
      </w:pPr>
      <w:r>
        <w:t xml:space="preserve">Two orderings in Algorithm </w:t>
      </w:r>
      <w:hyperlink w:anchor="alg:tactlf">
        <w:r>
          <w:rPr>
            <w:rStyle w:val="Hyperlink"/>
          </w:rPr>
          <w:t xml:space="preserve">[alg:tactlf]</w:t>
        </w:r>
      </w:hyperlink>
      <w:r>
        <w:t xml:space="preserve"> </w:t>
      </w:r>
      <w:r>
        <w:t xml:space="preserve">are load-bearing. The significance</w:t>
      </w:r>
      <w:r>
        <w:t xml:space="preserve"> </w:t>
      </w:r>
      <w:r>
        <w:t xml:space="preserve">gate on line </w:t>
      </w:r>
      <w:hyperlink w:anchor="ln:gate">
        <w:r>
          <w:rPr>
            <w:rStyle w:val="Hyperlink"/>
          </w:rPr>
          <w:t xml:space="preserve">[ln:gate]</w:t>
        </w:r>
      </w:hyperlink>
      <w:r>
        <w:t xml:space="preserve"> </w:t>
      </w:r>
      <w:r>
        <w:t xml:space="preserve">tests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</m:sub>
        </m:sSub>
      </m:oMath>
      <w:r>
        <w:t xml:space="preserve">, whose sign is unbiased by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, while the tempering on line </w:t>
      </w:r>
      <w:hyperlink w:anchor="ln:temper">
        <w:r>
          <w:rPr>
            <w:rStyle w:val="Hyperlink"/>
          </w:rPr>
          <w:t xml:space="preserve">[ln:temper]</w:t>
        </w:r>
      </w:hyperlink>
      <w:r>
        <w:t xml:space="preserve"> </w:t>
      </w:r>
      <w:r>
        <w:t xml:space="preserve">uses</w:t>
      </w:r>
      <w:r>
        <w:t xml:space="preserve"> </w:t>
      </w:r>
      <w:r>
        <w:t xml:space="preserve">the de-attenuated pair; testing the inflated statistic instead would let the</w:t>
      </w:r>
      <w:r>
        <w:t xml:space="preserve"> </w:t>
      </w:r>
      <w:r>
        <w:t xml:space="preserve">de-attenuation manufacture significance. And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left unset on the</w:t>
      </w:r>
      <w:r>
        <w:t xml:space="preserve"> </w:t>
      </w:r>
      <w:r>
        <w:t xml:space="preserve">label-free path, so the mixture correction of</w:t>
      </w:r>
      <w:r>
        <w:t xml:space="preserve"> </w:t>
      </w:r>
      <w:hyperlink w:anchor="eq:link">
        <w:r>
          <w:rPr>
            <w:rStyle w:val="Hyperlink"/>
          </w:rPr>
          <w:t xml:space="preserve">[eq:link]</w:t>
        </w:r>
      </w:hyperlink>
      <w:r>
        <w:t xml:space="preserve"> </w:t>
      </w:r>
      <w:r>
        <w:t xml:space="preserve">is not applied</w:t>
      </w:r>
      <w:r>
        <w:t xml:space="preserve"> </w:t>
      </w:r>
      <w:r>
        <w:t xml:space="preserve">there: the base rate is exactly what no label-free estimator knows.</w:t>
      </w:r>
    </w:p>
    <w:bookmarkEnd w:id="39"/>
    <w:bookmarkStart w:id="41" w:name="sign-consistency-and-its-boundary"/>
    <w:p>
      <w:pPr>
        <w:pStyle w:val="Heading2"/>
      </w:pPr>
      <w:r>
        <w:t xml:space="preserve">Sign consistency and its boundary</w:t>
      </w:r>
    </w:p>
    <w:bookmarkStart w:id="40" w:name="prop:ccn"/>
    <w:p>
      <w:pPr>
        <w:pStyle w:val="FirstParagraph"/>
      </w:pPr>
      <w:r>
        <w:rPr>
          <w:b/>
          <w:bCs/>
        </w:rPr>
        <w:t xml:space="preserve">Proposition 4</w:t>
      </w:r>
      <w:r>
        <w:t xml:space="preserve"> </w:t>
      </w:r>
      <w:r>
        <w:t xml:space="preserve">(Attenuation identity).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</m:oMath>
      <w:r>
        <w:rPr>
          <w:i/>
          <w:iCs/>
        </w:rPr>
        <w:t xml:space="preserve"> </w:t>
      </w:r>
      <w:r>
        <w:rPr>
          <w:i/>
          <w:iCs/>
        </w:rPr>
        <w:t xml:space="preserve">be the pair-weighted probability that an item’s plurality is wrong. If the plurality-error event is independent of</w:t>
      </w:r>
      <w:r>
        <w:rPr>
          <w:i/>
          <w:iCs/>
        </w:rPr>
        <w:t xml:space="preserve"> </w:t>
      </w:r>
      <m:oMath>
        <m:r>
          <m:t>φ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given</w:t>
      </w:r>
      <w:r>
        <w:rPr>
          <w:i/>
          <w:iCs/>
        </w:rPr>
        <w:t xml:space="preserve"> </w:t>
      </w:r>
      <m:oMath>
        <m:r>
          <m:t>y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(class-conditional noise), then</w:t>
      </w:r>
      <w:r>
        <w:rPr>
          <w:i/>
          <w:i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)</m:t>
        </m:r>
        <m:r>
          <m:t> </m:t>
        </m:r>
        <m:r>
          <m:t>D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In particular</w:t>
      </w:r>
      <w:r>
        <w:rPr>
          <w:i/>
          <w:iCs/>
        </w:rPr>
        <w:t xml:space="preserve"> </w:t>
      </w:r>
      <m:oMath>
        <m:r>
          <m:rPr>
            <m:sty m:val="p"/>
          </m:rPr>
          <m:t>sign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sign</m:t>
        </m:r>
        <m:r>
          <m:t>D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whenever</w:t>
      </w:r>
      <w:r>
        <w:rPr>
          <w:i/>
          <w:iCs/>
        </w:rP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i/>
          <w:iCs/>
        </w:rPr>
        <w:t xml:space="preserve">: the label-free estimate can only under-trust, never mis-sign.</w:t>
      </w:r>
    </w:p>
    <w:bookmarkEnd w:id="40"/>
    <w:p>
      <w:pPr>
        <w:pStyle w:val="BodyText"/>
      </w:pPr>
      <w:r>
        <w:t xml:space="preserve">The identity fails when the flip is</w:t>
      </w:r>
      <w:r>
        <w:t xml:space="preserve"> </w:t>
      </w:r>
      <w:r>
        <w:rPr>
          <w:i/>
          <w:iCs/>
        </w:rPr>
        <w:t xml:space="preserve">caused</w:t>
      </w:r>
      <w:r>
        <w:t xml:space="preserve"> </w:t>
      </w:r>
      <w:r>
        <w:t xml:space="preserve">by confidence, that is, under a confident echo. There the observable law under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right,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</m:oMath>
      <w:r>
        <w:t xml:space="preserve">majority wrong via confident echo,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is identical (the two-root ambiguity of [</w:t>
      </w:r>
      <w:hyperlink w:anchor="bib:parisi2014ranking">
        <w:r>
          <w:rPr>
            <w:rStyle w:val="Hyperlink"/>
          </w:rPr>
          <w:t xml:space="preserve">10</w:t>
        </w:r>
      </w:hyperlink>
      <w:r>
        <w:t xml:space="preserve">] restated for a single channel), so any label-free guarantee is necessarily conditional; it is stated as such rather than papered over.</w:t>
      </w:r>
    </w:p>
    <w:bookmarkEnd w:id="41"/>
    <w:bookmarkStart w:id="42" w:name="de-attenuation-and-alarms"/>
    <w:p>
      <w:pPr>
        <w:pStyle w:val="Heading2"/>
      </w:pPr>
      <w:r>
        <w:t xml:space="preserve">De-attenuation and alarms</w:t>
      </w:r>
    </w:p>
    <w:p>
      <w:pPr>
        <w:pStyle w:val="FirstParagraph"/>
      </w:pPr>
      <w:r>
        <w:t xml:space="preserve">Split-half agreement over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random half-splits estimates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under a one-coin model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effective wrong alternatives (inverse-Simpson), inverted 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k</m:t>
            </m:r>
            <m:r>
              <m:t>α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divided by the</w:t>
      </w:r>
      <w:r>
        <w:t xml:space="preserve"> </w:t>
      </w:r>
      <w:r>
        <w:rPr>
          <w:i/>
          <w:iCs/>
        </w:rPr>
        <w:t xml:space="preserve">upper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bound of</w:t>
      </w:r>
      <w:r>
        <w:t xml:space="preserve"> </w:t>
      </w:r>
      <m:oMath>
        <m:r>
          <m:t>2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(floored at</w:t>
      </w:r>
      <w:r>
        <w:t xml:space="preserve"> </w:t>
      </w:r>
      <m:oMath>
        <m:r>
          <m:t>0.2</m:t>
        </m:r>
      </m:oMath>
      <w:r>
        <w:t xml:space="preserve">), which can only under-inflate. Four alarms force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duplicate collapse (median Kish ratio</w:t>
      </w:r>
      <w:r>
        <w:t xml:space="preserve"> </w:t>
      </w:r>
      <m:oMath>
        <m:r>
          <m:rPr>
            <m:sty m:val="p"/>
          </m:rPr>
          <m:t>&lt;</m:t>
        </m:r>
        <m:r>
          <m:t>0.5</m:t>
        </m:r>
      </m:oMath>
      <w:r>
        <w:t xml:space="preserve">), sign-aware margin-decoupling, root ambiguity in the split-half quadratic, and insufficient gated items. The margin-decoupling alarm must condition on the estimated trust direction: a sign-naive version (</w:t>
      </w:r>
      <w:r>
        <w:t xml:space="preserve">“plurality has the highest mean</w:t>
      </w:r>
      <w:r>
        <w:t xml:space="preserve"> </w:t>
      </w:r>
      <m:oMath>
        <m:r>
          <m:t>φ</m:t>
        </m:r>
      </m:oMath>
      <w:r>
        <w:t xml:space="preserve">”</w:t>
      </w:r>
      <w:r>
        <w:t xml:space="preserve">) false-alarms on every benign anti-correlated channel—a defect encountered, diagnosed, and fixed during development, and pinned by the released tests. Finally the significance gate acts on the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(unbiased sign under 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) and temper on the de-attenuated value. A semi-label-free mode takes only the 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dev labels, routing it into the pipeline and disabling only the proxy-sign alarm; this purchases immunity to the ambiguity above at negligible labeling cost.</w:t>
      </w:r>
    </w:p>
    <w:bookmarkEnd w:id="42"/>
    <w:bookmarkEnd w:id="43"/>
    <w:bookmarkStart w:id="49" w:name="sec:hetero"/>
    <w:p>
      <w:pPr>
        <w:pStyle w:val="Heading1"/>
      </w:pPr>
      <w:r>
        <w:t xml:space="preserve">Heterogeneity: Impossibility and Escape</w:t>
      </w:r>
    </w:p>
    <w:bookmarkStart w:id="47" w:name="X6b81b2bcd4bd383fca78608abce9da302a7840a"/>
    <w:p>
      <w:pPr>
        <w:pStyle w:val="Heading2"/>
      </w:pPr>
      <w:r>
        <w:t xml:space="preserve">Per-item adaptation is closed under i.i.d. coupling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nor/>
                <m:sty m:val="p"/>
              </m:rPr>
              <m:t>iid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 no observable covariate.</w:t>
      </w:r>
    </w:p>
    <w:bookmarkStart w:id="44" w:name="prop:selfreinf"/>
    <w:p>
      <w:pPr>
        <w:pStyle w:val="BodyText"/>
      </w:pPr>
      <w:r>
        <w:rPr>
          <w:b/>
          <w:bCs/>
        </w:rPr>
        <w:t xml:space="preserve">Proposition 5</w:t>
      </w:r>
      <w:r>
        <w:t xml:space="preserve"> </w:t>
      </w:r>
      <w:r>
        <w:t xml:space="preserve">(Self-reinforcement).</w:t>
      </w:r>
      <w:r>
        <w:t xml:space="preserve"> </w:t>
      </w:r>
      <w:r>
        <w:t xml:space="preserve"> </w:t>
      </w:r>
      <w:r>
        <w:rPr>
          <w:i/>
          <w:iCs/>
        </w:rPr>
        <w:t xml:space="preserve">Any per-item rule</w:t>
      </w:r>
      <w:r>
        <w:rPr>
          <w:i/>
          <w:iCs/>
        </w:rPr>
        <w:t xml:space="preserve"> </w:t>
      </w:r>
      <m:oMath>
        <m:sSub>
          <m:e>
            <m:r>
              <m:t>γ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t>h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monotone increasing and odd reinforces the plurality on both branches: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confident traces, which agree with the plurality;</w:t>
      </w:r>
      <w:r>
        <w:rPr>
          <w:i/>
          <w:i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q</m:t>
            </m:r>
          </m:sub>
          <m:sup>
            <m:r>
              <m:t>g</m:t>
            </m:r>
          </m:sup>
        </m:sSubSup>
        <m:r>
          <m:rPr>
            <m:sty m:val="p"/>
          </m:rPr>
          <m:t>&lt;</m:t>
        </m:r>
        <m:r>
          <m:t>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up-weights unconfident traces, which are again the plurality side.</w:t>
      </w:r>
    </w:p>
    <w:bookmarkEnd w:id="44"/>
    <w:p>
      <w:pPr>
        <w:pStyle w:val="BodyText"/>
      </w:pPr>
      <w:r>
        <w:rPr>
          <w:b/>
          <w:bCs/>
        </w:rPr>
        <w:t xml:space="preserve">Remark 1</w:t>
      </w:r>
      <w:r>
        <w:t xml:space="preserve">.</w:t>
      </w:r>
      <w:r>
        <w:t xml:space="preserve"> </w:t>
      </w:r>
      <w:r>
        <w:t xml:space="preserve"> </w:t>
      </w:r>
      <w:r>
        <w:rPr>
          <w:i/>
          <w:iCs/>
        </w:rPr>
        <w:t xml:space="preserve">Measured in this harness, such a rule agrees with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on</w:t>
      </w:r>
      <w:r>
        <w:rPr>
          <w:i/>
          <w:iCs/>
        </w:rPr>
        <w:t xml:space="preserve"> </w:t>
      </w:r>
      <m:oMath>
        <m:r>
          <m:t>97.5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items and its residual flips are net-harmful (</w:t>
      </w:r>
      <m:oMath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right vs. </w:t>
      </w:r>
      <m:oMath>
        <m:r>
          <m:t>9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wrong per</w:t>
      </w:r>
      <w:r>
        <w:rPr>
          <w:i/>
          <w:iCs/>
        </w:rPr>
        <w:t xml:space="preserve"> </w:t>
      </w:r>
      <m:oMath>
        <m:r>
          <m:t>400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items).</w:t>
      </w:r>
    </w:p>
    <w:bookmarkStart w:id="45" w:name="prop:curse"/>
    <w:p>
      <w:pPr>
        <w:pStyle w:val="BodyText"/>
      </w:pPr>
      <w:r>
        <w:rPr>
          <w:b/>
          <w:bCs/>
        </w:rPr>
        <w:t xml:space="preserve">Remark 2</w:t>
      </w:r>
      <w:r>
        <w:t xml:space="preserve"> </w:t>
      </w:r>
      <w:r>
        <w:t xml:space="preserve">(Winner’s curse).</w:t>
      </w:r>
      <w:r>
        <w:t xml:space="preserve"> </w:t>
      </w:r>
      <w:r>
        <w:t xml:space="preserve"> </w:t>
      </w:r>
      <w:r>
        <w:rPr>
          <w:i/>
          <w:iCs/>
        </w:rPr>
        <w:t xml:space="preserve">This is a measurement in the present harness rather than a theorem: on plurality-wrong items with</w:t>
      </w:r>
      <w:r>
        <w:rPr>
          <w:i/>
          <w:iCs/>
        </w:rPr>
        <w:t xml:space="preserve"> </w:t>
      </w:r>
      <m:oMath>
        <m:r>
          <m:rPr>
            <m:sty m:val="p"/>
          </m:rPr>
          <m:t>|</m:t>
        </m:r>
        <m:sSub>
          <m:e>
            <m:r>
              <m:t>D</m:t>
            </m:r>
          </m:e>
          <m:sub>
            <m:r>
              <m:t>q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t>0.3</m:t>
        </m:r>
      </m:oMath>
      <w:r>
        <w:rPr>
          <w:i/>
          <w:iCs/>
        </w:rPr>
        <w:t xml:space="preserve">, the items where a flip could win, the agreement statistic’s sign matches the true sign only</w:t>
      </w:r>
      <w:r>
        <w:rPr>
          <w:i/>
          <w:iCs/>
        </w:rP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the time.</w:t>
      </w:r>
    </w:p>
    <w:bookmarkEnd w:id="45"/>
    <w:bookmarkStart w:id="46" w:name="prop:twoworld"/>
    <w:p>
      <w:pPr>
        <w:pStyle w:val="BodyText"/>
      </w:pPr>
      <w:r>
        <w:rPr>
          <w:b/>
          <w:bCs/>
        </w:rPr>
        <w:t xml:space="preserve">Proposition 6</w:t>
      </w:r>
      <w:r>
        <w:t xml:space="preserve"> </w:t>
      </w:r>
      <w:r>
        <w:t xml:space="preserve">(Two-world unidentifiability).</w:t>
      </w:r>
      <w:r>
        <w:t xml:space="preserve"> </w:t>
      </w:r>
      <w:r>
        <w:t xml:space="preserve"> </w:t>
      </w:r>
      <w:r>
        <w:rPr>
          <w:i/>
          <w:iCs/>
        </w:rPr>
        <w:t xml:space="preserve">Let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minority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κ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 </m:t>
        </m:r>
        <m:r>
          <m:rPr>
            <m:nor/>
            <m:sty m:val="p"/>
          </m:rPr>
          <m:t>plurality correct</m:t>
        </m:r>
        <m:r>
          <m:rPr>
            <m:sty m:val="p"/>
          </m:rPr>
          <m:t>}</m:t>
        </m:r>
      </m:oMath>
      <w:r>
        <w:rPr>
          <w:i/>
          <w:iCs/>
        </w:rPr>
        <w:t xml:space="preserve">. Computed against either truth,</w:t>
      </w:r>
      <w:r>
        <w:rPr>
          <w:i/>
          <w:iCs/>
        </w:rPr>
        <w:t xml:space="preserve"> </w:t>
      </w:r>
      <m:oMath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D</m:t>
            </m:r>
          </m:e>
          <m:sup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sup>
        </m:sSup>
      </m:oMath>
      <w:r>
        <w:rPr>
          <w:i/>
          <w:iCs/>
        </w:rPr>
        <w:t xml:space="preserve">, so the statistic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uses cannot order the two worlds.</w:t>
      </w:r>
      <w:r>
        <w:rPr>
          <w:i/>
          <w:iCs/>
        </w:rPr>
        <w:t xml:space="preserve"> </w:t>
      </w:r>
      <w:r>
        <w:rPr>
          <w:i/>
          <w:iCs/>
        </w:rPr>
        <w:t xml:space="preserve">When the item has exactly two answer clusters the laws of</w:t>
      </w:r>
      <w:r>
        <w:rPr>
          <w:i/>
          <w:i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coincide</w:t>
      </w:r>
      <w:r>
        <w:rPr>
          <w:i/>
          <w:iCs/>
        </w:rPr>
        <w:t xml:space="preserve"> </w:t>
      </w:r>
      <w:r>
        <w:rPr>
          <w:i/>
          <w:iCs/>
        </w:rPr>
        <w:t xml:space="preserve">outright and no label-free method can separate them. With three or more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populated</w:t>
      </w:r>
      <w:r>
        <w:rPr>
          <w:i/>
          <w:iCs/>
        </w:rPr>
        <w:t xml:space="preserve"> </w:t>
      </w:r>
      <w:r>
        <w:rPr>
          <w:i/>
          <w:iCs/>
        </w:rPr>
        <w:t xml:space="preserve">clusters they do not coincide: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only the correct</w:t>
      </w:r>
      <w:r>
        <w:rPr>
          <w:i/>
          <w:iCs/>
        </w:rPr>
        <w:t xml:space="preserve"> </w:t>
      </w:r>
      <w:r>
        <w:rPr>
          <w:i/>
          <w:iCs/>
        </w:rPr>
        <w:t xml:space="preserve">minority carries elevated confidence, whereas under</w:t>
      </w:r>
      <w:r>
        <w:rPr>
          <w:i/>
          <w:iCs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every non-plurality</w:t>
      </w:r>
      <w:r>
        <w:rPr>
          <w:i/>
          <w:iCs/>
        </w:rPr>
        <w:t xml:space="preserve"> </w:t>
      </w:r>
      <w:r>
        <w:rPr>
          <w:i/>
          <w:iCs/>
        </w:rPr>
        <w:t xml:space="preserve">cluster does, so the conditional law of</w:t>
      </w:r>
      <w:r>
        <w:rPr>
          <w:i/>
          <w:iCs/>
        </w:rPr>
        <w:t xml:space="preserve"> </w:t>
      </w:r>
      <m:oMath>
        <m:r>
          <m:t>c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on a third cluster separates them</w:t>
      </w:r>
      <w:r>
        <w:rPr>
          <w:i/>
          <w:iCs/>
        </w:rPr>
        <w:t xml:space="preserve"> </w:t>
      </w:r>
      <w:r>
        <w:rPr>
          <w:i/>
          <w:iCs/>
        </w:rPr>
        <w:t xml:space="preserve">(verified numerically; the two laws agree on the top two clusters and differ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S</m:t>
        </m:r>
        <m:r>
          <m:t> </m:t>
        </m:r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i/>
          <w:iCs/>
        </w:rPr>
        <w:t xml:space="preserve"> </w:t>
      </w:r>
      <w:r>
        <w:rPr>
          <w:i/>
          <w:iCs/>
        </w:rPr>
        <w:t xml:space="preserve">on the third). The impossibility is therefore</w:t>
      </w:r>
      <w:r>
        <w:rPr>
          <w:i/>
          <w:iCs/>
        </w:rPr>
        <w:t xml:space="preserve"> </w:t>
      </w:r>
      <w:r>
        <w:rPr>
          <w:i/>
          <w:iCs/>
        </w:rPr>
        <w:t xml:space="preserve">conditional on the pool being effectively binary, which is the regime the</w:t>
      </w:r>
      <w:r>
        <w:rPr>
          <w:i/>
          <w:iCs/>
        </w:rPr>
        <w:t xml:space="preserve"> </w:t>
      </w:r>
      <w:r>
        <w:rPr>
          <w:i/>
          <w:iCs/>
        </w:rPr>
        <w:t xml:space="preserve">confident-echo cell occupies:</w:t>
      </w:r>
      <w:r>
        <w:rPr>
          <w:i/>
          <w:iCs/>
        </w:rP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of its items have no third cluster at</w:t>
      </w:r>
      <w:r>
        <w:rPr>
          <w:i/>
          <w:i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does not exploit the residual signal, and no published</w:t>
      </w:r>
      <w:r>
        <w:rPr>
          <w:i/>
          <w:iCs/>
        </w:rPr>
        <w:t xml:space="preserve"> </w:t>
      </w:r>
      <w:r>
        <w:rPr>
          <w:i/>
          <w:iCs/>
        </w:rPr>
        <w:t xml:space="preserve">method does either; doing so is left open.</w:t>
      </w:r>
    </w:p>
    <w:bookmarkEnd w:id="46"/>
    <w:p>
      <w:pPr>
        <w:pStyle w:val="BodyText"/>
      </w:pPr>
      <w:r>
        <w:t xml:space="preserve">Consequently the per-item oracle (</w:t>
      </w:r>
      <m:oMath>
        <m:r>
          <m:t>0.973</m:t>
        </m:r>
      </m:oMath>
      <w:r>
        <w:t xml:space="preserve"> </w:t>
      </w:r>
      <w:r>
        <w:t xml:space="preserve">in this harness) is unreachable, and the honest behaviour is to fall back to the global estimate, which</w:t>
      </w:r>
      <w:r>
        <w:t xml:space="preserve"> </w:t>
      </w:r>
      <w:r>
        <w:rPr>
          <w:smallCaps/>
        </w:rPr>
        <w:t xml:space="preserve">tact</w:t>
      </w:r>
      <w:r>
        <w:t xml:space="preserve">’s dead zone does: in the i.i.d. cell every variant returns bitwise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(zero discordant pairs).</w:t>
      </w:r>
    </w:p>
    <w:bookmarkEnd w:id="47"/>
    <w:bookmarkStart w:id="48" w:name="tact-group"/>
    <w:p>
      <w:pPr>
        <w:pStyle w:val="Heading2"/>
      </w:pPr>
      <w:r>
        <w:t xml:space="preserve">TACT-group</w:t>
      </w:r>
    </w:p>
    <w:p>
      <w:pPr>
        <w:pStyle w:val="FirstParagraph"/>
      </w:pPr>
      <w:r>
        <w:t xml:space="preserve">Real heterogeneity is typically indexed by an observable covariate (domain, question type). With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indexed by a group label, running the estimator per group keeps every group inside the operating regime of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lf">
        <w:r>
          <w:rPr>
            <w:rStyle w:val="Hyperlink"/>
          </w:rPr>
          <w:t xml:space="preserve">5</w:t>
        </w:r>
      </w:hyperlink>
      <w:r>
        <w:t xml:space="preserve">; groups with fewer than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dev (or</w:t>
      </w:r>
      <w:r>
        <w:t xml:space="preserve"> </w:t>
      </w:r>
      <m:oMath>
        <m:r>
          <m:t>60</m:t>
        </m:r>
      </m:oMath>
      <w:r>
        <w:t xml:space="preserve"> </w:t>
      </w:r>
      <w:r>
        <w:t xml:space="preserve">unlabeled) items fall back to the global estimate, which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show is the only defensible default.</w:t>
      </w:r>
    </w:p>
    <w:bookmarkEnd w:id="48"/>
    <w:bookmarkEnd w:id="49"/>
    <w:bookmarkStart w:id="54" w:name="sec:exp"/>
    <w:p>
      <w:pPr>
        <w:pStyle w:val="Heading1"/>
      </w:pPr>
      <w:r>
        <w:t xml:space="preserve">Experimental Setup</w:t>
      </w:r>
    </w:p>
    <w:p>
      <w:pPr>
        <w:pStyle w:val="FirstParagraph"/>
      </w:pPr>
      <w:r>
        <w:rPr>
          <w:b/>
          <w:bCs/>
        </w:rPr>
        <w:t xml:space="preserve">Harness.</w:t>
      </w:r>
      <w:r>
        <w:t xml:space="preserve"> </w:t>
      </w:r>
      <w:r>
        <w:t xml:space="preserve">A cluster-mixture oracle generates, per item, up to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cached traces with answers, confidences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, and two similarity channels; all methods replay identical pools (paired comparisons, exact McNemar tests). Voting budget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per cell on the sweep,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for the group study; dev splits of</w:t>
      </w:r>
      <w:r>
        <w:t xml:space="preserve"> </w:t>
      </w:r>
      <m:oMath>
        <m:r>
          <m:t>200</m:t>
        </m:r>
      </m:oMath>
      <w:r>
        <w:t xml:space="preserve"> </w:t>
      </w:r>
      <w:r>
        <w:t xml:space="preserve">(primary)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(small-dev).</w:t>
      </w:r>
    </w:p>
    <w:p>
      <w:pPr>
        <w:pStyle w:val="BodyText"/>
      </w:pPr>
      <w:r>
        <w:rPr>
          <w:b/>
          <w:bCs/>
        </w:rPr>
        <w:t xml:space="preserve">Regimes.</w:t>
      </w:r>
      <w:r>
        <w:t xml:space="preserve"> </w:t>
      </w:r>
      <w:r>
        <w:t xml:space="preserve">The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sweep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}</m:t>
        </m:r>
      </m:oMath>
      <w:r>
        <w:t xml:space="preserve">; three strictly monotone confidence distortions (compression toward</w:t>
      </w:r>
      <w:r>
        <w:t xml:space="preserve"> </w:t>
      </w:r>
      <m:oMath>
        <m:r>
          <m:t>0.5</m:t>
        </m:r>
      </m:oMath>
      <w:r>
        <w:t xml:space="preserve">, over-confident sigmoid, fourth power), rank-preserving by construction, so discrimination is intact while calibration is destroyed; i.i.d. heterogeneity (</w:t>
      </w:r>
      <m:oMath>
        <m:sSub>
          <m:e>
            <m:r>
              <m:t>κ</m:t>
            </m:r>
          </m:e>
          <m:sub>
            <m:r>
              <m:t>q</m:t>
            </m:r>
          </m:sub>
        </m:sSub>
        <m:r>
          <m:rPr>
            <m:sty m:val="p"/>
          </m:rPr>
          <m:t>∼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); covariate-structured heterogeneity (three groups at</w:t>
      </w:r>
      <w:r>
        <w:t xml:space="preserve"> </w:t>
      </w:r>
      <m:oMath>
        <m:r>
          <m:rPr>
            <m:sty m:val="p"/>
          </m:rPr>
          <m:t>+</m:t>
        </m:r>
        <m:r>
          <m:t>0.6</m:t>
        </m:r>
        <m:r>
          <m:rPr>
            <m:sty m:val="p"/>
          </m:rPr>
          <m:t>/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0.6</m:t>
        </m:r>
      </m:oMath>
      <w:r>
        <w:t xml:space="preserve">); and a confident-echo poison (a wrong cluster echoes verbatim with confidence</w:t>
      </w:r>
      <w:r>
        <w:t xml:space="preserve"> </w:t>
      </w:r>
      <m:oMath>
        <m:r>
          <m:t>0.95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rPr>
          <w:smallCaps/>
        </w:rPr>
        <w:t xml:space="preserve">sc</w:t>
      </w:r>
      <w:r>
        <w:t xml:space="preserve">; CISC-power with</w:t>
      </w:r>
      <w:r>
        <w:t xml:space="preserve"> </w:t>
      </w:r>
      <m:oMath>
        <m:r>
          <m:t>γ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0.25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;</w:t>
      </w:r>
      <w:r>
        <w:t xml:space="preserve"> </w:t>
      </w:r>
      <w:r>
        <w:rPr>
          <w:i/>
          <w:iCs/>
        </w:rPr>
        <w:t xml:space="preserve">CISC-devT</w:t>
      </w:r>
      <w:r>
        <w:t xml:space="preserve">, the published dev-calibrated protocol (positive grid picked on dev); a binary ECE gate;</w:t>
      </w:r>
      <w:r>
        <w:t xml:space="preserve"> </w:t>
      </w:r>
      <w:r>
        <w:rPr>
          <w:i/>
          <w:iCs/>
        </w:rPr>
        <w:t xml:space="preserve">SignGrid-dev</w:t>
      </w:r>
      <w:r>
        <w:t xml:space="preserve">, the strongest trivial baseline (signed exponent grid picked on dev); and the test-set oracle over signed fixed exponents as the upper envelope. The group study adds the naive self-referential per-item method as a negative control and the per-item link oracle as the ceiling.</w:t>
      </w:r>
    </w:p>
    <w:p>
      <w:pPr>
        <w:pStyle w:val="BodyText"/>
      </w:pPr>
      <w:r>
        <w:rPr>
          <w:b/>
          <w:bCs/>
        </w:rPr>
        <w:t xml:space="preserve">Pre-registered falsifiers.</w:t>
      </w:r>
      <w:r>
        <w:t xml:space="preserve"> </w:t>
      </w:r>
      <w:r>
        <w:t xml:space="preserve">The decision rule is stated here because</w:t>
      </w:r>
      <w:r>
        <w:t xml:space="preserve"> </w:t>
      </w:r>
      <w:r>
        <w:t xml:space="preserve">the protocol is offered as a contribution. Each falsifier is an exact paired</w:t>
      </w:r>
      <w:r>
        <w:t xml:space="preserve"> </w:t>
      </w:r>
      <w:r>
        <w:t xml:space="preserve">McNemar test on the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items of a cell,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one-sided, with</w:t>
      </w:r>
      <w:r>
        <w:t xml:space="preserve"> </w:t>
      </w:r>
      <w:r>
        <w:t xml:space="preserve">the seed-level bootstrap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as the second gate: a</w:t>
      </w:r>
      <w:r>
        <w:t xml:space="preserve"> </w:t>
      </w:r>
      <w:r>
        <w:t xml:space="preserve">falsifier fires when the single-cell test is significant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across-seed interval excludes zero. Single-cell tests at this size are</w:t>
      </w:r>
      <w:r>
        <w:t xml:space="preserve"> </w:t>
      </w:r>
      <w:r>
        <w:t xml:space="preserve">underpowered against a strong baseline, which is the reason for the second</w:t>
      </w:r>
      <w:r>
        <w:t xml:space="preserve"> </w:t>
      </w:r>
      <w:r>
        <w:t xml:space="preserve">gate; the earlier fixed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tolerance is retained only as a reporting</w:t>
      </w:r>
      <w:r>
        <w:t xml:space="preserve"> </w:t>
      </w:r>
      <w:r>
        <w:t xml:space="preserve">convenience in the tables. F1:</w:t>
      </w:r>
      <w:r>
        <w:t xml:space="preserve"> </w:t>
      </w:r>
      <w:r>
        <w:rPr>
          <w:smallCaps/>
        </w:rPr>
        <w:t xml:space="preserve">tact</w:t>
      </w:r>
      <w:r>
        <w:t xml:space="preserve">-dev below the</w:t>
      </w:r>
      <w:r>
        <w:t xml:space="preserve"> </w:t>
      </w:r>
      <w:r>
        <w:t xml:space="preserve">best fixed-</w:t>
      </w:r>
      <m:oMath>
        <m:r>
          <m:t>γ</m:t>
        </m:r>
      </m:oMath>
      <w:r>
        <w:t xml:space="preserve"> </w:t>
      </w:r>
      <w:r>
        <w:t xml:space="preserve">CISC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</m:t>
        </m:r>
      </m:oMath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. F2: either</w:t>
      </w:r>
      <w:r>
        <w:t xml:space="preserve"> </w:t>
      </w:r>
      <w:r>
        <w:t xml:space="preserve">variant below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more than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anywhere on the sweep. F3: the</w:t>
      </w:r>
      <w:r>
        <w:t xml:space="preserve"> </w:t>
      </w:r>
      <w:r>
        <w:t xml:space="preserve">label-free variant fails to beat the ECE gate on sweep average. F4: CISC-devT</w:t>
      </w:r>
      <w:r>
        <w:t xml:space="preserve"> </w:t>
      </w:r>
      <w:r>
        <w:t xml:space="preserve">or SignGrid-dev within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smallCaps/>
        </w:rPr>
        <w:t xml:space="preserve">tact</w:t>
      </w:r>
      <w:r>
        <w:t xml:space="preserve">-dev everywhere, including the</w:t>
      </w:r>
      <w:r>
        <w:t xml:space="preserve"> </w:t>
      </w:r>
      <w:r>
        <w:t xml:space="preserve">distortion, heterogeneity, and small-dev cells. F4 is the falsifier this matters</w:t>
      </w:r>
      <w:r>
        <w:t xml:space="preserve"> </w:t>
      </w:r>
      <w:r>
        <w:t xml:space="preserve">most for: on a single cell the</w:t>
      </w:r>
      <w:r>
        <w:t xml:space="preserve"> </w:t>
      </w:r>
      <w:r>
        <w:rPr>
          <w:smallCaps/>
        </w:rPr>
        <w:t xml:space="preserve">tact</w:t>
      </w:r>
      <w:r>
        <w:t xml:space="preserve">-minus-SignGrid comparison never reaches</w:t>
      </w:r>
      <w:r>
        <w:t xml:space="preserve"> </w:t>
      </w:r>
      <w:r>
        <w:t xml:space="preserve">significance anywhere on the sweep (smallest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), and</w:t>
      </w:r>
      <w:r>
        <w:t xml:space="preserve"> </w:t>
      </w:r>
      <w:r>
        <w:t xml:space="preserve">it is the ten-seed bootstrap that resolves the mid-range gap as systematic.</w:t>
      </w:r>
      <w:r>
        <w:t xml:space="preserve"> </w:t>
      </w:r>
      <w:r>
        <w:t xml:space="preserve">A protocol that had reported only the single-seed tests would have called the</w:t>
      </w:r>
      <w:r>
        <w:t xml:space="preserve"> </w:t>
      </w:r>
      <w:r>
        <w:t xml:space="preserve">mid-range a tie.</w:t>
      </w:r>
    </w:p>
    <w:bookmarkStart w:id="53" w:name="fig:sweep"/>
    <w:p>
      <w:pPr>
        <w:pStyle w:val="CaptionedFigure"/>
      </w:pPr>
      <w:r>
        <w:drawing>
          <wp:inline>
            <wp:extent cx="3332174" cy="257590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s/tact_sweep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2174" cy="25759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result on the confidence-usage frontier.</w:t>
      </w:r>
      <w:r>
        <w:t xml:space="preserve"> </w:t>
      </w:r>
      <w:r>
        <w:rPr>
          <w:smallCaps/>
        </w:rPr>
        <w:t xml:space="preserve">tact</w:t>
      </w:r>
      <w:r>
        <w:t xml:space="preserve">-dev and the fully label-free</w:t>
      </w:r>
      <w:r>
        <w:t xml:space="preserve"> </w:t>
      </w:r>
      <w:r>
        <w:rPr>
          <w:smallCaps/>
        </w:rPr>
        <w:t xml:space="preserve">tact</w:t>
      </w:r>
      <w:r>
        <w:t xml:space="preserve">-LF track the signed oracle across the sweep; CISC-devT and the ECE gate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for all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53"/>
    <w:bookmarkEnd w:id="54"/>
    <w:bookmarkStart w:id="79" w:name="sec:results"/>
    <w:p>
      <w:pPr>
        <w:pStyle w:val="Heading1"/>
      </w:pPr>
      <w:r>
        <w:t xml:space="preserve">Results</w:t>
      </w:r>
    </w:p>
    <w:bookmarkStart w:id="55" w:name="tab:sweep"/>
    <w:p>
      <w:pPr>
        <w:pStyle w:val="TableCaption"/>
      </w:pPr>
      <w:r>
        <w:t xml:space="preserve">Coupling sweep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;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per cell;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). Published protocols sit 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on the entire negative half-axis.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upling sweep (accuracy at K{=}15; 400 paired items per cell; dev n{=}200). Published protocols sit at the sc floor on the entire negative half-axi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κ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oracle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.890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.915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0.0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.932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.985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+</m:t>
              </m:r>
              <m:r>
                <m:t>0.6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</w:tbl>
    <w:bookmarkEnd w:id="55"/>
    <w:bookmarkStart w:id="57" w:name="signed-recovery-with-and-without-labels"/>
    <w:p>
      <w:pPr>
        <w:pStyle w:val="Heading2"/>
      </w:pPr>
      <w:r>
        <w:t xml:space="preserve">Signed recovery, with and without labels</w:t>
      </w:r>
    </w:p>
    <w:p>
      <w:pPr>
        <w:pStyle w:val="FirstParagraph"/>
      </w:pPr>
      <w:r>
        <w:t xml:space="preserve">Table </w:t>
      </w:r>
      <w:hyperlink w:anchor="tab:sweep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Fig. </w:t>
      </w:r>
      <w:hyperlink w:anchor="fig:swee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 the sweep. Three observations. First, the published protocols never leave the floor on</w:t>
      </w:r>
      <w:r>
        <w:t xml:space="preserve"> </w:t>
      </w:r>
      <m:oMath>
        <m:r>
          <m:t>κ</m:t>
        </m:r>
        <m:r>
          <m:rPr>
            <m:sty m:val="p"/>
          </m:rPr>
          <m:t>&lt;</m:t>
        </m:r>
        <m:r>
          <m:t>0</m:t>
        </m:r>
      </m:oMath>
      <w:r>
        <w:t xml:space="preserve">: CISC-devT’s grid is positive-only and the ECE gate never opens (dev ECE ranges</w:t>
      </w:r>
      <w:r>
        <w:t xml:space="preserve"> </w:t>
      </w:r>
      <m:oMath>
        <m:r>
          <m:t>0.10</m:t>
        </m:r>
      </m:oMath>
      <w:r>
        <w:t xml:space="preserve">–</w:t>
      </w:r>
      <m:oMath>
        <m:r>
          <m:t>0.80</m:t>
        </m:r>
      </m:oMath>
      <w:r>
        <w:t xml:space="preserve"> </w:t>
      </w:r>
      <w:r>
        <w:t xml:space="preserve">across the sweep while the signal’s discrimination is perfect at the extremes). Second, the label-free variant matches the</w:t>
      </w:r>
      <w:r>
        <w:t xml:space="preserve"> </w:t>
      </w:r>
      <m:oMath>
        <m:r>
          <m:t>200</m:t>
        </m:r>
      </m:oMath>
      <w:r>
        <w:t xml:space="preserve">-label variant nearly point-for-point—at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</m:t>
        </m:r>
      </m:oMath>
      <w:r>
        <w:t xml:space="preserve"> </w:t>
      </w:r>
      <w:r>
        <w:t xml:space="preserve">the raw agreement statistic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D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0.81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17.6</m:t>
        </m:r>
      </m:oMath>
      <w:r>
        <w:t xml:space="preserve">, and the CCN identity’s sign guarantee holds as predicted, yielding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with zero labels. Third,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dead zone returns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exactly, so the paired accuracy difference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is identically zero—</w:t>
      </w:r>
      <w:r>
        <w:t xml:space="preserve">“non-inferior”</w:t>
      </w:r>
      <w:r>
        <w:t xml:space="preserve"> </w:t>
      </w:r>
      <w:r>
        <w:t xml:space="preserve">is replaced by</w:t>
      </w:r>
      <w:r>
        <w:t xml:space="preserve"> </w:t>
      </w:r>
      <w:r>
        <w:t xml:space="preserve">“identical.”</w:t>
      </w:r>
    </w:p>
    <w:bookmarkStart w:id="56" w:name="tab:adv"/>
    <w:p>
      <w:pPr>
        <w:pStyle w:val="TableCaption"/>
      </w:pPr>
      <w:r>
        <w:t xml:space="preserve">Adversarial regimes (accuracy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  <w:r>
        <w:t xml:space="preserve"> </w:t>
      </w:r>
      <w:r>
        <w:t xml:space="preserve">“Oracle”</w:t>
      </w:r>
      <w:r>
        <w:t xml:space="preserve"> </w:t>
      </w:r>
      <w:r>
        <w:t xml:space="preserve">is the test-set best over</w:t>
      </w:r>
      <w:r>
        <w:t xml:space="preserve"> </w:t>
      </w:r>
      <w:r>
        <w:rPr>
          <w:i/>
          <w:iCs/>
        </w:rPr>
        <w:t xml:space="preserve">raw-value</w:t>
      </w:r>
      <w:r>
        <w:t xml:space="preserve"> </w:t>
      </w:r>
      <w:r>
        <w:t xml:space="preserve">weight policies; rank invariance beats that entire family under compression.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dversarial regimes (accuracy at K{=}15). “Oracle” is the test-set best over raw-value weight policies; rank invariance beats that entire family under compression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Regime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smallCaps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devT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SignGrid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-dev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-LF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compress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overconf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Monotone power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Hetero (i.i.d.)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Confident 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.568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.190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</w:tbl>
    <w:bookmarkEnd w:id="56"/>
    <w:p>
      <w:pPr>
        <w:pStyle w:val="BodyText"/>
      </w:pP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alarm fires and the method refuses to leave</w:t>
      </w:r>
      <w:r>
        <w:t xml:space="preserve"> </w:t>
      </w:r>
      <w:r>
        <w:rPr>
          <w:smallCaps/>
        </w:rPr>
        <w:t xml:space="preserve">sc</w:t>
      </w:r>
      <w:r>
        <w:t xml:space="preserve">:</w:t>
      </w:r>
      <w:r>
        <w:t xml:space="preserve"> </w:t>
      </w:r>
      <w:r>
        <w:t xml:space="preserve">the conditional guarantee of Prop.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working as stated.</w:t>
      </w:r>
    </w:p>
    <w:p>
      <w:pPr>
        <w:pStyle w:val="BodyText"/>
      </w:pPr>
      <w:r>
        <w:rPr>
          <w:b/>
          <w:bCs/>
        </w:rPr>
        <w:t xml:space="preserve">Where the derived exponent actually operates.</w:t>
      </w:r>
      <w:r>
        <w:t xml:space="preserve"> </w:t>
      </w:r>
      <w:r>
        <w:t xml:space="preserve">The four cells that</w:t>
      </w:r>
      <w:r>
        <w:t xml:space="preserve"> </w:t>
      </w:r>
      <w:r>
        <w:t xml:space="preserve">carry the headline</w:t>
      </w:r>
      <w:r>
        <w:t xml:space="preserve"> </w:t>
      </w:r>
      <m:oMath>
        <m:r>
          <m:t>1.000</m:t>
        </m:r>
      </m:oMath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0.4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0.6</m:t>
        </m:r>
      </m:oMath>
      <w:r>
        <w:t xml:space="preserve">) are cells where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saturates, so the link returns an untempered</w:t>
      </w:r>
      <w:r>
        <w:t xml:space="preserve"> </w:t>
      </w:r>
      <m:oMath>
        <m:sSup>
          <m:e>
            <m:r>
              <m:t>γ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between</w:t>
      </w:r>
      <w:r>
        <w:t xml:space="preserve"> </w:t>
      </w:r>
      <m:oMath>
        <m:r>
          <m:rPr>
            <m:sty m:val="p"/>
          </m:rPr>
          <m:t>−</m:t>
        </m:r>
        <m:r>
          <m:t>8.4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12.1</m:t>
        </m:r>
      </m:oMath>
      <w:r>
        <w:t xml:space="preserve"> </w:t>
      </w:r>
      <w:r>
        <w:t xml:space="preserve">across the seven saturated cells and the cap</w:t>
      </w:r>
      <w:r>
        <w:t xml:space="preserve"> </w:t>
      </w:r>
      <m:oMath>
        <m:sSub>
          <m:e>
            <m:r>
              <m:t>γ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what</w:t>
      </w:r>
      <w:r>
        <w:t xml:space="preserve"> </w:t>
      </w:r>
      <w:r>
        <w:t xml:space="preserve">the vote actually sees; the derived magnitude is not doing the</w:t>
      </w:r>
      <w:r>
        <w:t xml:space="preserve"> </w:t>
      </w:r>
      <w:r>
        <w:t xml:space="preserve">work there, the sign is. Conversely,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0.1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0.2</m:t>
        </m:r>
      </m:oMath>
      <w:r>
        <w:t xml:space="preserve">, where the</w:t>
      </w:r>
      <w:r>
        <w:t xml:space="preserve"> </w:t>
      </w:r>
      <w:r>
        <w:t xml:space="preserve">derived value lands strictly inside the cap (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1.10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2.91</m:t>
        </m:r>
      </m:oMath>
      <w:r>
        <w:t xml:space="preserve">),</w:t>
      </w:r>
      <w:r>
        <w:t xml:space="preserve"> </w:t>
      </w:r>
      <w:r>
        <w:rPr>
          <w:smallCaps/>
        </w:rPr>
        <w:t xml:space="preserve">tact</w:t>
      </w:r>
      <w:r>
        <w:t xml:space="preserve">-dev trails the dev-picked signed grid on all four cells (</w:t>
      </w:r>
      <m:oMath>
        <m:r>
          <m:t>0.900</m:t>
        </m:r>
      </m:oMath>
      <w:r>
        <w:t xml:space="preserve"> </w:t>
      </w:r>
      <w:r>
        <w:t xml:space="preserve">vs. </w:t>
      </w:r>
      <m:oMath>
        <m:r>
          <m:t>0.915</m:t>
        </m:r>
      </m:oMath>
      <w:r>
        <w:t xml:space="preserve">;</w:t>
      </w:r>
      <w:r>
        <w:t xml:space="preserve"> </w:t>
      </w:r>
      <m:oMath>
        <m:r>
          <m:t>0.907</m:t>
        </m:r>
      </m:oMath>
      <w:r>
        <w:t xml:space="preserve"> </w:t>
      </w:r>
      <w:r>
        <w:t xml:space="preserve">vs. </w:t>
      </w:r>
      <m:oMath>
        <m:r>
          <m:t>0.932</m:t>
        </m:r>
      </m:oMath>
      <w:r>
        <w:t xml:space="preserve">;</w:t>
      </w:r>
      <w:r>
        <w:t xml:space="preserve"> </w:t>
      </w:r>
      <m:oMath>
        <m:r>
          <m:t>0.975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vs. </w:t>
      </w:r>
      <m:oMath>
        <m:r>
          <m:t>0.985</m:t>
        </m:r>
      </m:oMath>
      <w:r>
        <w:t xml:space="preserve">).</w:t>
      </w:r>
      <w:r>
        <w:t xml:space="preserve"> </w:t>
      </w:r>
      <w:r>
        <w:t xml:space="preserve">Read together: against the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protocols the advantage is large</w:t>
      </w:r>
      <w:r>
        <w:t xml:space="preserve"> </w:t>
      </w:r>
      <w:r>
        <w:t xml:space="preserve">and comes from representing the sign at all, whereas against a signed grid the</w:t>
      </w:r>
      <w:r>
        <w:t xml:space="preserve"> </w:t>
      </w:r>
      <w:r>
        <w:t xml:space="preserve">analytic map is not better at choosing a magnitude on these cells. Its</w:t>
      </w:r>
      <w:r>
        <w:t xml:space="preserve"> </w:t>
      </w:r>
      <w:r>
        <w:t xml:space="preserve">advantage over the grid is elsewhere, in the three cells named in C4, and the</w:t>
      </w:r>
      <w:r>
        <w:t xml:space="preserve"> </w:t>
      </w:r>
      <w:r>
        <w:t xml:space="preserve">one place the interpolation itself pays is confident echo, where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1.198</m:t>
        </m:r>
      </m:oMath>
      <w:r>
        <w:t xml:space="preserve"> </w:t>
      </w:r>
      <w:r>
        <w:t xml:space="preserve">falls between grid points and beats the grid optimum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m:oMath>
        <m:r>
          <m:t>0.615</m:t>
        </m:r>
      </m:oMath>
      <w:r>
        <w:t xml:space="preserve"> </w:t>
      </w:r>
      <w:r>
        <w:t xml:space="preserve">vs. </w:t>
      </w:r>
      <m:oMath>
        <m:r>
          <m:t>0.568</m:t>
        </m:r>
      </m:oMath>
      <w:r>
        <w:t xml:space="preserve">).</w:t>
      </w:r>
    </w:p>
    <w:bookmarkEnd w:id="57"/>
    <w:bookmarkStart w:id="62" w:name="rank-invariance-where-raw-values-fail"/>
    <w:p>
      <w:pPr>
        <w:pStyle w:val="Heading2"/>
      </w:pPr>
      <w:r>
        <w:t xml:space="preserve">Rank invariance where raw values fail</w:t>
      </w:r>
    </w:p>
    <w:p>
      <w:pPr>
        <w:pStyle w:val="FirstParagraph"/>
      </w:pPr>
      <w:r>
        <w:t xml:space="preserve">Under monotone compression (Table </w:t>
      </w:r>
      <w:hyperlink w:anchor="tab:adv">
        <w:r>
          <w:rPr>
            <w:rStyle w:val="Hyperlink"/>
          </w:rPr>
          <w:t xml:space="preserve">2</w:t>
        </w:r>
      </w:hyperlink>
      <w:r>
        <w:t xml:space="preserve">, Fig. </w:t>
      </w:r>
      <w:hyperlink w:anchor="fig:adv">
        <w:r>
          <w:rPr>
            <w:rStyle w:val="Hyperlink"/>
          </w:rPr>
          <w:t xml:space="preserve">3</w:t>
        </w:r>
      </w:hyperlink>
      <w:r>
        <w:t xml:space="preserve">) all confidences huddle near</w:t>
      </w:r>
      <w:r>
        <w:t xml:space="preserve"> </w:t>
      </w:r>
      <m:oMath>
        <m:r>
          <m:t>0.5</m:t>
        </m:r>
      </m:oMath>
      <w:r>
        <w:t xml:space="preserve">, so every</w:t>
      </w:r>
      <w:r>
        <w:t xml:space="preserve"> </w:t>
      </w:r>
      <m:oMath>
        <m:sSup>
          <m:e>
            <m:r>
              <m:t>c</m:t>
            </m:r>
          </m:e>
          <m:sup>
            <m:r>
              <m:t>γ</m:t>
            </m:r>
          </m:sup>
        </m:sSup>
      </m:oMath>
      <w:r>
        <w:t xml:space="preserve">-family weight is nearly uniform: even the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over raw-value policies reaches only</w:t>
      </w:r>
      <w:r>
        <w:t xml:space="preserve"> </w:t>
      </w:r>
      <m:oMath>
        <m:r>
          <m:t>0.963</m:t>
        </m:r>
      </m:oMath>
      <w:r>
        <w:t xml:space="preserve">.</w:t>
      </w:r>
      <w:r>
        <w:t xml:space="preserve"> </w:t>
      </w:r>
      <w:r>
        <w:rPr>
          <w:smallCaps/>
        </w:rPr>
        <w:t xml:space="preserve">tact</w:t>
      </w:r>
      <w:r>
        <w:t xml:space="preserve">’s rank scores are untouched by the distortion and both variants reach</w:t>
      </w:r>
      <w:r>
        <w:t xml:space="preserve"> </w:t>
      </w:r>
      <m:oMath>
        <m:r>
          <m:t>1.000</m:t>
        </m:r>
      </m:oMath>
      <w:r>
        <w:t xml:space="preserve">. Under the confident echo, dev labels reveal the inversion (high confidence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wrong) and</w:t>
      </w:r>
      <w:r>
        <w:t xml:space="preserve"> </w:t>
      </w:r>
      <w:r>
        <w:rPr>
          <w:smallCaps/>
        </w:rPr>
        <w:t xml:space="preserve">tact</w:t>
      </w:r>
      <w:r>
        <w:t xml:space="preserve">-dev counters with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1.20</m:t>
        </m:r>
      </m:oMath>
      <w:r>
        <w:t xml:space="preserve">, the best result in the field (</w:t>
      </w:r>
      <m:oMath>
        <m:r>
          <m:t>0.615</m:t>
        </m:r>
      </m:oMath>
      <w:r>
        <w:t xml:space="preserve">;</w:t>
      </w:r>
      <w:r>
        <w:t xml:space="preserve"> </w:t>
      </w:r>
      <m:oMath>
        <m:r>
          <m:t>3.2</m:t>
        </m:r>
        <m:r>
          <m:rPr>
            <m:sty m:val="p"/>
          </m:rPr>
          <m:t>×</m:t>
        </m:r>
      </m:oMath>
      <w:r>
        <w:t xml:space="preserve"> </w:t>
      </w:r>
      <w:r>
        <w:t xml:space="preserve">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floor); label-free, the duplicate-collapse alarm fires and the method correctly refuses—by 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no label-free method could do better than a coin flip on the sign here, since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of the cell’s items are effectively binary and the escape the proposition identifies is unavailable on them; pretending otherwise would be the real failure.</w:t>
      </w:r>
    </w:p>
    <w:bookmarkStart w:id="61" w:name="fig:adv"/>
    <w:p>
      <w:pPr>
        <w:pStyle w:val="CaptionedFigure"/>
      </w:pPr>
      <w:r>
        <w:drawing>
          <wp:inline>
            <wp:extent cx="3121335" cy="2479651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figs/tact_adversarial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2479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Adversarial regimes. Dotted line: the oracle over raw-value weights. Left group of bars: rank invariance beats that family under compression; right: the labeled variant counters the confident echo while the label-free variant alarms and refuses.</w:t>
      </w:r>
    </w:p>
    <w:bookmarkEnd w:id="61"/>
    <w:bookmarkEnd w:id="62"/>
    <w:bookmarkStart w:id="68" w:name="heterogeneity"/>
    <w:p>
      <w:pPr>
        <w:pStyle w:val="Heading2"/>
      </w:pPr>
      <w:r>
        <w:t xml:space="preserve">Heterogeneity</w:t>
      </w:r>
    </w:p>
    <w:p>
      <w:pPr>
        <w:pStyle w:val="FirstParagraph"/>
      </w:pPr>
      <w:r>
        <w:t xml:space="preserve">Table </w:t>
      </w:r>
      <w:hyperlink w:anchor="tab:group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and Fig. 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give the group study. In the covariate-structured cell,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recovers each group’s signed coupling (dev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4.0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4.0</m:t>
        </m:r>
        <m:r>
          <m:rPr>
            <m:sty m:val="p"/>
          </m:rPr>
          <m:t>}</m:t>
        </m:r>
      </m:oMath>
      <w:r>
        <w:t xml:space="preserve">, label-free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+</m:t>
        </m:r>
        <m:r>
          <m:t>2.0</m:t>
        </m:r>
        <m:r>
          <m:rPr>
            <m:sty m:val="p"/>
          </m:rPr>
          <m:t>,</m:t>
        </m:r>
        <m:r>
          <m:t>0.0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2.0</m:t>
        </m:r>
        <m:r>
          <m:rPr>
            <m:sty m:val="p"/>
          </m:rPr>
          <m:t>}</m:t>
        </m:r>
      </m:oMath>
      <w:r>
        <w:t xml:space="preserve">, the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correctly dead-zoned—and cracks the floor that provably binds every global policy: the label-free variant reaches</w:t>
      </w:r>
      <w:r>
        <w:t xml:space="preserve"> </w:t>
      </w:r>
      <m:oMath>
        <m:r>
          <m:t>0.923</m:t>
        </m:r>
      </m:oMath>
      <w:r>
        <w:t xml:space="preserve">, within</w:t>
      </w:r>
      <w:r>
        <w:t xml:space="preserve"> </w:t>
      </w:r>
      <m:oMath>
        <m:r>
          <m:t>0.023</m:t>
        </m:r>
      </m:oMath>
      <w:r>
        <w:t xml:space="preserve"> </w:t>
      </w:r>
      <w:r>
        <w:t xml:space="preserve">of the per-item link oracle, with</w:t>
      </w:r>
      <w:r>
        <w:t xml:space="preserve"> </w:t>
      </w:r>
      <w:r>
        <w:rPr>
          <w:i/>
          <w:iCs/>
        </w:rPr>
        <w:t xml:space="preserve">zero</w:t>
      </w:r>
      <w:r>
        <w:t xml:space="preserve"> </w:t>
      </w:r>
      <w:r>
        <w:t xml:space="preserve">paired losses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over</w:t>
      </w:r>
      <w:r>
        <w:t xml:space="preserve"> </w:t>
      </w:r>
      <m:oMath>
        <m:r>
          <m:t>600</m:t>
        </m:r>
      </m:oMath>
      <w:r>
        <w:t xml:space="preserve"> </w:t>
      </w:r>
      <w:r>
        <w:t xml:space="preserve">items (</w:t>
      </w:r>
      <m:oMath>
        <m:r>
          <m:rPr>
            <m:sty m:val="p"/>
          </m:rPr>
          <m:t>+</m:t>
        </m:r>
        <m:r>
          <m:t>83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25</m:t>
            </m:r>
          </m:sup>
        </m:sSup>
      </m:oMath>
      <w:r>
        <w:t xml:space="preserve">). In the i.i.d. cell every method sits at the floor with zero discordant pairs, the naive self-referential control included: it cannot beat the plurality it is derived from. That control is the empirical face of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, and the grouped cell is where it shows: given the same covariate the per-group estimator exploits, it reaches</w:t>
      </w:r>
      <w:r>
        <w:t xml:space="preserve"> </w:t>
      </w:r>
      <m:oMath>
        <m:r>
          <m:t>0.787</m:t>
        </m:r>
      </m:oMath>
      <w:r>
        <w:t xml:space="preserve"> </w:t>
      </w:r>
      <w:r>
        <w:t xml:space="preserve">against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floor, two items in</w:t>
      </w:r>
      <w:r>
        <w:t xml:space="preserve"> </w:t>
      </w:r>
      <m:oMath>
        <m:r>
          <m:t>600</m:t>
        </m:r>
      </m:oMath>
      <w:r>
        <w:t xml:space="preserve">. The two arms land within seed noise of each other here (</w:t>
      </w:r>
      <m:oMath>
        <m:r>
          <m:t>0.923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0.927</m:t>
        </m:r>
      </m:oMath>
      <w:r>
        <w:t xml:space="preserve"> </w:t>
      </w:r>
      <w:r>
        <w:t xml:space="preserve">on</w:t>
      </w:r>
      <w:r>
        <w:t xml:space="preserve"> </w:t>
      </w:r>
      <w:r>
        <w:t xml:space="preserve">one seed;</w:t>
      </w:r>
      <w:r>
        <w:t xml:space="preserve"> </w:t>
      </w:r>
      <m:oMath>
        <m:r>
          <m:t>0.929</m:t>
        </m:r>
        <m:r>
          <m:rPr>
            <m:sty m:val="p"/>
          </m:rPr>
          <m:t>±</m:t>
        </m:r>
        <m:r>
          <m:t>0.015</m:t>
        </m:r>
      </m:oMath>
      <w:r>
        <w:t xml:space="preserve"> </w:t>
      </w:r>
      <w:r>
        <w:t xml:space="preserve">each over five). A natural explanation would be the arms’</w:t>
      </w:r>
      <w:r>
        <w:t xml:space="preserve"> </w:t>
      </w:r>
      <w:r>
        <w:t xml:space="preserve">different exponent caps; the ablation rules it out. Sweeping</w:t>
      </w:r>
      <w:r>
        <w:t xml:space="preserve"> </w:t>
      </w:r>
      <w:r>
        <w:t xml:space="preserve">the cap over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}</m:t>
        </m:r>
      </m:oMath>
      <w:r>
        <w:t xml:space="preserve"> </w:t>
      </w:r>
      <w:r>
        <w:t xml:space="preserve">moves neither arm at all (spread</w:t>
      </w:r>
      <w:r>
        <w:t xml:space="preserve"> </w:t>
      </w:r>
      <m:oMath>
        <m:r>
          <m:t>0.0000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both), so the cap is not load-bearing in this cell and the difference is</w:t>
      </w:r>
      <w:r>
        <w:t xml:space="preserve"> </w:t>
      </w:r>
      <w:r>
        <w:t xml:space="preserve">sampling variation.</w:t>
      </w:r>
    </w:p>
    <w:bookmarkStart w:id="63" w:name="tab:group"/>
    <w:p>
      <w:pPr>
        <w:pStyle w:val="TableCaption"/>
      </w:pPr>
      <w:r>
        <w:t xml:space="preserve">Heterogeneity study (</w:t>
      </w:r>
      <m:oMath>
        <m:r>
          <m:t>600</m:t>
        </m:r>
      </m:oMath>
      <w:r>
        <w:t xml:space="preserve"> </w:t>
      </w:r>
      <w:r>
        <w:t xml:space="preserve">paired items;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terogeneity study (600 paired items; K{=}15)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Grouped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i.i.d.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(floor)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 </w:t>
            </w:r>
            <w:r>
              <w:t xml:space="preserve">global (dev)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-group (dev)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.927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  <w:smallCaps/>
              </w:rPr>
              <w:t xml:space="preserve">tact</w:t>
            </w:r>
            <w:r>
              <w:rPr>
                <w:b/>
                <w:bCs/>
              </w:rPr>
              <w:t xml:space="preserve">-group (label-free)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Naive per-item (neg. control)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.752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Per-item link oracle (ceiling)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.973</w:t>
            </w:r>
          </w:p>
        </w:tc>
      </w:tr>
    </w:tbl>
    <w:bookmarkEnd w:id="63"/>
    <w:bookmarkStart w:id="67" w:name="fig:group"/>
    <w:p>
      <w:pPr>
        <w:pStyle w:val="CaptionedFigure"/>
      </w:pPr>
      <w:r>
        <w:drawing>
          <wp:inline>
            <wp:extent cx="3121335" cy="316716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figs/group_eval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35" cy="31671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Structured vs. i.i.d. heterogeneity. Left: with an observable covariate, per-group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(label-free) approaches the per-item oracle from the</w:t>
      </w:r>
      <w:r>
        <w:t xml:space="preserve"> </w:t>
      </w:r>
      <m:oMath>
        <m:r>
          <m:t>0.785</m:t>
        </m:r>
      </m:oMath>
      <w:r>
        <w:t xml:space="preserve"> </w:t>
      </w:r>
      <w:r>
        <w:t xml:space="preserve">floor with zero losses to</w:t>
      </w:r>
      <w:r>
        <w:t xml:space="preserve"> </w:t>
      </w:r>
      <w:r>
        <w:rPr>
          <w:smallCaps/>
        </w:rPr>
        <w:t xml:space="preserve">sc</w:t>
      </w:r>
      <w:r>
        <w:t xml:space="preserve">. Right: the provably closed i.i.d. cell—every method at the floor, the negative control included.</w:t>
      </w:r>
    </w:p>
    <w:bookmarkEnd w:id="67"/>
    <w:bookmarkEnd w:id="68"/>
    <w:bookmarkStart w:id="69" w:name="small-dev-sets-and-falsifiers"/>
    <w:p>
      <w:pPr>
        <w:pStyle w:val="Heading2"/>
      </w:pPr>
      <w:r>
        <w:t xml:space="preserve">Small dev sets and falsifiers</w:t>
      </w:r>
    </w:p>
    <w:p>
      <w:pPr>
        <w:pStyle w:val="FirstParagraph"/>
      </w:pPr>
      <w:r>
        <w:t xml:space="preserve">With dev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conclusions are unchanged (</w:t>
      </w:r>
      <m:oMath>
        <m:r>
          <m:t>1.000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0.6</m:t>
        </m:r>
      </m:oMath>
      <w:r>
        <w:t xml:space="preserve">;</w:t>
      </w:r>
      <w:r>
        <w:t xml:space="preserve"> </w:t>
      </w:r>
      <m:oMath>
        <m:r>
          <m:t>0.978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): the SE-aware shrinkage degrades smoothly rather than catastrophically. All four falsifiers survived: F1 (</w:t>
      </w:r>
      <m:oMath>
        <m:r>
          <m:t>1.000</m:t>
        </m:r>
      </m:oMath>
      <w:r>
        <w:t xml:space="preserve"> </w:t>
      </w:r>
      <w:r>
        <w:t xml:space="preserve">vs. </w:t>
      </w:r>
      <m:oMath>
        <m:r>
          <m:t>1.000</m:t>
        </m:r>
      </m:oMath>
      <w:r>
        <w:t xml:space="preserve">), F2 (bit-identical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; nowhere more than the pre-registered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accuracy tolerance below</w:t>
      </w:r>
      <w:r>
        <w:t xml:space="preserve"> </w:t>
      </w:r>
      <w:r>
        <w:rPr>
          <w:smallCaps/>
        </w:rPr>
        <w:t xml:space="preserve">sc</w:t>
      </w:r>
      <w:r>
        <w:t xml:space="preserve">), F3 (sweep means</w:t>
      </w:r>
      <w:r>
        <w:t xml:space="preserve"> </w:t>
      </w:r>
      <m:oMath>
        <m:r>
          <m:t>0.944</m:t>
        </m:r>
      </m:oMath>
      <w:r>
        <w:t xml:space="preserve"> </w:t>
      </w:r>
      <w:r>
        <w:t xml:space="preserve">vs. </w:t>
      </w:r>
      <m:oMath>
        <m:r>
          <m:t>0.768</m:t>
        </m:r>
      </m:oMath>
      <w:r>
        <w:t xml:space="preserve">), and F4 (both grid baselines trail by</w:t>
      </w:r>
      <w:r>
        <w:t xml:space="preserve"> </w:t>
      </w:r>
      <m:oMath>
        <m:r>
          <m:t>0.037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0.047</m:t>
        </m:r>
      </m:oMath>
      <w:r>
        <w:t xml:space="preserve"> </w:t>
      </w:r>
      <w:r>
        <w:t xml:space="preserve">on the distortion and echo cells, and neither can operate without labels). On the single seed the paired tests against SignGrid-dev are not significant</w:t>
      </w:r>
      <w:r>
        <w:t xml:space="preserve"> </w:t>
      </w:r>
      <w:r>
        <w:t xml:space="preserve">anywhere (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discordant, 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0.34</m:t>
        </m:r>
      </m:oMath>
      <w:r>
        <w:t xml:space="preserve">;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</m:t>
        </m:r>
      </m:oMath>
      <w:r>
        <w:t xml:space="preserve">:</w:t>
      </w:r>
      <w:r>
        <w:t xml:space="preserve"> </w:t>
      </w:r>
      <m:oMath>
        <m:r>
          <m:t>8</m:t>
        </m:r>
        <m:r>
          <m:rPr>
            <m:sty m:val="p"/>
          </m:rPr>
          <m:t>/</m:t>
        </m:r>
        <m:r>
          <m:t>18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</m:t>
        </m:r>
      </m:oMath>
      <w:r>
        <w:t xml:space="preserve">), and the ten-seed intervals of Section </w:t>
      </w:r>
      <w:hyperlink w:anchor="sec:seeds">
        <w:r>
          <w:rPr>
            <w:rStyle w:val="Hyperlink"/>
          </w:rPr>
          <w:t xml:space="preserve">8.6</w:t>
        </w:r>
      </w:hyperlink>
      <w:r>
        <w:t xml:space="preserve"> </w:t>
      </w:r>
      <w:r>
        <w:t xml:space="preserve">are</w:t>
      </w:r>
      <w:r>
        <w:t xml:space="preserve"> </w:t>
      </w:r>
      <w:r>
        <w:t xml:space="preserve">what establish the mid-range deficit. Against SignGrid-dev the honest margin is narrow on the homogeneous sweep—</w:t>
      </w:r>
      <w:r>
        <w:rPr>
          <w:smallCaps/>
        </w:rPr>
        <w:t xml:space="preserve">tact</w:t>
      </w:r>
      <w:r>
        <w:t xml:space="preserve"> </w:t>
      </w:r>
      <w:r>
        <w:t xml:space="preserve">even trails by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0.025</m:t>
        </m:r>
      </m:oMath>
      <w:r>
        <w:t xml:space="preserve"> </w:t>
      </w:r>
      <w:r>
        <w:t xml:space="preserve">in the mid-range, the deliberate cost of shrinkage—and the net advantage concentrates exactly where pre-registered: distortion (</w:t>
      </w:r>
      <m:oMath>
        <m:r>
          <m:rPr>
            <m:sty m:val="p"/>
          </m:rPr>
          <m:t>+</m:t>
        </m:r>
        <m:r>
          <m:t>0.037</m:t>
        </m:r>
      </m:oMath>
      <w:r>
        <w:t xml:space="preserve">), echo (</w:t>
      </w:r>
      <m:oMath>
        <m:r>
          <m:rPr>
            <m:sty m:val="p"/>
          </m:rPr>
          <m:t>+</m:t>
        </m:r>
        <m:r>
          <m:t>0.047</m:t>
        </m:r>
      </m:oMath>
      <w:r>
        <w:t xml:space="preserve">), and label-free operation, which no grid can perform.</w:t>
      </w:r>
    </w:p>
    <w:bookmarkEnd w:id="69"/>
    <w:bookmarkStart w:id="71" w:name="sec:tests"/>
    <w:p>
      <w:pPr>
        <w:pStyle w:val="Heading2"/>
      </w:pPr>
      <w:r>
        <w:t xml:space="preserve">Verification of the implementation</w:t>
      </w:r>
    </w:p>
    <w:p>
      <w:pPr>
        <w:pStyle w:val="FirstParagraph"/>
      </w:pPr>
      <w:r>
        <w:t xml:space="preserve">Because every claim in Sections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–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is a</w:t>
      </w:r>
      <w:r>
        <w:t xml:space="preserve"> </w:t>
      </w:r>
      <w:r>
        <w:t xml:space="preserve">mathematical property rather than an empirical trend, the released code pins</w:t>
      </w:r>
      <w:r>
        <w:t xml:space="preserve"> </w:t>
      </w:r>
      <w:r>
        <w:t xml:space="preserve">each one with an executable test; the suite is 102 tests covering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and the</w:t>
      </w:r>
      <w:r>
        <w:t xml:space="preserve"> </w:t>
      </w:r>
      <w:r>
        <w:t xml:space="preserve">follow-on work.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maps propositions to the tests that would fail if they stopped holding.</w:t>
      </w:r>
    </w:p>
    <w:bookmarkStart w:id="70" w:name="tab:tests"/>
    <w:p>
      <w:pPr>
        <w:pStyle w:val="TableCaption"/>
      </w:pPr>
      <w:r>
        <w:t xml:space="preserve">What the test suite verifies. Every proposition in the paper has an</w:t>
      </w:r>
      <w:r>
        <w:t xml:space="preserve"> </w:t>
      </w:r>
      <w:r>
        <w:t xml:space="preserve">executable counterpart; the counter-tests fail deliberately on rejected</w:t>
      </w:r>
      <w:r>
        <w:t xml:space="preserve"> </w:t>
      </w:r>
      <w:r>
        <w:t xml:space="preserve">alternatives so a regression cannot silently reinstate them.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hat the test suite verifies. Every proposition in the paper has an executable counterpart; the counter-tests fail deliberately on rejected alternatives so a regression cannot silently reinstate them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sc">
              <w:r>
                <w:rPr>
                  <w:rStyle w:val="Hyperlink"/>
                </w:rPr>
                <w:t xml:space="preserve">1</w:t>
              </w:r>
            </w:hyperlink>
            <w:r>
              <w:t xml:space="preserve"> </w:t>
            </w:r>
            <w:r>
              <w:t xml:space="preserve">(exact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incl. ties, 200 pools; dead-zone rate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70% under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isc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(exact CISC)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identical vote shares, 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Prop. </w:t>
            </w:r>
            <w:hyperlink w:anchor="prop:ccn">
              <w:r>
                <w:rPr>
                  <w:rStyle w:val="Hyperlink"/>
                </w:rPr>
                <w:t xml:space="preserve">4</w:t>
              </w:r>
            </w:hyperlink>
            <w:r>
              <w:t xml:space="preserve"> </w:t>
            </w:r>
            <w:r>
              <w:t xml:space="preserve">(attenuation)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ρ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.1</m:t>
              </m:r>
              <m:r>
                <m:rPr>
                  <m:sty m:val="p"/>
                </m:rPr>
                <m:t>,</m:t>
              </m:r>
              <m:r>
                <m:t>.25</m:t>
              </m:r>
              <m:r>
                <m:rPr>
                  <m:sty m:val="p"/>
                </m:rPr>
                <m:t>,</m:t>
              </m:r>
              <m:r>
                <m:t>.4</m:t>
              </m:r>
              <m:r>
                <m:rPr>
                  <m:sty m:val="p"/>
                </m:rPr>
                <m:t>}</m:t>
              </m:r>
            </m:oMath>
            <w:r>
              <w:t xml:space="preserve">, abs. </w:t>
            </w:r>
            <m:oMath>
              <m:r>
                <m:t>.06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Props. </w:t>
            </w:r>
            <w:hyperlink w:anchor="prop:selfreinf">
              <w:r>
                <w:rPr>
                  <w:rStyle w:val="Hyperlink"/>
                </w:rPr>
                <w:t xml:space="preserve">5</w:t>
              </w:r>
            </w:hyperlink>
            <w:r>
              <w:t xml:space="preserve">–</w:t>
            </w:r>
            <w:hyperlink w:anchor="prop:twoworld">
              <w:r>
                <w:rPr>
                  <w:rStyle w:val="Hyperlink"/>
                </w:rPr>
                <w:t xml:space="preserve">6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97.5%</w:t>
            </w:r>
            <w:r>
              <w:t xml:space="preserve"> 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agreement; 4% sign match; the two-world boundary is pinned both ways (binary pools indistinguishable, a populated third cluster separates them at</w:t>
            </w:r>
            <w:r>
              <w:t xml:space="preserve"> 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S</m:t>
              </m:r>
              <m:r>
                <m:t> </m:t>
              </m:r>
              <m:r>
                <m:t>p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 invariance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distortions</w:t>
            </w:r>
            <w:r>
              <w:t xml:space="preserve"> 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100 pools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internals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permutation null variance (3</w:t>
            </w:r>
            <w:r>
              <w:t xml:space="preserve">,</w:t>
            </w:r>
            <w:r>
              <w:t xml:space="preserve">000 draws, 10% tol.), JS–EB identity to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t xml:space="preserve">, link</w:t>
            </w:r>
            <w:r>
              <w:t xml:space="preserve"> </w:t>
            </w:r>
            <w:hyperlink w:anchor="eq:link">
              <w:r>
                <w:rPr>
                  <w:rStyle w:val="Hyperlink"/>
                </w:rPr>
                <w:t xml:space="preserve">[eq:link]</w:t>
              </w:r>
            </w:hyperlink>
            <w:r>
              <w:t xml:space="preserve"> </w:t>
            </w:r>
            <w:r>
              <w:t xml:space="preserve">to rel. 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t xml:space="preserve">, permutation-invariance regression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Rejected alternatives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Kish ESS and the SAFE-under-VoI guarantee each have a test asserting their</w:t>
            </w:r>
            <w:r>
              <w:t xml:space="preserve"> </w:t>
            </w:r>
            <w:r>
              <w:rPr>
                <w:i/>
                <w:iCs/>
              </w:rPr>
              <w:t xml:space="preserve">failure</w:t>
            </w:r>
          </w:p>
        </w:tc>
      </w:tr>
    </w:tbl>
    <w:bookmarkEnd w:id="70"/>
    <w:p>
      <w:pPr>
        <w:pStyle w:val="BodyText"/>
      </w:pPr>
      <w:r>
        <w:t xml:space="preserve">Two entries deserve comment. The permutation-invariance test was added after a</w:t>
      </w:r>
      <w:r>
        <w:t xml:space="preserve"> </w:t>
      </w:r>
      <w:r>
        <w:t xml:space="preserve">defect in which the memoisation key made the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pass while the</w:t>
      </w:r>
      <w:r>
        <w:t xml:space="preserve"> </w:t>
      </w:r>
      <w:r>
        <w:t xml:space="preserve">estimator itself was order-dependent by up to</w:t>
      </w:r>
      <w:r>
        <w:t xml:space="preserve"> </w:t>
      </w:r>
      <m:oMath>
        <m:r>
          <m:t>0.10</m:t>
        </m:r>
      </m:oMath>
      <w:r>
        <w:t xml:space="preserve">; it now calls the internal</w:t>
      </w:r>
      <w:r>
        <w:t xml:space="preserve"> </w:t>
      </w:r>
      <w:r>
        <w:t xml:space="preserve">routine directly. And the last two rows are counter-tests that assert</w:t>
      </w:r>
      <w:r>
        <w:t xml:space="preserve"> </w:t>
      </w:r>
      <w:r>
        <w:rPr>
          <w:i/>
          <w:iCs/>
        </w:rPr>
        <w:t xml:space="preserve">failure</w:t>
      </w:r>
      <w:r>
        <w:t xml:space="preserve"> </w:t>
      </w:r>
      <w:r>
        <w:t xml:space="preserve">of rejected alternatives — the Kish effective-sample-size</w:t>
      </w:r>
      <w:r>
        <w:t xml:space="preserve"> </w:t>
      </w:r>
      <w:r>
        <w:t xml:space="preserve">formulation and the claim that the shipped default honours the SAFE stopping</w:t>
      </w:r>
      <w:r>
        <w:t xml:space="preserve"> </w:t>
      </w:r>
      <w:r>
        <w:t xml:space="preserve">guarantee — so that neither can be silently reinstated by a later change.</w:t>
      </w:r>
    </w:p>
    <w:bookmarkEnd w:id="71"/>
    <w:bookmarkStart w:id="72" w:name="sec:seeds"/>
    <w:p>
      <w:pPr>
        <w:pStyle w:val="Heading2"/>
      </w:pPr>
      <w:r>
        <w:t xml:space="preserve">A harness artifact, and dispersion across seeds</w:t>
      </w:r>
    </w:p>
    <w:p>
      <w:pPr>
        <w:pStyle w:val="FirstParagraph"/>
      </w:pPr>
      <w:r>
        <w:t xml:space="preserve">Two corrections to the synthetic results, both found by re-running what had</w:t>
      </w:r>
      <w:r>
        <w:t xml:space="preserve"> </w:t>
      </w:r>
      <w:r>
        <w:t xml:space="preserve">been single-seed measurements.</w:t>
      </w:r>
    </w:p>
    <w:p>
      <w:pPr>
        <w:pStyle w:val="BodyText"/>
      </w:pPr>
      <w:r>
        <w:rPr>
          <w:i/>
          <w:iCs/>
        </w:rPr>
        <w:t xml:space="preserve">Tie-breaking was rewarding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sc</w:t>
      </w:r>
      <w:r>
        <w:rPr>
          <w:i/>
          <w:iCs/>
        </w:rPr>
        <w:t xml:space="preserve"> </w:t>
      </w:r>
      <w:r>
        <w:rPr>
          <w:i/>
          <w:iCs/>
        </w:rPr>
        <w:t xml:space="preserve">for free.</w:t>
      </w:r>
      <w:r>
        <w:t xml:space="preserve"> </w:t>
      </w:r>
      <w:r>
        <w:t xml:space="preserve">The generator assigned the</w:t>
      </w:r>
      <w:r>
        <w:t xml:space="preserve"> </w:t>
      </w:r>
      <w:r>
        <w:t xml:space="preserve">correct answer the code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 every item, and</w:t>
      </w:r>
      <w:r>
        <w:t xml:space="preserve"> </w:t>
      </w:r>
      <w:r>
        <w:rPr>
          <w:rStyle w:val="VerbatimChar"/>
        </w:rPr>
        <w:t xml:space="preserve">argmax</w:t>
      </w:r>
      <w:r>
        <w:t xml:space="preserve"> </w:t>
      </w:r>
      <w:r>
        <w:t xml:space="preserve">breaks ties</w:t>
      </w:r>
      <w:r>
        <w:t xml:space="preserve"> </w:t>
      </w:r>
      <w:r>
        <w:t xml:space="preserve">toward the lowest index, so on any item whose vote was tied plain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chose</w:t>
      </w:r>
      <w:r>
        <w:t xml:space="preserve"> </w:t>
      </w:r>
      <w:r>
        <w:t xml:space="preserve">correctly by construction:</w:t>
      </w:r>
      <w:r>
        <w:t xml:space="preserve"> </w:t>
      </w:r>
      <m:oMath>
        <m:r>
          <m:t>67.7</m:t>
        </m:r>
        <m:r>
          <m:rPr>
            <m:sty m:val="p"/>
          </m:rPr>
          <m:t>%</m:t>
        </m:r>
      </m:oMath>
      <w:r>
        <w:t xml:space="preserve"> </w:t>
      </w:r>
      <w:r>
        <w:t xml:space="preserve">on near-tied items against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random tie-break, with</w:t>
      </w:r>
      <w:r>
        <w:t xml:space="preserve"> </w:t>
      </w:r>
      <m:oMath>
        <m:r>
          <m:t>31.8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tied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15</m:t>
        </m:r>
      </m:oMath>
      <w:r>
        <w:t xml:space="preserve">. Every method that</w:t>
      </w:r>
      <w:r>
        <w:t xml:space="preserve"> </w:t>
      </w:r>
      <w:r>
        <w:t xml:space="preserve">perturbs the weights off integers forfeits that subsidy, so the artifact</w:t>
      </w:r>
      <w:r>
        <w:t xml:space="preserve"> </w:t>
      </w:r>
      <w:r>
        <w:t xml:space="preserve">inflated the baseline and penalised the proposed method. It also produced a</w:t>
      </w:r>
      <w:r>
        <w:t xml:space="preserve"> </w:t>
      </w:r>
      <w:r>
        <w:t xml:space="preserve">spurious falsifier: 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 averaged</w:t>
      </w:r>
      <w:r>
        <w:t xml:space="preserve"> </w:t>
      </w:r>
      <m:oMath>
        <m:r>
          <m:t>0.797</m:t>
        </m:r>
      </m:oMath>
      <w:r>
        <w:t xml:space="preserve"> </w:t>
      </w:r>
      <w:r>
        <w:t xml:space="preserve">against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0.818</m:t>
        </m:r>
      </m:oMath>
      <w:r>
        <w:t xml:space="preserve"> </w:t>
      </w:r>
      <w:r>
        <w:t xml:space="preserve">across ten seeds, tripping F2, while the exponents responsible were</w:t>
      </w:r>
      <w:r>
        <w:t xml:space="preserve"> </w:t>
      </w:r>
      <m:oMath>
        <m:r>
          <m:rPr>
            <m:sty m:val="p"/>
          </m:rPr>
          <m:t>|</m:t>
        </m:r>
        <m:r>
          <m:t>γ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0.05</m:t>
        </m:r>
      </m:oMath>
      <w:r>
        <w:t xml:space="preserve">. The items were near-ties whose tie-break had moved, not</w:t>
      </w:r>
      <w:r>
        <w:t xml:space="preserve"> </w:t>
      </w:r>
      <w:r>
        <w:t xml:space="preserve">items the exponent had reweighted. Answer codes are now permuted per item.</w:t>
      </w:r>
      <w:r>
        <w:t xml:space="preserve"> </w:t>
      </w:r>
      <w:r>
        <w:t xml:space="preserve">With the artifact removed the two coincide exactly where the dead zone</w:t>
      </w:r>
      <w:r>
        <w:t xml:space="preserve"> </w:t>
      </w:r>
      <w:r>
        <w:t xml:space="preserve">should hold: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0.745</m:t>
        </m:r>
      </m:oMath>
      <w:r>
        <w:t xml:space="preserve"> </w:t>
      </w:r>
      <w:r>
        <w:t xml:space="preserve">for both methods and</w:t>
      </w:r>
      <w:r>
        <w:t xml:space="preserve"> </w:t>
      </w:r>
      <w:r>
        <w:t xml:space="preserve">heterogeneous-</w:t>
      </w:r>
      <m:oMath>
        <m:r>
          <m:t>κ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0.765</m:t>
        </m:r>
      </m:oMath>
      <w:r>
        <w:t xml:space="preserve"> </w:t>
      </w:r>
      <w:r>
        <w:t xml:space="preserve">for both (ten-seed means</w:t>
      </w:r>
      <w:r>
        <w:t xml:space="preserve"> </w:t>
      </w:r>
      <m:oMath>
        <m:r>
          <m:t>0.758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0.768</m:t>
        </m:r>
      </m:oMath>
      <w:r>
        <w:t xml:space="preserve">, zero discordant pairs in every seed): the dead zone behaves as</w:t>
      </w:r>
      <w:r>
        <w:t xml:space="preserve"> </w:t>
      </w:r>
      <w:r>
        <w:t xml:space="preserve">Proposition </w:t>
      </w:r>
      <w:hyperlink w:anchor="prop: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states. All synthetic numbers in this paper are</w:t>
      </w:r>
      <w:r>
        <w:t xml:space="preserve"> </w:t>
      </w:r>
      <w:r>
        <w:t xml:space="preserve">post-fix.</w:t>
      </w:r>
    </w:p>
    <w:p>
      <w:pPr>
        <w:pStyle w:val="BodyText"/>
      </w:pPr>
      <w:r>
        <w:rPr>
          <w:i/>
          <w:iCs/>
        </w:rPr>
        <w:t xml:space="preserve">Dispersion.</w:t>
      </w:r>
      <w:r>
        <w:t xml:space="preserve"> </w:t>
      </w:r>
      <w:r>
        <w:t xml:space="preserve">Ten seeds per cell,</w:t>
      </w:r>
      <w:r>
        <w:t xml:space="preserve"> </w:t>
      </w:r>
      <m:oMath>
        <m:r>
          <m:t>400</m:t>
        </m:r>
      </m:oMath>
      <w:r>
        <w:t xml:space="preserve"> </w:t>
      </w:r>
      <w:r>
        <w:t xml:space="preserve">paired items each, bootstrap over</w:t>
      </w:r>
      <w:r>
        <w:t xml:space="preserve"> </w:t>
      </w:r>
      <w:r>
        <w:t xml:space="preserve">seeds. The extremes are stable to the third decimal (</w:t>
      </w:r>
      <m:oMath>
        <m:r>
          <m:t>1.000</m:t>
        </m:r>
        <m:r>
          <m:rPr>
            <m:sty m:val="p"/>
          </m:rPr>
          <m:t>±</m:t>
        </m:r>
        <m:r>
          <m:t>0.001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|</m:t>
        </m:r>
        <m:r>
          <m:t>κ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0.4</m:t>
        </m:r>
      </m:oMath>
      <w:r>
        <w:t xml:space="preserve">). The mid-range deficit against SignGrid-dev is small but</w:t>
      </w:r>
      <w:r>
        <w:t xml:space="preserve"> </w:t>
      </w:r>
      <w:r>
        <w:t xml:space="preserve">real rather than noise: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0.017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0.016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0.024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0.009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0.005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0.013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0.019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0.008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+</m:t>
        </m:r>
        <m:r>
          <m:t>0.2</m:t>
        </m:r>
      </m:oMath>
      <w:r>
        <w:t xml:space="preserve">, all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0.001</m:t>
        </m:r>
      </m:oMath>
      <w:r>
        <w:t xml:space="preserve">. So is the advantage where the</w:t>
      </w:r>
      <w:r>
        <w:t xml:space="preserve"> </w:t>
      </w:r>
      <w:r>
        <w:t xml:space="preserve">paper claims it:</w:t>
      </w:r>
      <w:r>
        <w:t xml:space="preserve"> </w:t>
      </w:r>
      <m:oMath>
        <m:r>
          <m:rPr>
            <m:sty m:val="p"/>
          </m:rPr>
          <m:t>+</m:t>
        </m:r>
        <m:r>
          <m:t>0.032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0.027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]</m:t>
        </m:r>
      </m:oMath>
      <w:r>
        <w:t xml:space="preserve"> </w:t>
      </w:r>
      <w:r>
        <w:t xml:space="preserve">on monotone compression and</w:t>
      </w:r>
      <w:r>
        <w:t xml:space="preserve"> </w:t>
      </w:r>
      <m:oMath>
        <m:r>
          <m:rPr>
            <m:sty m:val="p"/>
          </m:rPr>
          <m:t>+</m:t>
        </m:r>
        <m:r>
          <m:t>0.048</m:t>
        </m:r>
      </m:oMath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+</m:t>
        </m:r>
        <m:r>
          <m:t>0.037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0.059</m:t>
        </m:r>
        <m:r>
          <m:rPr>
            <m:sty m:val="p"/>
          </m:rPr>
          <m:t>]</m:t>
        </m:r>
      </m:oMath>
      <w:r>
        <w:t xml:space="preserve"> </w:t>
      </w:r>
      <w:r>
        <w:t xml:space="preserve">on confident echo. The one cell that changes sign</w:t>
      </w:r>
      <w:r>
        <w:t xml:space="preserve"> </w:t>
      </w:r>
      <w:r>
        <w:t xml:space="preserve">under the fix is heterogeneous-</w:t>
      </w:r>
      <m:oMath>
        <m:r>
          <m:t>κ</m:t>
        </m:r>
      </m:oMath>
      <w:r>
        <w:t xml:space="preserve">, now</w:t>
      </w:r>
      <w:r>
        <w:t xml:space="preserve"> </w:t>
      </w:r>
      <m:oMath>
        <m:r>
          <m:rPr>
            <m:sty m:val="p"/>
          </m:rPr>
          <m:t>+</m:t>
        </m:r>
        <m:r>
          <m:t>0.011</m:t>
        </m:r>
      </m:oMath>
      <w:r>
        <w:t xml:space="preserve"> </w:t>
      </w:r>
      <m:oMath>
        <m:r>
          <m:rPr>
            <m:sty m:val="p"/>
          </m:rPr>
          <m:t>[</m:t>
        </m:r>
        <m:r>
          <m:t>0.000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t>0.031</m:t>
        </m:r>
        <m:r>
          <m:rPr>
            <m:sty m:val="p"/>
          </m:rPr>
          <m:t>]</m:t>
        </m:r>
      </m:oMath>
      <w:r>
        <w:t xml:space="preserve"> </w:t>
      </w:r>
      <w:r>
        <w:t xml:space="preserve">rather</w:t>
      </w:r>
      <w:r>
        <w:t xml:space="preserve"> </w:t>
      </w:r>
      <w:r>
        <w:t xml:space="preserve">than a loss. Reporting a single seed would have hidden both the artifact and</w:t>
      </w:r>
      <w:r>
        <w:t xml:space="preserve"> </w:t>
      </w:r>
      <w:r>
        <w:t xml:space="preserve">the fact that the mid-range gap is systematic.</w:t>
      </w:r>
    </w:p>
    <w:bookmarkEnd w:id="72"/>
    <w:bookmarkStart w:id="73" w:name="sec:real"/>
    <w:p>
      <w:pPr>
        <w:pStyle w:val="Heading2"/>
      </w:pPr>
      <w:r>
        <w:t xml:space="preserve">Real-trace validation</w:t>
      </w:r>
    </w:p>
    <w:p>
      <w:pPr>
        <w:pStyle w:val="FirstParagraph"/>
      </w:pPr>
      <w:r>
        <w:t xml:space="preserve">Validation on real traces used Claude Haiku 4.5 as the frozen model: 100 items, 50 from</w:t>
      </w:r>
      <w:r>
        <w:t xml:space="preserve"> </w:t>
      </w:r>
      <w:r>
        <w:t xml:space="preserve">GSM8K [</w:t>
      </w:r>
      <w:hyperlink w:anchor="bib:gsm8k2021">
        <w:r>
          <w:rPr>
            <w:rStyle w:val="Hyperlink"/>
          </w:rPr>
          <w:t xml:space="preserve">23</w:t>
        </w:r>
      </w:hyperlink>
      <w:r>
        <w:t xml:space="preserve">] and 50 from CommonsenseQA, with</w:t>
      </w:r>
      <w:r>
        <w:t xml:space="preserve"> </w:t>
      </w:r>
      <w:r>
        <w:rPr>
          <w:i/>
          <w:iCs/>
        </w:rPr>
        <w:t xml:space="preserve">12</w:t>
      </w:r>
      <w:r>
        <w:t xml:space="preserve"> </w:t>
      </w:r>
      <w:r>
        <w:t xml:space="preserve">independent</w:t>
      </w:r>
      <w:r>
        <w:t xml:space="preserve"> </w:t>
      </w:r>
      <w:r>
        <w:t xml:space="preserve">chain-of-thought traces and a verbalized confidence per item (1</w:t>
      </w:r>
      <w:r>
        <w:t xml:space="preserve">,</w:t>
      </w:r>
      <w:r>
        <w:t xml:space="preserve">200 traces</w:t>
      </w:r>
      <w:r>
        <w:t xml:space="preserve"> </w:t>
      </w:r>
      <w:r>
        <w:t xml:space="preserve">total), evaluated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with a 40/60 dev/test split. Four findings.</w:t>
      </w:r>
    </w:p>
    <w:p>
      <w:pPr>
        <w:pStyle w:val="BodyText"/>
      </w:pPr>
      <w:r>
        <w:rPr>
          <w:i/>
          <w:iCs/>
        </w:rPr>
        <w:t xml:space="preserve">(a) The calibration–discrimination distinction reverses on real data,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  <w:smallCaps/>
        </w:rPr>
        <w:t xml:space="preserve">tact</w:t>
      </w:r>
      <w:r>
        <w:rPr>
          <w:i/>
          <w:iCs/>
        </w:rPr>
        <w:t xml:space="preserve"> </w:t>
      </w:r>
      <w:r>
        <w:rPr>
          <w:i/>
          <w:iCs/>
        </w:rPr>
        <w:t xml:space="preserve">reads it correctly.</w:t>
      </w:r>
      <w:r>
        <w:t xml:space="preserve"> </w:t>
      </w:r>
      <w:r>
        <w:t xml:space="preserve">The channel is</w:t>
      </w:r>
      <w:r>
        <w:t xml:space="preserve"> </w:t>
      </w:r>
      <w:r>
        <w:rPr>
          <w:i/>
          <w:iCs/>
        </w:rPr>
        <w:t xml:space="preserve">extremely well calibrated</w:t>
      </w:r>
      <w:r>
        <w:t xml:space="preserve"> </w:t>
      </w:r>
      <w:r>
        <w:t xml:space="preserve">in the usual sense: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0.016</m:t>
        </m:r>
      </m:oMath>
      <w:r>
        <w:t xml:space="preserve">, far inside the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gate, so a</w:t>
      </w:r>
      <w:r>
        <w:t xml:space="preserve"> </w:t>
      </w:r>
      <w:r>
        <w:t xml:space="preserve">binary ECE gate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and hands the channel to CISC. Yet the measured</w:t>
      </w:r>
      <w:r>
        <w:t xml:space="preserve"> </w:t>
      </w:r>
      <w:r>
        <w:t xml:space="preserve">within-item discrimination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0.176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): no usable signal, and what little there is points the</w:t>
      </w:r>
      <w:r>
        <w:t xml:space="preserve"> </w:t>
      </w:r>
      <w:r>
        <w:rPr>
          <w:i/>
          <w:iCs/>
        </w:rPr>
        <w:t xml:space="preserve">wrong way</w:t>
      </w:r>
      <w:r>
        <w:t xml:space="preserve"> </w:t>
      </w:r>
      <w:r>
        <w:t xml:space="preserve">(math</w:t>
      </w:r>
      <w:r>
        <w:t xml:space="preserve"> </w:t>
      </w:r>
      <m:oMath>
        <m:r>
          <m:rPr>
            <m:sty m:val="p"/>
          </m:rPr>
          <m:t>−</m:t>
        </m:r>
        <m:r>
          <m:t>0.515</m:t>
        </m:r>
      </m:oMath>
      <w:r>
        <w:t xml:space="preserve">, commonsense</w:t>
      </w:r>
      <w:r>
        <w:t xml:space="preserve"> </w:t>
      </w:r>
      <m:oMath>
        <m:r>
          <m:rPr>
            <m:sty m:val="p"/>
          </m:rPr>
          <m:t>−</m:t>
        </m:r>
        <m:r>
          <m:t>0.173</m:t>
        </m:r>
      </m:oMath>
      <w:r>
        <w:t xml:space="preserve">; both groups negative).</w:t>
      </w:r>
      <w:r>
        <w:t xml:space="preserve"> </w:t>
      </w:r>
      <w:r>
        <w:t xml:space="preserve">This is the exact mirror image of the synthetic case in which ECE wrongly</w:t>
      </w:r>
      <w:r>
        <w:t xml:space="preserve"> </w:t>
      </w:r>
      <w:r>
        <w:rPr>
          <w:i/>
          <w:iCs/>
        </w:rPr>
        <w:t xml:space="preserve">closed</w:t>
      </w:r>
      <w:r>
        <w:t xml:space="preserve"> </w:t>
      </w:r>
      <w:r>
        <w:t xml:space="preserve">the gate on a discriminative channel (Section </w:t>
      </w:r>
      <w:hyperlink w:anchor="sec:setup">
        <w:r>
          <w:rPr>
            <w:rStyle w:val="Hyperlink"/>
          </w:rPr>
          <w:t xml:space="preserve">3</w:t>
        </w:r>
      </w:hyperlink>
      <w:r>
        <w:t xml:space="preserve">):</w:t>
      </w:r>
      <w:r>
        <w:t xml:space="preserve"> </w:t>
      </w:r>
      <w:r>
        <w:t xml:space="preserve">on real traces ECE wrongly</w:t>
      </w:r>
      <w:r>
        <w:t xml:space="preserve"> </w:t>
      </w:r>
      <w:r>
        <w:rPr>
          <w:i/>
          <w:iCs/>
        </w:rPr>
        <w:t xml:space="preserve">opens</w:t>
      </w:r>
      <w:r>
        <w:t xml:space="preserve"> </w:t>
      </w:r>
      <w:r>
        <w:t xml:space="preserve">it on a non-discriminative one.</w:t>
      </w:r>
      <w:r>
        <w:t xml:space="preserve"> </w:t>
      </w:r>
      <w:r>
        <w:t xml:space="preserve">Calibration is uninformative about voting utility in both directions, and a</w:t>
      </w:r>
      <w:r>
        <w:t xml:space="preserve"> </w:t>
      </w:r>
      <w:r>
        <w:t xml:space="preserve">signed discrimination statistic is what distinguishes them.</w:t>
      </w:r>
    </w:p>
    <w:p>
      <w:pPr>
        <w:pStyle w:val="BodyText"/>
      </w:pPr>
      <w:r>
        <w:rPr>
          <w:i/>
          <w:iCs/>
        </w:rPr>
        <w:t xml:space="preserve">(b) The dead zone fires, and costs exactly nothing.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&lt;</m:t>
        </m:r>
        <m:r>
          <m:t>ν</m:t>
        </m:r>
      </m:oMath>
      <w:r>
        <w:t xml:space="preserve">,</w:t>
      </w:r>
      <w:r>
        <w:t xml:space="preserve"> </w:t>
      </w:r>
      <w:r>
        <w:rPr>
          <w:smallCaps/>
        </w:rPr>
        <w:t xml:space="preserve">tact</w:t>
      </w:r>
      <w:r>
        <w:t xml:space="preserve">-dev,</w:t>
      </w:r>
      <w:r>
        <w:t xml:space="preserve"> </w:t>
      </w:r>
      <w:r>
        <w:rPr>
          <w:smallCaps/>
        </w:rPr>
        <w:t xml:space="preserve">tact</w:t>
      </w:r>
      <w:r>
        <w:t xml:space="preserve">-LF and</w:t>
      </w:r>
      <w:r>
        <w:t xml:space="preserve"> </w:t>
      </w:r>
      <w:r>
        <w:rPr>
          <w:smallCaps/>
        </w:rPr>
        <w:t xml:space="preserve">tact</w:t>
      </w:r>
      <w:r>
        <w:t xml:space="preserve">-group all return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are bit-identical</w:t>
      </w:r>
      <w:r>
        <w:t xml:space="preserve"> </w:t>
      </w:r>
      <w:r>
        <w:t xml:space="preserve">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on every test item (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discordant pairs,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). All methods score</w:t>
      </w:r>
      <w:r>
        <w:t xml:space="preserve"> </w:t>
      </w:r>
      <m:oMath>
        <m:r>
          <m:t>0.917</m:t>
        </m:r>
      </m:oMath>
      <w:r>
        <w:t xml:space="preserve">. This is the pre-registered null-direction prediction of</w:t>
      </w:r>
      <w:r>
        <w:t xml:space="preserve"> </w:t>
      </w:r>
      <w:r>
        <w:t xml:space="preserve">Section </w:t>
      </w:r>
      <w:hyperlink w:anchor="sec:limits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confirmed on real data: where the channel carries no</w:t>
      </w:r>
      <w:r>
        <w:t xml:space="preserve"> </w:t>
      </w:r>
      <w:r>
        <w:t xml:space="preserve">signal, the method is free.</w:t>
      </w:r>
    </w:p>
    <w:p>
      <w:pPr>
        <w:pStyle w:val="BodyText"/>
      </w:pPr>
      <w:r>
        <w:rPr>
          <w:i/>
          <w:iCs/>
        </w:rPr>
        <w:t xml:space="preserve">(c) Saturation is the binding constraint, not the estimator.</w:t>
      </w:r>
      <w:r>
        <w:t xml:space="preserve"> </w:t>
      </w:r>
      <w:r>
        <w:t xml:space="preserve">Trace-level</w:t>
      </w:r>
      <w:r>
        <w:t xml:space="preserve"> </w:t>
      </w:r>
      <w:r>
        <w:t xml:space="preserve">accuracy is</w:t>
      </w:r>
      <w:r>
        <w:t xml:space="preserve"> </w:t>
      </w:r>
      <m:oMath>
        <m:r>
          <m:t>0.958</m:t>
        </m:r>
      </m:oMath>
      <w:r>
        <w:t xml:space="preserve"> </w:t>
      </w:r>
      <w:r>
        <w:t xml:space="preserve">on GSM8K and</w:t>
      </w:r>
      <w:r>
        <w:t xml:space="preserve"> </w:t>
      </w:r>
      <m:oMath>
        <m:r>
          <m:t>0.847</m:t>
        </m:r>
      </m:oMath>
      <w:r>
        <w:t xml:space="preserve"> </w:t>
      </w:r>
      <w:r>
        <w:t xml:space="preserve">on CommonsenseQA, so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items contain both a correct and an incorrect trace, the only items a</w:t>
      </w:r>
      <w:r>
        <w:t xml:space="preserve"> </w:t>
      </w:r>
      <w:r>
        <w:t xml:space="preserve">within-item rank statistic can use. The estimator is not underpowered by</w:t>
      </w:r>
      <w:r>
        <w:t xml:space="preserve"> </w:t>
      </w:r>
      <w:r>
        <w:t xml:space="preserve">design; the benchmark simply does not present the model with enough genuine</w:t>
      </w:r>
      <w:r>
        <w:t xml:space="preserve"> </w:t>
      </w:r>
      <w:r>
        <w:t xml:space="preserve">uncertainty. Exposing non-null coupling on a strong model requires harder item</w:t>
      </w:r>
      <w:r>
        <w:t xml:space="preserve"> </w:t>
      </w:r>
      <w:r>
        <w:t xml:space="preserve">pools, not more traces per item.</w:t>
      </w:r>
    </w:p>
    <w:p>
      <w:pPr>
        <w:pStyle w:val="BodyText"/>
      </w:pPr>
      <w:r>
        <w:rPr>
          <w:i/>
          <w:iCs/>
        </w:rPr>
        <w:t xml:space="preserve">(d) Verbalized confidence is tie-heavy.</w:t>
      </w:r>
      <w:r>
        <w:t xml:space="preserve"> </w:t>
      </w:r>
      <w:r>
        <w:t xml:space="preserve">Two values (</w:t>
      </w:r>
      <m:oMath>
        <m:r>
          <m:t>0.99</m:t>
        </m:r>
      </m:oMath>
      <w:r>
        <w:t xml:space="preserve">,</w:t>
      </w:r>
      <w:r>
        <w:t xml:space="preserve"> </w:t>
      </w:r>
      <m:oMath>
        <m:r>
          <m:t>0.95</m:t>
        </m:r>
      </m:oMath>
      <w:r>
        <w:t xml:space="preserve">)</w:t>
      </w:r>
      <w:r>
        <w:t xml:space="preserve"> </w:t>
      </w:r>
      <w:r>
        <w:t xml:space="preserve">account for</w:t>
      </w:r>
      <w:r>
        <w:t xml:space="preserve"> </w:t>
      </w:r>
      <m:oMath>
        <m:r>
          <m:t>49</m:t>
        </m:r>
        <m:r>
          <m:rPr>
            <m:sty m:val="p"/>
          </m:rPr>
          <m:t>%</m:t>
        </m:r>
      </m:oMath>
      <w:r>
        <w:t xml:space="preserve"> </w:t>
      </w:r>
      <w:r>
        <w:t xml:space="preserve">of all reports, activating the tie-safe degeneration path of</w:t>
      </w:r>
      <w:r>
        <w:t xml:space="preserve"> </w:t>
      </w:r>
      <w:hyperlink w:anchor="eq:vdw">
        <w:r>
          <w:rPr>
            <w:rStyle w:val="Hyperlink"/>
          </w:rPr>
          <w:t xml:space="preserve">[eq:vdw]</w:t>
        </w:r>
      </w:hyperlink>
      <w:r>
        <w:t xml:space="preserve"> </w:t>
      </w:r>
      <w:r>
        <w:t xml:space="preserve">on many items.</w:t>
      </w:r>
    </w:p>
    <w:p>
      <w:pPr>
        <w:pStyle w:val="BodyText"/>
      </w:pPr>
      <w:r>
        <w:rPr>
          <w:i/>
          <w:iCs/>
        </w:rPr>
        <w:t xml:space="preserve">(e) The abstention is a measurement, and a fragile one here.</w:t>
      </w:r>
      <w:r>
        <w:t xml:space="preserve"> </w:t>
      </w:r>
      <w:r>
        <w:t xml:space="preserve">A rule that</w:t>
      </w:r>
      <w:r>
        <w:t xml:space="preserve"> </w:t>
      </w:r>
      <w:r>
        <w:t xml:space="preserve">never acts reproduces (b) exactly, so the campaign on its own separates a</w:t>
      </w:r>
      <w:r>
        <w:t xml:space="preserve"> </w:t>
      </w:r>
      <w:r>
        <w:t xml:space="preserve">working safety mechanism from an absent signal not at all. Three replays of the</w:t>
      </w:r>
      <w:r>
        <w:t xml:space="preserve"> </w:t>
      </w:r>
      <w:r>
        <w:t xml:space="preserve">same cached pools separate a little more.</w:t>
      </w:r>
      <w:r>
        <w:t xml:space="preserve"> </w:t>
      </w:r>
      <w:r>
        <w:rPr>
          <w:i/>
          <w:iCs/>
        </w:rPr>
        <w:t xml:space="preserve">Stability:</w:t>
      </w:r>
      <w:r>
        <w:t xml:space="preserve"> </w:t>
      </w:r>
      <w:r>
        <w:t xml:space="preserve">bootstrapping the</w:t>
      </w:r>
      <w:r>
        <w:t xml:space="preserve"> </w:t>
      </w:r>
      <w:r>
        <w:t xml:space="preserve">items, the dev gate opens in</w:t>
      </w:r>
      <w:r>
        <w:t xml:space="preserve"> </w:t>
      </w:r>
      <m:oMath>
        <m:r>
          <m:t>50.4</m:t>
        </m:r>
        <m:r>
          <m:rPr>
            <m:sty m:val="p"/>
          </m:rPr>
          <m:t>%</m:t>
        </m:r>
      </m:oMath>
      <w:r>
        <w:t xml:space="preserve"> </w:t>
      </w:r>
      <w:r>
        <w:t xml:space="preserve">of resamples—with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1.24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1.28</m:t>
        </m:r>
      </m:oMath>
      <w:r>
        <w:t xml:space="preserve"> </w:t>
      </w:r>
      <w:r>
        <w:t xml:space="preserve">the reported abstention is a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 </w:t>
      </w:r>
      <w:r>
        <w:t xml:space="preserve">margin, not a reading of the</w:t>
      </w:r>
      <w:r>
        <w:t xml:space="preserve"> </w:t>
      </w:r>
      <w:r>
        <w:t xml:space="preserve">evidence—while the label-free gate opens in</w:t>
      </w:r>
      <w:r>
        <w:t xml:space="preserve"> </w:t>
      </w:r>
      <m:oMath>
        <m:r>
          <m:t>16.2</m:t>
        </m:r>
        <m:r>
          <m:rPr>
            <m:sty m:val="p"/>
          </m:rPr>
          <m:t>%</m:t>
        </m:r>
      </m:oMath>
      <w:r>
        <w:t xml:space="preserve"> </w:t>
      </w:r>
      <w:r>
        <w:t xml:space="preserve">and is the stabler of the</w:t>
      </w:r>
      <w:r>
        <w:t xml:space="preserve"> </w:t>
      </w:r>
      <w:r>
        <w:t xml:space="preserve">two.</w:t>
      </w:r>
      <w:r>
        <w:t xml:space="preserve"> </w:t>
      </w:r>
      <w:r>
        <w:rPr>
          <w:i/>
          <w:iCs/>
        </w:rPr>
        <w:t xml:space="preserve">Specificity:</w:t>
      </w:r>
      <w:r>
        <w:t xml:space="preserve"> </w:t>
      </w:r>
      <w:r>
        <w:t xml:space="preserve">permuting confidences within items, which preserves the</w:t>
      </w:r>
      <w:r>
        <w:t xml:space="preserve"> </w:t>
      </w:r>
      <w:r>
        <w:t xml:space="preserve">real marginals, ties, pool composition and difficulty and destroys only the</w:t>
      </w:r>
      <w:r>
        <w:t xml:space="preserve"> </w:t>
      </w:r>
      <w:r>
        <w:t xml:space="preserve">coupling, puts the false-open rate at</w:t>
      </w:r>
      <w:r>
        <w:t xml:space="preserve"> </w:t>
      </w:r>
      <m:oMath>
        <m:r>
          <m:t>18.4</m:t>
        </m:r>
        <m:r>
          <m:rPr>
            <m:sty m:val="p"/>
          </m:rPr>
          <m:t>%</m:t>
        </m:r>
      </m:oMath>
      <w:r>
        <w:t xml:space="preserve"> </w:t>
      </w:r>
      <w:r>
        <w:t xml:space="preserve">against a nominal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(</w:t>
      </w:r>
      <m:oMath>
        <m:r>
          <m:t>1.6</m:t>
        </m:r>
        <m:r>
          <m:rPr>
            <m:sty m:val="p"/>
          </m:rPr>
          <m:t>%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2</m:t>
        </m:r>
        <m:r>
          <m:rPr>
            <m:sty m:val="p"/>
          </m:rPr>
          <m:t>%</m:t>
        </m:r>
      </m:oMath>
      <w:r>
        <w:t xml:space="preserve"> </w:t>
      </w:r>
      <w:r>
        <w:t xml:space="preserve">label-free), with the null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at mean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 </w:t>
      </w:r>
      <w:r>
        <w:t xml:space="preserve">and SD</w:t>
      </w:r>
      <w:r>
        <w:t xml:space="preserve"> </w:t>
      </w:r>
      <m:oMath>
        <m:r>
          <m:t>0.954</m:t>
        </m:r>
      </m:oMath>
      <w:r>
        <w:t xml:space="preserve">. The dead zone’s null behaviour is therefore calibrated on the real</w:t>
      </w:r>
      <w:r>
        <w:t xml:space="preserve"> </w:t>
      </w:r>
      <w:r>
        <w:t xml:space="preserve">substrate and not only on the generator it was derived from, which is the one</w:t>
      </w:r>
      <w:r>
        <w:t xml:space="preserve"> </w:t>
      </w:r>
      <w:r>
        <w:t xml:space="preserve">piece of evidence here that the mechanism is doing work.</w:t>
      </w:r>
      <w:r>
        <w:t xml:space="preserve"> </w:t>
      </w:r>
      <w:r>
        <w:rPr>
          <w:i/>
          <w:iCs/>
        </w:rPr>
        <w:t xml:space="preserve">Cost:</w:t>
      </w:r>
      <w:r>
        <w:t xml:space="preserve"> </w:t>
      </w:r>
      <w:r>
        <w:t xml:space="preserve">overriding the gate,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</m:t>
        </m:r>
      </m:oMath>
      <w:r>
        <w:t xml:space="preserve"> </w:t>
      </w:r>
      <w:r>
        <w:t xml:space="preserve">would have scored</w:t>
      </w:r>
      <w:r>
        <w:t xml:space="preserve"> </w:t>
      </w:r>
      <m:oMath>
        <m:r>
          <m:t>0.933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) and a gold-label oracle reaches</w:t>
      </w:r>
      <w:r>
        <w:t xml:space="preserve"> </w:t>
      </w:r>
      <m:oMath>
        <m:r>
          <m:t>0.950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1.25</m:t>
        </m:r>
      </m:oMath>
      <w:r>
        <w:t xml:space="preserve">, a ceiling</w:t>
      </w:r>
      <w:r>
        <w:t xml:space="preserve"> </w:t>
      </w:r>
      <w:r>
        <w:t xml:space="preserve">of two items. Neither approaches significance, so the substrate is null in the</w:t>
      </w:r>
      <w:r>
        <w:t xml:space="preserve"> </w:t>
      </w:r>
      <w:r>
        <w:t xml:space="preserve">way that matters; but the sign the estimator derived is the sign the oracle</w:t>
      </w:r>
      <w:r>
        <w:t xml:space="preserve"> </w:t>
      </w:r>
      <w:r>
        <w:t xml:space="preserve">wanted, and (b) should be read as</w:t>
      </w:r>
      <w:r>
        <w:t xml:space="preserve"> </w:t>
      </w:r>
      <w:r>
        <w:rPr>
          <w:i/>
          <w:iCs/>
        </w:rPr>
        <w:t xml:space="preserve">costs nothing measurable at this</w:t>
      </w:r>
      <w:r>
        <w:rPr>
          <w:i/>
          <w:iCs/>
        </w:rPr>
        <w:t xml:space="preserve"> </w:t>
      </w:r>
      <m:oMath>
        <m:r>
          <m:t>n</m:t>
        </m:r>
      </m:oMath>
      <w:r>
        <w:t xml:space="preserve"> </w:t>
      </w:r>
      <w:r>
        <w:t xml:space="preserve">rather than as a demonstration that abstaining was right.</w:t>
      </w:r>
    </w:p>
    <w:p>
      <w:pPr>
        <w:pStyle w:val="BodyText"/>
      </w:pPr>
      <w:r>
        <w:t xml:space="preserve">Scope of this first campaign: one model, two benchmarks,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. It confirms</w:t>
      </w:r>
      <w:r>
        <w:t xml:space="preserve"> </w:t>
      </w:r>
      <w:r>
        <w:t xml:space="preserve">the null-direction prediction and the calibration–discrimination argument, and</w:t>
      </w:r>
      <w:r>
        <w:t xml:space="preserve"> </w:t>
      </w:r>
      <w:r>
        <w:t xml:space="preserve">it is not evidence that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improves accuracy, since the channel carried no</w:t>
      </w:r>
      <w:r>
        <w:t xml:space="preserve"> </w:t>
      </w:r>
      <w:r>
        <w:t xml:space="preserve">signal to exploit. Finding (c) predicts what to do about that, and</w:t>
      </w:r>
      <w:r>
        <w:t xml:space="preserve"> </w:t>
      </w:r>
      <w:r>
        <w:t xml:space="preserve">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does it.</w:t>
      </w:r>
    </w:p>
    <w:bookmarkEnd w:id="73"/>
    <w:bookmarkStart w:id="75" w:name="sec:hard"/>
    <w:p>
      <w:pPr>
        <w:pStyle w:val="Heading2"/>
      </w:pPr>
      <w:r>
        <w:t xml:space="preserve">Confirmatory campaign on harder items</w:t>
      </w:r>
    </w:p>
    <w:p>
      <w:pPr>
        <w:pStyle w:val="FirstParagraph"/>
      </w:pPr>
      <w:r>
        <w:t xml:space="preserve">Finding (c) predicts that a channel measured as null on saturated benchmarks</w:t>
      </w:r>
      <w:r>
        <w:t xml:space="preserve"> </w:t>
      </w:r>
      <w:r>
        <w:t xml:space="preserve">should become measurable on items the model finds genuinely uncertain. A</w:t>
      </w:r>
      <w:r>
        <w:t xml:space="preserve"> </w:t>
      </w:r>
      <w:r>
        <w:t xml:space="preserve">pre-registered follow-up tests that prediction: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MATH level-5 problems</w:t>
      </w:r>
      <w:r>
        <w:t xml:space="preserve"> </w:t>
      </w:r>
      <w:r>
        <w:t xml:space="preserve">[</w:t>
      </w:r>
      <w:hyperlink w:anchor="bib:math500">
        <w:r>
          <w:rPr>
            <w:rStyle w:val="Hyperlink"/>
          </w:rPr>
          <w:t xml:space="preserve">24</w:t>
        </w:r>
      </w:hyperlink>
      <w:r>
        <w:t xml:space="preserve">,</w:t>
      </w:r>
      <w:hyperlink w:anchor="bib:lightman2024verify">
        <w:r>
          <w:rPr>
            <w:rStyle w:val="Hyperlink"/>
          </w:rPr>
          <w:t xml:space="preserve">25</w:t>
        </w:r>
      </w:hyperlink>
      <w:r>
        <w:t xml:space="preserve">],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traces each from the same frozen</w:t>
      </w:r>
      <w:r>
        <w:t xml:space="preserve"> </w:t>
      </w:r>
      <w:r>
        <w:t xml:space="preserve">model, a</w:t>
      </w:r>
      <w:r>
        <w:t xml:space="preserve"> </w:t>
      </w:r>
      <m:oMath>
        <m:r>
          <m:t>30</m:t>
        </m:r>
      </m:oMath>
      <w:r>
        <w:t xml:space="preserve">-item sign set and an</w:t>
      </w:r>
      <w:r>
        <w:t xml:space="preserve"> </w:t>
      </w:r>
      <m:oMath>
        <m:r>
          <m:t>89</m:t>
        </m:r>
      </m:oMath>
      <w:r>
        <w:t xml:space="preserve">-item evaluation set drawn from the</w:t>
      </w:r>
      <w:r>
        <w:t xml:space="preserve"> </w:t>
      </w:r>
      <w:r>
        <w:t xml:space="preserve">registered list before any trace was collected, and five hypotheses (H1–H5)</w:t>
      </w:r>
      <w:r>
        <w:t xml:space="preserve"> </w:t>
      </w:r>
      <w:r>
        <w:t xml:space="preserve">fixed in advance.</w:t>
      </w:r>
    </w:p>
    <w:p>
      <w:pPr>
        <w:pStyle w:val="BodyText"/>
      </w:pPr>
      <w:r>
        <w:rPr>
          <w:i/>
          <w:iCs/>
        </w:rPr>
        <w:t xml:space="preserve">The channel is real.</w:t>
      </w:r>
      <w:r>
        <w:t xml:space="preserve"> </w:t>
      </w:r>
      <w:r>
        <w:t xml:space="preserve">On the evaluation set the pooled statistic is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+</m:t>
        </m:r>
        <m:r>
          <m:t>0.250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=</m:t>
        </m:r>
        <m:r>
          <m:t>0.098</m:t>
        </m:r>
      </m:oMath>
      <w:r>
        <w:t xml:space="preserve">, so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2.54</m:t>
        </m:r>
      </m:oMath>
      <w:r>
        <w:t xml:space="preserve"> </w:t>
      </w:r>
      <w:r>
        <w:t xml:space="preserve">and H1 passes. This is</w:t>
      </w:r>
      <w:r>
        <w:t xml:space="preserve"> </w:t>
      </w:r>
      <w:r>
        <w:t xml:space="preserve">the first real-trace evidence that verbalized confidence carries positive</w:t>
      </w:r>
      <w:r>
        <w:t xml:space="preserve"> </w:t>
      </w:r>
      <w:r>
        <w:t xml:space="preserve">within-item discrimination; the same measurement on GSM8K/CommonsenseQA gave</w:t>
      </w:r>
      <w:r>
        <w:t xml:space="preserve"> </w:t>
      </w:r>
      <m:oMath>
        <m:r>
          <m:rPr>
            <m:sty m:val="p"/>
          </m:rPr>
          <m:t>−</m:t>
        </m:r>
        <m:r>
          <m:t>0.219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1.24</m:t>
        </m:r>
      </m:oMath>
      <w:r>
        <w:t xml:space="preserve">).</w:t>
      </w:r>
    </w:p>
    <w:p>
      <w:pPr>
        <w:pStyle w:val="BodyText"/>
      </w:pPr>
      <w:r>
        <w:rPr>
          <w:i/>
          <w:iCs/>
        </w:rPr>
        <w:t xml:space="preserve">The endpoint was unpassable for any method.</w:t>
      </w:r>
      <w:r>
        <w:t xml:space="preserve"> </w:t>
      </w:r>
      <w:r>
        <w:t xml:space="preserve">The realized substrate</w:t>
      </w:r>
      <w:r>
        <w:t xml:space="preserve"> </w:t>
      </w:r>
      <w:r>
        <w:t xml:space="preserve">saturated again: per-trace accuracy</w:t>
      </w:r>
      <w:r>
        <w:t xml:space="preserve"> </w:t>
      </w:r>
      <m:oMath>
        <m:r>
          <m:t>0.819</m:t>
        </m:r>
      </m:oMath>
      <w:r>
        <w:t xml:space="preserve">,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m:oMath>
        <m:r>
          <m:t>0.888</m:t>
        </m:r>
      </m:oMath>
      <w:r>
        <w:t xml:space="preserve">, a decisive</w:t>
      </w:r>
      <w:r>
        <w:t xml:space="preserve"> </w:t>
      </w:r>
      <w:r>
        <w:t xml:space="preserve">stratum of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89</m:t>
        </m:r>
      </m:oMath>
      <w:r>
        <w:t xml:space="preserve"> </w:t>
      </w:r>
      <w:r>
        <w:t xml:space="preserve">items, and the correct answer present in the pool on</w:t>
      </w:r>
      <w:r>
        <w:t xml:space="preserve"> </w:t>
      </w:r>
      <w:r>
        <w:t xml:space="preserve">only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those. The in-pool</w:t>
      </w:r>
      <w:r>
        <w:t xml:space="preserve"> </w:t>
      </w:r>
      <w:r>
        <w:rPr>
          <w:i/>
          <w:iCs/>
        </w:rPr>
        <w:t xml:space="preserve">oracle</w:t>
      </w:r>
      <w:r>
        <w:t xml:space="preserve"> </w:t>
      </w:r>
      <w:r>
        <w:t xml:space="preserve">therefore tops out at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w:r>
        <w:t xml:space="preserve">exact one-sided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0.0625</m:t>
        </m:r>
      </m:oMath>
      <w:r>
        <w:t xml:space="preserve">. H2 fails, but it fails for every conceivable</w:t>
      </w:r>
      <w:r>
        <w:t xml:space="preserve"> </w:t>
      </w:r>
      <w:r>
        <w:t xml:space="preserve">aggregation method including a perfect one, so the failure is a property of</w:t>
      </w:r>
      <w:r>
        <w:t xml:space="preserve"> </w:t>
      </w:r>
      <w:r>
        <w:t xml:space="preserve">the substrate rather than of the estimator.</w:t>
      </w:r>
    </w:p>
    <w:p>
      <w:pPr>
        <w:pStyle w:val="BodyText"/>
      </w:pPr>
      <w:r>
        <w:rPr>
          <w:i/>
          <w:iCs/>
        </w:rPr>
        <w:t xml:space="preserve">Abstention behaved as designed.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w:r>
        <w:t xml:space="preserve">alarms E4 and E2 firing on the label-free path and the sign set holding too</w:t>
      </w:r>
      <w:r>
        <w:t xml:space="preserve"> </w:t>
      </w:r>
      <w:r>
        <w:t xml:space="preserve">few informative items to supply a semi-label-free sign. The vote is therefore</w:t>
      </w:r>
      <w:r>
        <w:t xml:space="preserve"> </w:t>
      </w:r>
      <w:r>
        <w:t xml:space="preserve">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at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(H3, H4 pass). The cost of acting anyway is</w:t>
      </w:r>
      <w:r>
        <w:t xml:space="preserve"> </w:t>
      </w:r>
      <w:r>
        <w:t xml:space="preserve">visible in the same table: best-single-confidence, the trivial baseline that</w:t>
      </w:r>
      <w:r>
        <w:t xml:space="preserve"> </w:t>
      </w:r>
      <w:r>
        <w:t xml:space="preserve">always trusts the channel,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at</w:t>
      </w:r>
      <w:r>
        <w:t xml:space="preserve"> </w:t>
      </w:r>
      <m:oMath>
        <m:r>
          <m:t>0.843</m:t>
        </m:r>
      </m:oMath>
      <w:r>
        <w:t xml:space="preserve">.</w:t>
      </w:r>
    </w:p>
    <w:bookmarkStart w:id="74" w:name="tab:hard"/>
    <w:p>
      <w:pPr>
        <w:pStyle w:val="TableCaption"/>
      </w:pPr>
      <w:r>
        <w:t xml:space="preserve">Confirmatory campaign, MATH level-5 evaluation set (</w:t>
      </w:r>
      <m:oMath>
        <m:r>
          <m:t>89</m:t>
        </m:r>
      </m:oMath>
      <w:r>
        <w:t xml:space="preserve"> </w:t>
      </w:r>
      <w:r>
        <w:t xml:space="preserve">items,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16</m:t>
        </m:r>
      </m:oMath>
      <w:r>
        <w:t xml:space="preserve">). Every method replays the same cached pools. The duplication</w:t>
      </w:r>
      <w:r>
        <w:t xml:space="preserve"> </w:t>
      </w:r>
      <w:r>
        <w:t xml:space="preserve">channel is inert because no reasoning text was collected, so dedup-</w:t>
      </w:r>
      <w:r>
        <w:rPr>
          <w:smallCaps/>
        </w:rPr>
        <w:t xml:space="preserve">sc</w:t>
      </w:r>
      <w:r>
        <w:t xml:space="preserve"> </w:t>
      </w:r>
      <w:r>
        <w:t xml:space="preserve">coincides with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onfirmatory campaign, MATH level-5 evaluation set (89 items, K{=}16). Every method replays the same cached pools. The duplication channel is inert because no reasoning text was collected, so dedup-sc coincides with sc by construction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net vs. </w:t>
            </w:r>
            <w:r>
              <w:rPr>
                <w:smallCaps/>
              </w:rPr>
              <w:t xml:space="preserve">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dedup-</w:t>
            </w:r>
            <w:r>
              <w:rPr>
                <w:smallCaps/>
              </w:rPr>
              <w:t xml:space="preserve">sc</w:t>
            </w:r>
            <w:r>
              <w:t xml:space="preserve"> </w:t>
            </w:r>
            <w:r>
              <w:t xml:space="preserve">/ CISC-linear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tact</w:t>
            </w:r>
            <w:r>
              <w:t xml:space="preserve">-semi-LF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0.888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best-single-confidence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0.843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in-pool oracle (ceiling)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0.933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−</m:t>
              </m:r>
              <m:r>
                <m:t>0</m:t>
              </m:r>
            </m:oMath>
          </w:p>
        </w:tc>
      </w:tr>
    </w:tbl>
    <w:bookmarkEnd w:id="74"/>
    <w:p>
      <w:pPr>
        <w:pStyle w:val="BodyText"/>
      </w:pPr>
      <w:r>
        <w:t xml:space="preserve">One caveat from this campaign transfers beyond</w:t>
      </w:r>
      <w:r>
        <w:t xml:space="preserve"> </w:t>
      </w:r>
      <w:r>
        <w:rPr>
          <w:smallCaps/>
        </w:rPr>
        <w:t xml:space="preserve">tact</w:t>
      </w:r>
      <w:r>
        <w:t xml:space="preserve">. Measured difficulty</w:t>
      </w:r>
      <w:r>
        <w:t xml:space="preserve"> </w:t>
      </w:r>
      <w:r>
        <w:t xml:space="preserve">depended on the collection protocol: a</w:t>
      </w:r>
      <w:r>
        <w:t xml:space="preserve"> </w:t>
      </w:r>
      <m:oMath>
        <m:r>
          <m:t>30</m:t>
        </m:r>
      </m:oMath>
      <w:r>
        <w:t xml:space="preserve">-problem-per-call probe put</w:t>
      </w:r>
      <w:r>
        <w:t xml:space="preserve"> </w:t>
      </w:r>
      <w:r>
        <w:t xml:space="preserve">level-5 plurality accuracy at</w:t>
      </w:r>
      <w:r>
        <w:t xml:space="preserve"> </w:t>
      </w:r>
      <m:oMath>
        <m:r>
          <m:t>0.40</m:t>
        </m:r>
      </m:oMath>
      <w:r>
        <w:t xml:space="preserve">, while the</w:t>
      </w:r>
      <w:r>
        <w:t xml:space="preserve"> </w:t>
      </w:r>
      <m:oMath>
        <m:r>
          <m:t>15</m:t>
        </m:r>
      </m:oMath>
      <w:r>
        <w:t xml:space="preserve">-problem-per-call</w:t>
      </w:r>
      <w:r>
        <w:t xml:space="preserve"> </w:t>
      </w:r>
      <w:r>
        <w:t xml:space="preserve">confirmatory run yielded</w:t>
      </w:r>
      <w:r>
        <w:t xml:space="preserve"> </w:t>
      </w:r>
      <m:oMath>
        <m:r>
          <m:t>0.888</m:t>
        </m:r>
      </m:oMath>
      <w:r>
        <w:t xml:space="preserve"> </w:t>
      </w:r>
      <w:r>
        <w:t xml:space="preserve">on the same stratum. Batch size belongs in</w:t>
      </w:r>
      <w:r>
        <w:t xml:space="preserve"> </w:t>
      </w:r>
      <w:r>
        <w:t xml:space="preserve">the experimental record whenever traces are collected in batches.</w:t>
      </w:r>
    </w:p>
    <w:bookmarkEnd w:id="75"/>
    <w:bookmarkStart w:id="77" w:name="sec:window"/>
    <w:p>
      <w:pPr>
        <w:pStyle w:val="Heading2"/>
      </w:pPr>
      <w:r>
        <w:t xml:space="preserve">How wide is the addressable stratum?</w:t>
      </w:r>
    </w:p>
    <w:p>
      <w:pPr>
        <w:pStyle w:val="FirstParagraph"/>
      </w:pPr>
      <w:r>
        <w:t xml:space="preserve">Both campaigns failed their endpoint for the same reason, which suggests</w:t>
      </w:r>
      <w:r>
        <w:t xml:space="preserve"> </w:t>
      </w:r>
      <w:r>
        <w:t xml:space="preserve">measuring that reason directly. Define the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as the fraction of</w:t>
      </w:r>
      <w:r>
        <w:t xml:space="preserve"> </w:t>
      </w:r>
      <w:r>
        <w:t xml:space="preserve">items where the plurality is wrong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correct answer is present</w:t>
      </w:r>
      <w:r>
        <w:t xml:space="preserve"> </w:t>
      </w:r>
      <w:r>
        <w:t xml:space="preserve">in the pool: the ceiling for any label-free aggregation method, since nothing</w:t>
      </w:r>
      <w:r>
        <w:t xml:space="preserve"> </w:t>
      </w:r>
      <w:r>
        <w:t xml:space="preserve">outside it can be changed.</w:t>
      </w:r>
    </w:p>
    <w:p>
      <w:pPr>
        <w:pStyle w:val="BodyText"/>
      </w:pPr>
      <w:r>
        <w:t xml:space="preserve">The window was measured on five substrates spanning two domains</w:t>
      </w:r>
      <w:r>
        <w:t xml:space="preserve"> </w:t>
      </w:r>
      <w:r>
        <w:t xml:space="preserve">(Table </w:t>
      </w:r>
      <w:hyperlink w:anchor="tab:window">
        <w:r>
          <w:rPr>
            <w:rStyle w:val="Hyperlink"/>
          </w:rPr>
          <w:t xml:space="preserve">6</w:t>
        </w:r>
      </w:hyperlink>
      <w:r>
        <w:t xml:space="preserve">). For code generation, where an executable test suite</w:t>
      </w:r>
      <w:r>
        <w:t xml:space="preserve"> </w:t>
      </w:r>
      <w:r>
        <w:t xml:space="preserve">supplies per-sample ground truth and the window might reasonably be expected</w:t>
      </w:r>
      <w:r>
        <w:t xml:space="preserve"> </w:t>
      </w:r>
      <w:r>
        <w:t xml:space="preserve">to widen,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LeetCode Medium/Hard problems [</w:t>
      </w:r>
      <w:hyperlink w:anchor="bib:leetcodedataset">
        <w:r>
          <w:rPr>
            <w:rStyle w:val="Hyperlink"/>
          </w:rPr>
          <w:t xml:space="preserve">26</w:t>
        </w:r>
      </w:hyperlink>
      <w:r>
        <w:t xml:space="preserve">] were</w:t>
      </w:r>
      <w:r>
        <w:t xml:space="preserve"> </w:t>
      </w:r>
      <w:r>
        <w:t xml:space="preserve">solved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times each and graded against the benchmark’s hidden suites, with</w:t>
      </w:r>
      <w:r>
        <w:t xml:space="preserve"> </w:t>
      </w:r>
      <w:r>
        <w:t xml:space="preserve">the baseline taken as the largest behavioural cluster over probe inputs</w:t>
      </w:r>
      <w:r>
        <w:t xml:space="preserve"> </w:t>
      </w:r>
      <w:r>
        <w:t xml:space="preserve">(never expected outputs). The window is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=</m:t>
        </m:r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(CI</w:t>
      </w:r>
      <m:oMath>
        <m:sSub>
          <m:e>
            <m:r>
              <m:t>​</m:t>
            </m:r>
          </m:e>
          <m:sub>
            <m:r>
              <m:t>95</m:t>
            </m:r>
          </m:sub>
        </m:sSub>
      </m:oMath>
      <w:r>
        <w:t xml:space="preserve"> </w:t>
      </w:r>
      <m:oMath>
        <m:r>
          <m:t>2.6</m:t>
        </m:r>
      </m:oMath>
      <w:r>
        <w:t xml:space="preserve">–</w:t>
      </w:r>
      <m:oMath>
        <m:r>
          <m:t>19.9</m:t>
        </m:r>
        <m:r>
          <m:rPr>
            <m:sty m:val="p"/>
          </m:rPr>
          <m:t>%</m:t>
        </m:r>
      </m:oMath>
      <w:r>
        <w:t xml:space="preserve">): wider than label-free QA, but the same order, and the</w:t>
      </w:r>
      <w:r>
        <w:t xml:space="preserve"> </w:t>
      </w:r>
      <w:r>
        <w:t xml:space="preserve">composition is the same shape at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saturated,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capability wall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rescuable, i.e. </w:t>
      </w:r>
      <m:oMath>
        <m:r>
          <m:t>75</m:t>
        </m:r>
        <m:r>
          <m:rPr>
            <m:sty m:val="p"/>
          </m:rPr>
          <m:t>/</m:t>
        </m:r>
        <m:r>
          <m:t>17.5</m:t>
        </m:r>
        <m:r>
          <m:rPr>
            <m:sty m:val="p"/>
          </m:rPr>
          <m:t>/</m:t>
        </m:r>
        <m:r>
          <m:t>7.5</m:t>
        </m:r>
        <m:r>
          <m:rPr>
            <m:sty m:val="p"/>
          </m:rPr>
          <m:t>%</m:t>
        </m:r>
      </m:oMath>
      <w:r>
        <w:t xml:space="preserve">. Nor does budget open it. The seven capability-wall problems</w:t>
      </w:r>
      <w:r>
        <w:t xml:space="preserve"> </w:t>
      </w:r>
      <w:r>
        <w:t xml:space="preserve">produced zero correct solutions in</w:t>
      </w:r>
      <w:r>
        <w:t xml:space="preserve"> </w:t>
      </w:r>
      <m:oMath>
        <m:r>
          <m:t>224</m:t>
        </m:r>
      </m:oMath>
      <w:r>
        <w:t xml:space="preserve"> </w:t>
      </w:r>
      <w:r>
        <w:t xml:space="preserve">further attempts (per-problem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upper bound on the pass rate</w:t>
      </w:r>
      <w:r>
        <w:t xml:space="preserve"> </w:t>
      </w:r>
      <m:oMath>
        <m:r>
          <m:t>0.088</m:t>
        </m:r>
      </m:oMath>
      <w:r>
        <w:t xml:space="preserve">), and extrapolating oracle@</w:t>
      </w:r>
      <m:oMath>
        <m:r>
          <m:t>N</m:t>
        </m:r>
      </m:oMath>
      <w:r>
        <w:t xml:space="preserve"> </w:t>
      </w:r>
      <w:r>
        <w:t xml:space="preserve">shows the</w:t>
      </w:r>
      <w:r>
        <w:t xml:space="preserve"> </w:t>
      </w:r>
      <w:r>
        <w:t xml:space="preserve">window saturating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bookmarkStart w:id="76" w:name="tab:window"/>
    <w:p>
      <w:pPr>
        <w:pStyle w:val="TableCaption"/>
      </w:pPr>
      <w:r>
        <w:t xml:space="preserve">The addressable stratum across substrates, on one definition</w:t>
      </w:r>
      <w:r>
        <w:t xml:space="preserve"> </w:t>
      </w:r>
      <w:r>
        <w:t xml:space="preserve">throughout:</w:t>
      </w:r>
      <w:r>
        <w:t xml:space="preserve"> </w:t>
      </w:r>
      <w:r>
        <w:rPr>
          <w:i/>
          <w:iCs/>
        </w:rPr>
        <w:t xml:space="preserve">decisive</w:t>
      </w:r>
      <w:r>
        <w:t xml:space="preserve"> </w:t>
      </w:r>
      <w:r>
        <w:t xml:space="preserve">is the fraction of items whose plurality is wrong,</w:t>
      </w:r>
      <w:r>
        <w:t xml:space="preserve"> </w:t>
      </w:r>
      <w:r>
        <w:rPr>
          <w:i/>
          <w:iCs/>
        </w:rPr>
        <w:t xml:space="preserve">window</w:t>
      </w:r>
      <w:r>
        <w:t xml:space="preserve"> </w:t>
      </w:r>
      <w:r>
        <w:t xml:space="preserve">(Win.) the fraction that are decisive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have the</w:t>
      </w:r>
      <w:r>
        <w:t xml:space="preserve"> </w:t>
      </w:r>
      <w:r>
        <w:t xml:space="preserve">correct answer somewhere in the pool; both in per cent. The window is the ceiling for any label-free</w:t>
      </w:r>
      <w:r>
        <w:t xml:space="preserve"> </w:t>
      </w:r>
      <w:r>
        <w:t xml:space="preserve">aggregation method. Rows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are measured here; HumanEval+/MBPP+</w:t>
      </w:r>
      <w:r>
        <w:t xml:space="preserve"> </w:t>
      </w:r>
      <w:r>
        <w:t xml:space="preserve">is recomputed from published oracle-minus-selector tables, which report the</w:t>
      </w:r>
      <w:r>
        <w:t xml:space="preserve"> </w:t>
      </w:r>
      <w:r>
        <w:t xml:space="preserve">window only. As items harden the decisive fraction grows but the window does</w:t>
      </w:r>
      <w:r>
        <w:t xml:space="preserve"> </w:t>
      </w:r>
      <w:r>
        <w:t xml:space="preserve">not: they pass from saturated to capability-limited. The MATH L5 row is over</w:t>
      </w:r>
      <w:r>
        <w:t xml:space="preserve"> </w:t>
      </w:r>
      <w:r>
        <w:t xml:space="preserve">the full registered list of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the substrate being the object</w:t>
      </w:r>
      <w:r>
        <w:t xml:space="preserve"> </w:t>
      </w:r>
      <w:r>
        <w:t xml:space="preserve">measured; Section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quotes the same quantities over the</w:t>
      </w:r>
      <w:r>
        <w:t xml:space="preserve"> </w:t>
      </w:r>
      <m:oMath>
        <m:r>
          <m:t>89</m:t>
        </m:r>
      </m:oMath>
      <w:r>
        <w:t xml:space="preserve">-item</w:t>
      </w:r>
      <w:r>
        <w:t xml:space="preserve"> </w:t>
      </w:r>
      <w:r>
        <w:t xml:space="preserve">evaluation set that remains after the sign set is split off (</w:t>
      </w:r>
      <m:oMath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items, so</w:t>
      </w:r>
      <w:r>
        <w:t xml:space="preserve"> </w:t>
      </w:r>
      <m:oMath>
        <m:r>
          <m:t>11.2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4.5</m:t>
        </m:r>
      </m:oMath>
      <w:r>
        <w:t xml:space="preserve">). The last row is that same MATH L5 substrate</w:t>
      </w:r>
      <w:r>
        <w:t xml:space="preserve"> </w:t>
      </w:r>
      <w:r>
        <w:t xml:space="preserve">under the budget manipulation of 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, not a sixth</w:t>
      </w:r>
      <w:r>
        <w:t xml:space="preserve"> </w:t>
      </w:r>
      <w:r>
        <w:t xml:space="preserve">substrate: the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range quoted throughout is over the five</w:t>
      </w:r>
      <w:r>
        <w:t xml:space="preserve"> </w:t>
      </w:r>
      <w:r>
        <w:t xml:space="preserve">above it.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he addressable stratum across substrates, on one definition throughout: decisive is the fraction of items whose plurality is wrong, window (Win.) the fraction that are decisive and have the correct answer somewhere in the pool; both in per cent. The window is the ceiling for any label-free aggregation method. Rows marked \dagger are measured here; HumanEval+/MBPP+ is recomputed from published oracle-minus-selector tables, which report the window only. As items harden the decisive fraction grows but the window does not: they pass from saturated to capability-limited. The MATH L5 row is over the full registered list of 119 items, the substrate being the object measured; Section 8.8 quotes the same quantities over the 89-item evaluation set that remains after the sign set is split off (10 and 4 items, so 11.2 and 4.5). The last row is that same MATH L5 substrate under the budget manipulation of Section 8.10, not a sixth substrate: the 2.5–7.5\% range quoted throughout is over the five above it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Dec.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GSM8K / CSQA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9.0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4.0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7.6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AIME / AMC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23.3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3.3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HumanEval+ / MBPP+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3.6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LeetCode Med/Hard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25.0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QA, budget-capped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L5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18.5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t>11.8</m:t>
              </m:r>
            </m:oMath>
          </w:p>
        </w:tc>
      </w:tr>
    </w:tbl>
    <w:bookmarkEnd w:id="76"/>
    <w:p>
      <w:pPr>
        <w:pStyle w:val="BodyText"/>
      </w:pPr>
      <w:r>
        <w:t xml:space="preserve">One precaution belongs with these numbers, because omitting it would have</w:t>
      </w:r>
      <w:r>
        <w:t xml:space="preserve"> </w:t>
      </w:r>
      <w:r>
        <w:t xml:space="preserve">inverted them. The grading harness was validated against the benchmark’s own</w:t>
      </w:r>
      <w:r>
        <w:t xml:space="preserve"> </w:t>
      </w:r>
      <w:r>
        <w:t xml:space="preserve">reference solutions before any candidate was scored:</w:t>
      </w:r>
      <w:r>
        <w:t xml:space="preserve"> </w:t>
      </w:r>
      <m:oMath>
        <m:r>
          <m:t>178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180</m:t>
        </m:r>
      </m:oMath>
      <w:r>
        <w:t xml:space="preserve"> </w:t>
      </w:r>
      <w:r>
        <w:t xml:space="preserve">pass</w:t>
      </w:r>
      <w:r>
        <w:t xml:space="preserve"> </w:t>
      </w:r>
      <w:r>
        <w:t xml:space="preserve">under the sandbox’s resource limits. The check is not a formality: a sandbox whose</w:t>
      </w:r>
      <w:r>
        <w:t xml:space="preserve"> </w:t>
      </w:r>
      <w:r>
        <w:t xml:space="preserve">resource limits the host rejects outright fails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of executions, and</w:t>
      </w:r>
      <w:r>
        <w:t xml:space="preserve"> </w:t>
      </w:r>
      <w:r>
        <w:t xml:space="preserve">that condition presents as a candidate failure rather than as an error. Studies that grade by execution should report their</w:t>
      </w:r>
      <w:r>
        <w:t xml:space="preserve"> </w:t>
      </w:r>
      <w:r>
        <w:t xml:space="preserve">reference-solution pass rate for the same reason a calibration curve is</w:t>
      </w:r>
      <w:r>
        <w:t xml:space="preserve"> </w:t>
      </w:r>
      <w:r>
        <w:t xml:space="preserve">reported: without it, a broken harness and a capability wall look identical.</w:t>
      </w:r>
    </w:p>
    <w:bookmarkEnd w:id="77"/>
    <w:bookmarkStart w:id="78" w:name="sec:budget"/>
    <w:p>
      <w:pPr>
        <w:pStyle w:val="Heading2"/>
      </w:pPr>
      <w:r>
        <w:t xml:space="preserve">A third axis: reasoning budget</w:t>
      </w:r>
    </w:p>
    <w:p>
      <w:pPr>
        <w:pStyle w:val="FirstParagraph"/>
      </w:pPr>
      <w:r>
        <w:t xml:space="preserve">Difficulty is not the only way to lower per-sample accuracy. Constraining the</w:t>
      </w:r>
      <w:r>
        <w:t xml:space="preserve"> </w:t>
      </w:r>
      <w:r>
        <w:t xml:space="preserve">reasoning budget lowers it while leaving the correct answer inside the model’s</w:t>
      </w:r>
      <w:r>
        <w:t xml:space="preserve"> </w:t>
      </w:r>
      <w:r>
        <w:t xml:space="preserve">competence, which is the combination the decisive stratum needs and that</w:t>
      </w:r>
      <w:r>
        <w:t xml:space="preserve"> </w:t>
      </w:r>
      <w:r>
        <w:t xml:space="preserve">difficulty does not supply: as items harden they pass from saturated to</w:t>
      </w:r>
      <w:r>
        <w:t xml:space="preserve"> </w:t>
      </w:r>
      <w:r>
        <w:t xml:space="preserve">capability-limited without pausing in between. A paired run tests this on the</w:t>
      </w:r>
      <w:r>
        <w:t xml:space="preserve"> </w:t>
      </w:r>
      <w:r>
        <w:t xml:space="preserve">same</w:t>
      </w:r>
      <w:r>
        <w:t xml:space="preserve"> </w:t>
      </w:r>
      <m:oMath>
        <m:r>
          <m:t>119</m:t>
        </m:r>
      </m:oMath>
      <w:r>
        <w:t xml:space="preserve"> </w:t>
      </w:r>
      <w:r>
        <w:t xml:space="preserve">items, same model, same</w:t>
      </w:r>
      <w:r>
        <w:t xml:space="preserve"> </w:t>
      </w:r>
      <m:oMath>
        <m:r>
          <m:t>K</m:t>
        </m:r>
      </m:oMath>
      <w:r>
        <w:t xml:space="preserve">, with the model instructed to answer</w:t>
      </w:r>
      <w:r>
        <w:t xml:space="preserve"> </w:t>
      </w:r>
      <w:r>
        <w:t xml:space="preserve">without writing any working.</w:t>
      </w:r>
    </w:p>
    <w:p>
      <w:pPr>
        <w:pStyle w:val="BodyText"/>
      </w:pPr>
      <w:r>
        <w:t xml:space="preserve">The manipulation was weaker than pre-registered on its stated check</w:t>
      </w:r>
      <w:r>
        <w:t xml:space="preserve"> </w:t>
      </w:r>
      <w:r>
        <w:t xml:space="preserve">(per-sample accuracy</w:t>
      </w:r>
      <w:r>
        <w:t xml:space="preserve"> </w:t>
      </w:r>
      <m:oMath>
        <m:r>
          <m:t>0.853</m:t>
        </m:r>
        <m:r>
          <m:rPr>
            <m:sty m:val="p"/>
          </m:rPr>
          <m:t>→</m:t>
        </m:r>
        <m:r>
          <m:t>0.781</m:t>
        </m:r>
      </m:oMath>
      <w:r>
        <w:t xml:space="preserve">, against a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drop required) and the</w:t>
      </w:r>
      <w:r>
        <w:t xml:space="preserve"> </w:t>
      </w:r>
      <w:r>
        <w:t xml:space="preserve">correct answer did not leave the pool (</w:t>
      </w:r>
      <m:oMath>
        <m:r>
          <m:t>0.950</m:t>
        </m:r>
        <m:r>
          <m:rPr>
            <m:sty m:val="p"/>
          </m:rPr>
          <m:t>→</m:t>
        </m:r>
        <m:r>
          <m:t>0.933</m:t>
        </m:r>
      </m:oMath>
      <w:r>
        <w:t xml:space="preserve">), so what follows is</w:t>
      </w:r>
      <w:r>
        <w:t xml:space="preserve"> </w:t>
      </w:r>
      <w:r>
        <w:t xml:space="preserve">exploratory. It is reported because the constraint did not lower accuracy</w:t>
      </w:r>
      <w:r>
        <w:t xml:space="preserve"> </w:t>
      </w:r>
      <w:r>
        <w:t xml:space="preserve">uniformly, it moved items across the plurality boundary: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fell</w:t>
      </w:r>
      <w:r>
        <w:t xml:space="preserve"> </w:t>
      </w:r>
      <m:oMath>
        <m:r>
          <m:t>0.924</m:t>
        </m:r>
        <m:r>
          <m:rPr>
            <m:sty m:val="p"/>
          </m:rPr>
          <m:t>→</m:t>
        </m:r>
        <m:r>
          <m:t>0.815</m:t>
        </m:r>
      </m:oMath>
      <w:r>
        <w:t xml:space="preserve">, the window widened from</w:t>
      </w:r>
      <w:r>
        <w:t xml:space="preserve"> </w:t>
      </w:r>
      <m:oMath>
        <m:r>
          <m:t>2.5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(paired exact McNemar on</w:t>
      </w:r>
      <w:r>
        <w:t xml:space="preserve"> </w:t>
      </w:r>
      <w:r>
        <w:t xml:space="preserve">window membership,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in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out,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0.0037</m:t>
        </m:r>
      </m:oMath>
      <w:r>
        <w:t xml:space="preserve">), and the channel grew</w:t>
      </w:r>
      <w:r>
        <w:t xml:space="preserve"> </w:t>
      </w:r>
      <w:r>
        <w:rPr>
          <w:i/>
          <w:iCs/>
        </w:rPr>
        <w:t xml:space="preserve">stronger</w:t>
      </w:r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2.69</m:t>
        </m:r>
      </m:oMath>
      <w:r>
        <w:t xml:space="preserve">) 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 </w:t>
      </w:r>
      <w:r>
        <w:t xml:space="preserve">(</w:t>
      </w:r>
      <m:oMath>
        <m:r>
          <m:t>z</m:t>
        </m:r>
        <m:r>
          <m:rPr>
            <m:sty m:val="p"/>
          </m:rPr>
          <m:t>=</m:t>
        </m:r>
        <m:r>
          <m:t>6.76</m:t>
        </m:r>
      </m:oMath>
      <w:r>
        <w:t xml:space="preserve">).</w:t>
      </w:r>
      <w:r>
        <w:t xml:space="preserve"> </w:t>
      </w:r>
      <w:r>
        <w:t xml:space="preserve">Forced to answer without working, the model’s confidence tracks whether it</w:t>
      </w:r>
      <w:r>
        <w:t xml:space="preserve"> </w:t>
      </w:r>
      <w:r>
        <w:t xml:space="preserve">happened to be right.</w:t>
      </w:r>
    </w:p>
    <w:p>
      <w:pPr>
        <w:pStyle w:val="BodyText"/>
      </w:pPr>
      <w:r>
        <w:t xml:space="preserve">This is the widest window measured anywhere in this paper, and the first</w:t>
      </w:r>
      <w:r>
        <w:t xml:space="preserve"> </w:t>
      </w:r>
      <w:r>
        <w:t xml:space="preserve">substrate on which the in-pool oracle clears the endpoint at all (</w:t>
      </w:r>
      <m:oMath>
        <m:r>
          <m:rPr>
            <m:sty m:val="p"/>
          </m:rPr>
          <m:t>+</m:t>
        </m:r>
        <m:r>
          <m:t>9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0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 </w:t>
      </w:r>
      <w:r>
        <w:t xml:space="preserve">on a decisive stratum of</w:t>
      </w:r>
      <w:r>
        <w:t xml:space="preserve"> </w:t>
      </w:r>
      <m:oMath>
        <m:r>
          <m:t>17</m:t>
        </m:r>
      </m:oMath>
      <w:r>
        <w:t xml:space="preserve">).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nonetheless returned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</m:t>
        </m:r>
      </m:oMath>
      <w:r>
        <w:t xml:space="preserve">: only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items survived the margin gate against the threshold of</w:t>
      </w:r>
      <w:r>
        <w:t xml:space="preserve"> </w:t>
      </w:r>
      <m:oMath>
        <m:r>
          <m:t>30</m:t>
        </m:r>
      </m:oMath>
      <w:r>
        <w:t xml:space="preserve">, so E4 fired. That abstention is testable rather than a matter of taste,</w:t>
      </w:r>
      <w:r>
        <w:t xml:space="preserve"> </w:t>
      </w:r>
      <w:r>
        <w:t xml:space="preserve">and it cost nothing. Estimating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from gold labels, an upper bound no</w:t>
      </w:r>
      <w:r>
        <w:t xml:space="preserve"> </w:t>
      </w:r>
      <w:r>
        <w:t xml:space="preserve">deployable method has access to, the best available is</w:t>
      </w:r>
      <w:r>
        <w:t xml:space="preserve"> 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0.19</m:t>
        </m:r>
      </m:oMath>
      <w:r>
        <w:t xml:space="preserve">); the derived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0.670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+</m:t>
        </m:r>
        <m:r>
          <m:t>3</m:t>
        </m:r>
        <m:r>
          <m:rPr>
            <m:sty m:val="p"/>
          </m:rPr>
          <m:t>/</m:t>
        </m:r>
        <m:r>
          <m:rPr>
            <m:sty m:val="p"/>
          </m:rPr>
          <m:t>−</m:t>
        </m:r>
        <m:r>
          <m:t>1</m:t>
        </m:r>
      </m:oMath>
      <w:r>
        <w:t xml:space="preserve">. The gap that matters is</w:t>
      </w:r>
      <w:r>
        <w:t xml:space="preserve"> </w:t>
      </w:r>
      <w:r>
        <w:t xml:space="preserve">therefore not the one the window closes. Even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an oracle able to convert nine items, confidence weighting reaches fewer than</w:t>
      </w:r>
      <w:r>
        <w:t xml:space="preserve"> </w:t>
      </w:r>
      <w:r>
        <w:t xml:space="preserve">half of them, and none of the reachable configurations is significant.</w:t>
      </w:r>
    </w:p>
    <w:bookmarkEnd w:id="78"/>
    <w:bookmarkEnd w:id="79"/>
    <w:bookmarkStart w:id="80" w:name="sec:limits"/>
    <w:p>
      <w:pPr>
        <w:pStyle w:val="Heading1"/>
      </w:pPr>
      <w:r>
        <w:t xml:space="preserve">Discussion and Limitations</w:t>
      </w:r>
    </w:p>
    <w:p>
      <w:pPr>
        <w:pStyle w:val="FirstParagraph"/>
      </w:pPr>
      <w:r>
        <w:rPr>
          <w:b/>
          <w:bCs/>
        </w:rPr>
        <w:t xml:space="preserve">What the evidence does and does not show.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claims are all on a synthetic oracle whose confidence model</w:t>
      </w:r>
      <w:r>
        <w:t xml:space="preserve"> </w:t>
      </w:r>
      <w:hyperlink w:anchor="eq:confmodel">
        <w:r>
          <w:rPr>
            <w:rStyle w:val="Hyperlink"/>
          </w:rPr>
          <w:t xml:space="preserve">[eq:confmodel]</w:t>
        </w:r>
      </w:hyperlink>
      <w:r>
        <w:t xml:space="preserve"> </w:t>
      </w:r>
      <w:r>
        <w:t xml:space="preserve">is, at the homogeneous cells, the very coupling the estimator measures. Three design choices limit the circularity, and the first is weaker than it</w:t>
      </w:r>
      <w:r>
        <w:t xml:space="preserve"> </w:t>
      </w:r>
      <w:r>
        <w:t xml:space="preserve">looks: heterogeneity and echo lie outside the estimator’s working model, but</w:t>
      </w:r>
      <w:r>
        <w:t xml:space="preserve"> </w:t>
      </w:r>
      <w:r>
        <w:t xml:space="preserve">the three distortion cells are rank-preserving by construction and therefore</w:t>
      </w:r>
      <w:r>
        <w:t xml:space="preserve"> </w:t>
      </w:r>
      <w:r>
        <w:t xml:space="preserve">sit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rPr>
          <w:smallCaps/>
        </w:rPr>
        <w:t xml:space="preserve">tact</w:t>
      </w:r>
      <w:r>
        <w:t xml:space="preserve">’s own invariance group, so passing them tests that the</w:t>
      </w:r>
      <w:r>
        <w:t xml:space="preserve"> </w:t>
      </w:r>
      <w:r>
        <w:t xml:space="preserve">implementation respects an invariance it was built to have rather than</w:t>
      </w:r>
      <w:r>
        <w:t xml:space="preserve"> </w:t>
      </w:r>
      <w:r>
        <w:t xml:space="preserve">probing an untested regime; mechanism-recovery claims (does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track</w:t>
      </w:r>
      <w:r>
        <w:t xml:space="preserve"> </w:t>
      </w:r>
      <m:oMath>
        <m:r>
          <m:t>κ</m:t>
        </m:r>
      </m:oMath>
      <w:r>
        <w:t xml:space="preserve">?) are reported separately from accuracy claims; and the pre-measured baseline landscape (Fig.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) fixed the winnable cells before the method existed. The real-trace campaigns of Sections </w:t>
      </w:r>
      <w:hyperlink w:anchor="sec:real">
        <w:r>
          <w:rPr>
            <w:rStyle w:val="Hyperlink"/>
          </w:rPr>
          <w:t xml:space="preserve">8.7</w:t>
        </w:r>
      </w:hyperlink>
      <w:r>
        <w:t xml:space="preserve"> </w:t>
      </w:r>
      <w:r>
        <w:t xml:space="preserve">and </w:t>
      </w:r>
      <w:hyperlink w:anchor="sec:hard">
        <w:r>
          <w:rPr>
            <w:rStyle w:val="Hyperlink"/>
          </w:rPr>
          <w:t xml:space="preserve">8.8</w:t>
        </w:r>
      </w:hyperlink>
      <w:r>
        <w:t xml:space="preserve"> </w:t>
      </w:r>
      <w:r>
        <w:t xml:space="preserve">test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abstention behaviour</w:t>
      </w:r>
      <w:r>
        <w:t xml:space="preserve">, and both predictions held: the channel is null on saturated benchmarks and positive on competition mathematics, and the dead zone kept the vote bit-identical to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in each case. They do not test the accuracy claim, because on neither substrate was the addressable stratum large enough for any method to demonstrate a gain (Section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Narrow margins where labels abound.</w:t>
      </w:r>
      <w:r>
        <w:t xml:space="preserve"> </w:t>
      </w:r>
      <w:r>
        <w:t xml:space="preserve">When labels are plentiful and the confidence scale is trusted, a dev-picked signed grid captures most of the value;</w:t>
      </w:r>
      <w:r>
        <w:t xml:space="preserve"> </w:t>
      </w:r>
      <w:r>
        <w:rPr>
          <w:smallCaps/>
        </w:rPr>
        <w:t xml:space="preserve">tact</w:t>
      </w:r>
      <w:r>
        <w:t xml:space="preserve">’s case rests on the label-free setting, distorted scales, small dev sets, and the exactness of its anchors.</w:t>
      </w:r>
    </w:p>
    <w:p>
      <w:pPr>
        <w:pStyle w:val="BodyText"/>
      </w:pPr>
      <w:r>
        <w:rPr>
          <w:b/>
          <w:bCs/>
        </w:rPr>
        <w:t xml:space="preserve">Conditional label-free guarantee, and what happens past the boundary.</w:t>
      </w:r>
      <w:r>
        <w:t xml:space="preserve"> </w:t>
      </w:r>
      <w:r>
        <w:t xml:space="preserve">Proposition </w:t>
      </w:r>
      <w:hyperlink w:anchor="prop:cc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requires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after deduplication, and the</w:t>
      </w:r>
      <w:r>
        <w:t xml:space="preserve"> </w:t>
      </w:r>
      <w:r>
        <w:t xml:space="preserve">confident-echo ambiguity is fundamental (Proposition 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).</w:t>
      </w:r>
      <w:r>
        <w:t xml:space="preserve"> </w:t>
      </w:r>
      <w:r>
        <w:t xml:space="preserve">Follow-on work measured the consequence of crossing that boundary, and it is</w:t>
      </w:r>
      <w:r>
        <w:t xml:space="preserve"> </w:t>
      </w:r>
      <w:r>
        <w:t xml:space="preserve">worse than under-trust. In a</w:t>
      </w:r>
      <w:r>
        <w:t xml:space="preserve"> </w:t>
      </w:r>
      <w:r>
        <w:rPr>
          <w:i/>
          <w:iCs/>
        </w:rPr>
        <w:t xml:space="preserve">paraphrased</w:t>
      </w:r>
      <w:r>
        <w:t xml:space="preserve"> </w:t>
      </w:r>
      <w:r>
        <w:t xml:space="preserve">wrong-majority cell (a dominant</w:t>
      </w:r>
      <w:r>
        <w:t xml:space="preserve"> </w:t>
      </w:r>
      <w:r>
        <w:t xml:space="preserve">wrong cluster that is semantically tight but carries no verbatim signature, so</w:t>
      </w:r>
      <w:r>
        <w:t xml:space="preserve"> </w:t>
      </w:r>
      <w:r>
        <w:t xml:space="preserve">deduplication has nothing to collapse) the plurality is wrong on most items,</w:t>
      </w:r>
      <w:r>
        <w:t xml:space="preserve"> </w:t>
      </w:r>
      <m:oMath>
        <m:acc>
          <m:accPr>
            <m:chr m:val="‾"/>
          </m:accPr>
          <m:e>
            <m:r>
              <m:t>ρ</m:t>
            </m:r>
          </m:e>
        </m:acc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  <w:r>
        <w:t xml:space="preserve"> </w:t>
      </w:r>
      <w:r>
        <w:rPr>
          <w:smallCaps/>
        </w:rPr>
        <w:t xml:space="preserve">tact</w:t>
      </w:r>
      <w:r>
        <w:t xml:space="preserve">-LF does not merely shrink toward</w:t>
      </w:r>
      <w:r>
        <w:t xml:space="preserve"> </w:t>
      </w:r>
      <w:r>
        <w:rPr>
          <w:smallCaps/>
        </w:rPr>
        <w:t xml:space="preserve">sc</w:t>
      </w:r>
      <w:r>
        <w:t xml:space="preserve">: it</w:t>
      </w:r>
      <w:r>
        <w:t xml:space="preserve"> </w:t>
      </w:r>
      <w:r>
        <w:rPr>
          <w:i/>
          <w:iCs/>
        </w:rPr>
        <w:t xml:space="preserve">mis-signs</w:t>
      </w:r>
      <w:r>
        <w:t xml:space="preserve">, saturates at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2.0</m:t>
        </m:r>
      </m:oMath>
      <w:r>
        <w:t xml:space="preserve">, and scores</w:t>
      </w:r>
      <w:r>
        <w:t xml:space="preserve"> </w:t>
      </w:r>
      <m:oMath>
        <m:r>
          <m:t>0.000</m:t>
        </m:r>
      </m:oMath>
      <w:r>
        <w:t xml:space="preserve"> </w:t>
      </w:r>
      <w:r>
        <w:t xml:space="preserve">against an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 of</w:t>
      </w:r>
      <w:r>
        <w:t xml:space="preserve"> </w:t>
      </w:r>
      <m:oMath>
        <m:r>
          <m:t>0.340</m:t>
        </m:r>
      </m:oMath>
      <w:r>
        <w:t xml:space="preserve">. None of the four alarms fires, because E1 keys on</w:t>
      </w:r>
      <w:r>
        <w:t xml:space="preserve"> </w:t>
      </w:r>
      <w:r>
        <w:t xml:space="preserve">verbatim duplication which is absent by construction. This is the method’s</w:t>
      </w:r>
      <w:r>
        <w:t xml:space="preserve"> </w:t>
      </w:r>
      <w:r>
        <w:t xml:space="preserve">sharpest unguarded failure mode: the guarantee is conditional, the condition is</w:t>
      </w:r>
      <w:r>
        <w:t xml:space="preserve"> </w:t>
      </w:r>
      <w:r>
        <w:t xml:space="preserve">not observable label-free, and the existing diagnostics do not detect its</w:t>
      </w:r>
      <w:r>
        <w:t xml:space="preserve"> </w:t>
      </w:r>
      <w:r>
        <w:t xml:space="preserve">violation. Where a systematically wrong majority is plausible, the</w:t>
      </w:r>
      <w:r>
        <w:t xml:space="preserve"> </w:t>
      </w:r>
      <w:r>
        <w:t xml:space="preserve">semi-label-free mode (sign from</w:t>
      </w:r>
      <w:r>
        <w:t xml:space="preserve"> </w:t>
      </w:r>
      <m:oMath>
        <m:r>
          <m:rPr>
            <m:sty m:val="p"/>
          </m:rPr>
          <m:t>∼</m:t>
        </m:r>
        <m:r>
          <m:t>50</m:t>
        </m:r>
      </m:oMath>
      <w:r>
        <w:t xml:space="preserve"> </w:t>
      </w:r>
      <w:r>
        <w:t xml:space="preserve">labels) should be the default rather</w:t>
      </w:r>
      <w:r>
        <w:t xml:space="preserve"> </w:t>
      </w:r>
      <w:r>
        <w:t xml:space="preserve">than an optional refinement. The other standard remedy is not tried here and</w:t>
      </w:r>
      <w:r>
        <w:t xml:space="preserve"> </w:t>
      </w:r>
      <w:r>
        <w:t xml:space="preserve">should be: the failure is driven by a semantically tight wrong cluster that</w:t>
      </w:r>
      <w:r>
        <w:t xml:space="preserve"> </w:t>
      </w:r>
      <w:r>
        <w:t xml:space="preserve">lexical deduplication cannot see, which is precisely what semantic-equivalence</w:t>
      </w:r>
      <w:r>
        <w:t xml:space="preserve"> </w:t>
      </w:r>
      <w:r>
        <w:t xml:space="preserve">clustering [</w:t>
      </w:r>
      <w:hyperlink w:anchor="bib:kuhn2023semantic">
        <w:r>
          <w:rPr>
            <w:rStyle w:val="Hyperlink"/>
          </w:rPr>
          <w:t xml:space="preserve">27</w:t>
        </w:r>
      </w:hyperlink>
      <w:r>
        <w:t xml:space="preserve">] is built to collapse. Substituting a</w:t>
      </w:r>
      <w:r>
        <w:t xml:space="preserve"> </w:t>
      </w:r>
      <w:r>
        <w:t xml:space="preserve">semantic pseudo-label for the lexical one is the obvious next guard, and this</w:t>
      </w:r>
      <w:r>
        <w:t xml:space="preserve"> </w:t>
      </w:r>
      <w:r>
        <w:t xml:space="preserve">paper does not test it.</w:t>
      </w:r>
    </w:p>
    <w:p>
      <w:pPr>
        <w:pStyle w:val="BodyText"/>
      </w:pPr>
      <w:r>
        <w:rPr>
          <w:b/>
          <w:bCs/>
        </w:rPr>
        <w:t xml:space="preserve">Global exponent per group.</w:t>
      </w:r>
      <w:r>
        <w:t xml:space="preserve"> </w:t>
      </w:r>
      <w:r>
        <w:t xml:space="preserve">Within a group,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ships one exponent; per-item variation inside a group is unexploitable by Propositions </w:t>
      </w:r>
      <w:hyperlink w:anchor="prop:selfreinf">
        <w:r>
          <w:rPr>
            <w:rStyle w:val="Hyperlink"/>
          </w:rPr>
          <w:t xml:space="preserve">5</w:t>
        </w:r>
      </w:hyperlink>
      <w:r>
        <w:t xml:space="preserve">–</w:t>
      </w:r>
      <w:hyperlink w:anchor="prop:twoworld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unless further covariates exist.</w:t>
      </w:r>
    </w:p>
    <w:p>
      <w:pPr>
        <w:pStyle w:val="BodyText"/>
      </w:pPr>
      <w:r>
        <w:rPr>
          <w:b/>
          <w:bCs/>
        </w:rPr>
        <w:t xml:space="preserve">The thin window.</w:t>
      </w:r>
      <w:r>
        <w:t xml:space="preserve"> </w:t>
      </w:r>
      <w:r>
        <w:t xml:space="preserve">Section </w:t>
      </w:r>
      <w:hyperlink w:anchor="sec:window">
        <w:r>
          <w:rPr>
            <w:rStyle w:val="Hyperlink"/>
          </w:rPr>
          <w:t xml:space="preserve">8.9</w:t>
        </w:r>
      </w:hyperlink>
      <w:r>
        <w:t xml:space="preserve"> </w:t>
      </w:r>
      <w:r>
        <w:t xml:space="preserve">measures the stratum this</w:t>
      </w:r>
      <w:r>
        <w:t xml:space="preserve"> </w:t>
      </w:r>
      <w:r>
        <w:t xml:space="preserve">whole family of methods can act on at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across all five</w:t>
      </w:r>
      <w:r>
        <w:t xml:space="preserve"> </w:t>
      </w:r>
      <w:r>
        <w:t xml:space="preserve">substrates, in two domains, with no widening as items harden: they pass from</w:t>
      </w:r>
      <w:r>
        <w:t xml:space="preserve"> </w:t>
      </w:r>
      <w:r>
        <w:t xml:space="preserve">saturated straight to capability-limited. Two consequences follow for the</w:t>
      </w:r>
      <w:r>
        <w:t xml:space="preserve"> </w:t>
      </w:r>
      <w:r>
        <w:t xml:space="preserve">method proposed here. First, abstention is not a conservative compromise but</w:t>
      </w:r>
      <w:r>
        <w:t xml:space="preserve"> </w:t>
      </w:r>
      <w:r>
        <w:t xml:space="preserve">the only correct default, and the measured cost of acting anyway was negative</w:t>
      </w:r>
      <w:r>
        <w:t xml:space="preserve"> </w:t>
      </w:r>
      <w:r>
        <w:t xml:space="preserve">on both real substrates (best-single-confidence loses</w:t>
      </w:r>
      <w:r>
        <w:t xml:space="preserve"> </w:t>
      </w:r>
      <m:oMath>
        <m:r>
          <m:t>4.5</m:t>
        </m:r>
      </m:oMath>
      <w:r>
        <w:t xml:space="preserve"> </w:t>
      </w:r>
      <w:r>
        <w:t xml:space="preserve">points in</w:t>
      </w:r>
      <w:r>
        <w:t xml:space="preserve"> </w:t>
      </w:r>
      <w:r>
        <w:t xml:space="preserve">Table </w:t>
      </w:r>
      <w:hyperlink w:anchor="tab:hard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where the dead zone holds</w:t>
      </w:r>
      <w:r>
        <w:t xml:space="preserve"> </w:t>
      </w:r>
      <w:r>
        <w:rPr>
          <w:smallCaps/>
        </w:rPr>
        <w:t xml:space="preserve">tact</w:t>
      </w:r>
      <w:r>
        <w:t xml:space="preserve"> </w:t>
      </w:r>
      <w:r>
        <w:t xml:space="preserve">at the</w:t>
      </w:r>
      <w:r>
        <w:t xml:space="preserve"> </w:t>
      </w:r>
      <w:r>
        <w:rPr>
          <w:smallCaps/>
        </w:rPr>
        <w:t xml:space="preserve">sc</w:t>
      </w:r>
      <w:r>
        <w:t xml:space="preserve"> </w:t>
      </w:r>
      <w:r>
        <w:t xml:space="preserve">floor).</w:t>
      </w:r>
      <w:r>
        <w:t xml:space="preserve"> </w:t>
      </w:r>
      <w:r>
        <w:t xml:space="preserve">Second, an aggregation gain of the size reported on the synthetic harness is</w:t>
      </w:r>
      <w:r>
        <w:t xml:space="preserve"> </w:t>
      </w:r>
      <w:r>
        <w:t xml:space="preserve">not measurable on a benchmark of a few hundred items at these window widths,</w:t>
      </w:r>
      <w:r>
        <w:t xml:space="preserve"> </w:t>
      </w:r>
      <w:r>
        <w:t xml:space="preserve">which is why the real-trace claim in this paper is confined to the premise</w:t>
      </w:r>
      <w:r>
        <w:t xml:space="preserve"> </w:t>
      </w:r>
      <w:r>
        <w:t xml:space="preserve">(the channel exists and is signed) and to the abstention behaviour, and does</w:t>
      </w:r>
      <w:r>
        <w:t xml:space="preserve"> </w:t>
      </w:r>
      <w:r>
        <w:t xml:space="preserve">not extend to accuracy. Demonstrating the gain needs a (model, benchmark)</w:t>
      </w:r>
      <w:r>
        <w:t xml:space="preserve"> </w:t>
      </w:r>
      <w:r>
        <w:t xml:space="preserve">pair whose plurality is wrong on</w:t>
      </w:r>
      <w:r>
        <w:t xml:space="preserve"> </w:t>
      </w:r>
      <m:oMath>
        <m:r>
          <m:t>30</m:t>
        </m:r>
      </m:oMath>
      <w:r>
        <w:t xml:space="preserve">–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 with the correct answer</w:t>
      </w:r>
      <w:r>
        <w:t xml:space="preserve"> </w:t>
      </w:r>
      <w:r>
        <w:t xml:space="preserve">still reachable, and no pair tried here satisfies both.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adds the one axis that does widen the window, and it</w:t>
      </w:r>
      <w:r>
        <w:t xml:space="preserve"> </w:t>
      </w:r>
      <w:r>
        <w:t xml:space="preserve">cuts the same way: with the window at</w:t>
      </w:r>
      <w:r>
        <w:t xml:space="preserve"> </w:t>
      </w:r>
      <m:oMath>
        <m:r>
          <m:t>11.8</m:t>
        </m:r>
        <m:r>
          <m:rPr>
            <m:sty m:val="p"/>
          </m:rPr>
          <m:t>%</m:t>
        </m:r>
      </m:oMath>
      <w:r>
        <w:t xml:space="preserve"> </w:t>
      </w:r>
      <w:r>
        <w:t xml:space="preserve">and an oracle able to convert</w:t>
      </w:r>
      <w:r>
        <w:t xml:space="preserve"> </w:t>
      </w:r>
      <w:r>
        <w:t xml:space="preserve">nine items, confidence weighting still reaches fewer than half of them. The</w:t>
      </w:r>
      <w:r>
        <w:t xml:space="preserve"> </w:t>
      </w:r>
      <w:r>
        <w:t xml:space="preserve">width of the window is not the only thing in the way.</w:t>
      </w:r>
    </w:p>
    <w:p>
      <w:pPr>
        <w:pStyle w:val="BodyText"/>
      </w:pPr>
      <w:r>
        <w:rPr>
          <w:b/>
          <w:bCs/>
        </w:rPr>
        <w:t xml:space="preserve">Widening the window on purpose.</w:t>
      </w:r>
      <w:r>
        <w:t xml:space="preserve"> </w:t>
      </w:r>
      <w:r>
        <w:t xml:space="preserve">That result also names the most</w:t>
      </w:r>
      <w:r>
        <w:t xml:space="preserve"> </w:t>
      </w:r>
      <w:r>
        <w:t xml:space="preserve">promising direction the paper does not pursue. Difficulty moves items from</w:t>
      </w:r>
      <w:r>
        <w:t xml:space="preserve"> </w:t>
      </w:r>
      <w:r>
        <w:t xml:space="preserve">saturated straight to capability-limited, but the budget constraint of</w:t>
      </w:r>
      <w:r>
        <w:t xml:space="preserve"> </w:t>
      </w:r>
      <w:r>
        <w:t xml:space="preserve">Section </w:t>
      </w:r>
      <w:hyperlink w:anchor="sec:budget">
        <w:r>
          <w:rPr>
            <w:rStyle w:val="Hyperlink"/>
          </w:rPr>
          <w:t xml:space="preserve">8.10</w:t>
        </w:r>
      </w:hyperlink>
      <w:r>
        <w:t xml:space="preserve"> </w:t>
      </w:r>
      <w:r>
        <w:t xml:space="preserve">moved them across the plurality boundary while leaving</w:t>
      </w:r>
      <w:r>
        <w:t xml:space="preserve"> </w:t>
      </w:r>
      <w:r>
        <w:t xml:space="preserve">the answer inside the model’s competence, which is the combination the decisive</w:t>
      </w:r>
      <w:r>
        <w:t xml:space="preserve"> </w:t>
      </w:r>
      <w:r>
        <w:t xml:space="preserve">stratum needs; sampling temperature is a second knob with the same character,</w:t>
      </w:r>
      <w:r>
        <w:t xml:space="preserve"> </w:t>
      </w:r>
      <w:r>
        <w:t xml:space="preserve">and neither was swept. If the sampling regime is a controllable input rather</w:t>
      </w:r>
      <w:r>
        <w:t xml:space="preserve"> </w:t>
      </w:r>
      <w:r>
        <w:t xml:space="preserve">than a fixed property of the substrate, the question changes from</w:t>
      </w:r>
      <w:r>
        <w:t xml:space="preserve"> </w:t>
      </w:r>
      <w:r>
        <w:t xml:space="preserve">“how wide is</w:t>
      </w:r>
      <w:r>
        <w:t xml:space="preserve"> </w:t>
      </w:r>
      <w:r>
        <w:t xml:space="preserve">the window?”</w:t>
      </w:r>
      <w:r>
        <w:t xml:space="preserve"> </w:t>
      </w:r>
      <w:r>
        <w:t xml:space="preserve">to</w:t>
      </w:r>
      <w:r>
        <w:t xml:space="preserve"> </w:t>
      </w:r>
      <w:r>
        <w:t xml:space="preserve">“what decoding configuration puts the most items in it, at</w:t>
      </w:r>
      <w:r>
        <w:t xml:space="preserve"> </w:t>
      </w:r>
      <w:r>
        <w:t xml:space="preserve">what accuracy cost, and does the confidence channel stay signed there?”</w:t>
      </w:r>
      <w:r>
        <w:t xml:space="preserve"> </w:t>
      </w:r>
      <w:r>
        <w:t xml:space="preserve">The</w:t>
      </w:r>
      <w:r>
        <w:t xml:space="preserve"> </w:t>
      </w:r>
      <w:r>
        <w:t xml:space="preserve">budget arm answers the first part once and suggests the channel gets</w:t>
      </w:r>
      <w:r>
        <w:t xml:space="preserve"> </w:t>
      </w:r>
      <w:r>
        <w:rPr>
          <w:i/>
          <w:iCs/>
        </w:rPr>
        <w:t xml:space="preserve">stronger</w:t>
      </w:r>
      <w:r>
        <w:t xml:space="preserve"> </w:t>
      </w:r>
      <w:r>
        <w:t xml:space="preserve">under the constraint (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+</m:t>
        </m:r>
        <m:r>
          <m:t>0.229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0.398</m:t>
        </m:r>
      </m:oMath>
      <w:r>
        <w:t xml:space="preserve">), which</w:t>
      </w:r>
      <w:r>
        <w:t xml:space="preserve"> </w:t>
      </w:r>
      <w:r>
        <w:t xml:space="preserve">would be worth confirming on more than one substrate before it is believed. A</w:t>
      </w:r>
      <w:r>
        <w:t xml:space="preserve"> </w:t>
      </w:r>
      <w:r>
        <w:t xml:space="preserve">method that chose its own decoding budget to maximise decisive-stratum mass,</w:t>
      </w:r>
      <w:r>
        <w:t xml:space="preserve"> </w:t>
      </w:r>
      <w:r>
        <w:t xml:space="preserve">then aggregated, would be a different contribution from this one, and the</w:t>
      </w:r>
      <w:r>
        <w:t xml:space="preserve"> </w:t>
      </w:r>
      <w:r>
        <w:t xml:space="preserve">measurement here is what makes it worth attempting.</w:t>
      </w:r>
    </w:p>
    <w:bookmarkEnd w:id="80"/>
    <w:bookmarkStart w:id="8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rPr>
          <w:smallCaps/>
        </w:rPr>
        <w:t xml:space="preserve">tact</w:t>
      </w:r>
      <w:r>
        <w:t xml:space="preserve"> </w:t>
      </w:r>
      <w:r>
        <w:t xml:space="preserve">turns</w:t>
      </w:r>
      <w:r>
        <w:t xml:space="preserve"> </w:t>
      </w:r>
      <w:r>
        <w:t xml:space="preserve">“how far should this model’s confidence be trusted?”</w:t>
      </w:r>
      <w:r>
        <w:t xml:space="preserve"> </w:t>
      </w:r>
      <w:r>
        <w:t xml:space="preserve">into a</w:t>
      </w:r>
      <w:r>
        <w:t xml:space="preserve"> </w:t>
      </w:r>
      <w:r>
        <w:t xml:space="preserve">measured, signed, uncertainty-aware scalar, and recovers the sign without</w:t>
      </w:r>
      <w:r>
        <w:t xml:space="preserve"> </w:t>
      </w:r>
      <w:r>
        <w:t xml:space="preserve">labels under conditions this paper states and tests. The measurement that</w:t>
      </w:r>
      <w:r>
        <w:t xml:space="preserve"> </w:t>
      </w:r>
      <w:r>
        <w:t xml:space="preserve">frames it matters more than the estimator: across five substrates in two</w:t>
      </w:r>
      <w:r>
        <w:t xml:space="preserve"> </w:t>
      </w:r>
      <w:r>
        <w:t xml:space="preserve">domains, the stratum on which any label-free aggregation method can act is</w:t>
      </w:r>
      <w:r>
        <w:t xml:space="preserve"> </w:t>
      </w:r>
      <m:oMath>
        <m:r>
          <m:t>2.5</m:t>
        </m:r>
      </m:oMath>
      <w:r>
        <w:t xml:space="preserve">–</w:t>
      </w:r>
      <m:oMath>
        <m:r>
          <m:t>7.5</m:t>
        </m:r>
        <m:r>
          <m:rPr>
            <m:sty m:val="p"/>
          </m:rPr>
          <m:t>%</m:t>
        </m:r>
      </m:oMath>
      <w:r>
        <w:t xml:space="preserve"> </w:t>
      </w:r>
      <w:r>
        <w:t xml:space="preserve">of items, and on both real substrates the in-pool oracle cannot</w:t>
      </w:r>
      <w:r>
        <w:t xml:space="preserve"> </w:t>
      </w:r>
      <w:r>
        <w:t xml:space="preserve">clear a pre-registered endpoint. In that regime the useful property of an</w:t>
      </w:r>
      <w:r>
        <w:t xml:space="preserve"> </w:t>
      </w:r>
      <w:r>
        <w:t xml:space="preserve">estimator is knowing when not to act, which the dead zone does exactly.</w:t>
      </w:r>
    </w:p>
    <w:bookmarkEnd w:id="81"/>
    <w:bookmarkStart w:id="83" w:name="code-and-data-availability"/>
    <w:p>
      <w:pPr>
        <w:pStyle w:val="Heading1"/>
      </w:pPr>
      <w:r>
        <w:t xml:space="preserve">Code and Data Availability</w:t>
      </w:r>
    </w:p>
    <w:p>
      <w:pPr>
        <w:pStyle w:val="FirstParagraph"/>
      </w:pPr>
      <w:r>
        <w:t xml:space="preserve">All code, cached traces, and the JSON artifacts behind every table are at</w:t>
      </w:r>
      <w:r>
        <w:t xml:space="preserve"> </w:t>
      </w:r>
      <w:hyperlink r:id="rId82">
        <w:r>
          <w:rPr>
            <w:rStyle w:val="Hyperlink"/>
          </w:rPr>
          <w:t xml:space="preserve">https://github.com/vito1317/adaptive-reasoning-consensus</w:t>
        </w:r>
      </w:hyperlink>
      <w:r>
        <w:t xml:space="preserve">. Table </w:t>
      </w:r>
      <w:hyperlink w:anchor="tab:tests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is produced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35ad160</w:t>
      </w:r>
      <w:r>
        <w:t xml:space="preserve">; the synthetic results by</w:t>
      </w:r>
      <w:r>
        <w:t xml:space="preserve"> </w:t>
      </w:r>
      <w:r>
        <w:rPr>
          <w:rStyle w:val="VerbatimChar"/>
        </w:rPr>
        <w:t xml:space="preserve">experiments/run_tact_eval.py</w:t>
      </w:r>
      <w:r>
        <w:t xml:space="preserve">, the real-trace campaigns by</w:t>
      </w:r>
      <w:r>
        <w:t xml:space="preserve"> </w:t>
      </w:r>
      <w:r>
        <w:rPr>
          <w:rStyle w:val="VerbatimChar"/>
        </w:rPr>
        <w:t xml:space="preserve">run_tact_hard_eval.py</w:t>
      </w:r>
      <w:r>
        <w:t xml:space="preserve">, and the window measurements by</w:t>
      </w:r>
      <w:r>
        <w:t xml:space="preserve"> </w:t>
      </w:r>
      <w:r>
        <w:rPr>
          <w:rStyle w:val="VerbatimChar"/>
        </w:rPr>
        <w:t xml:space="preserve">run_g1_window.py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run_g1_deepening.py</w:t>
      </w:r>
      <w:r>
        <w:t xml:space="preserve">; the three</w:t>
      </w:r>
      <w:r>
        <w:t xml:space="preserve"> </w:t>
      </w:r>
      <w:r>
        <w:t xml:space="preserve">abstention replays of finding (e) by</w:t>
      </w:r>
      <w:r>
        <w:t xml:space="preserve"> </w:t>
      </w:r>
      <w:r>
        <w:rPr>
          <w:rStyle w:val="VerbatimChar"/>
        </w:rPr>
        <w:t xml:space="preserve">run_abstention_identifiability.py</w:t>
      </w:r>
      <w:r>
        <w:t xml:space="preserve">.</w:t>
      </w:r>
      <w:r>
        <w:t xml:space="preserve"> </w:t>
      </w:r>
      <w:r>
        <w:t xml:space="preserve">Each script</w:t>
      </w:r>
      <w:r>
        <w:t xml:space="preserve"> </w:t>
      </w:r>
      <w:r>
        <w:t xml:space="preserve">writes the artifact its table cites. Figures </w:t>
      </w:r>
      <w:hyperlink w:anchor="fig:baselines">
        <w:r>
          <w:rPr>
            <w:rStyle w:val="Hyperlink"/>
          </w:rPr>
          <w:t xml:space="preserve">1</w:t>
        </w:r>
      </w:hyperlink>
      <w:r>
        <w:t xml:space="preserve">–</w:t>
      </w:r>
      <w:hyperlink w:anchor="fig:group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are vector output from</w:t>
      </w:r>
      <w:r>
        <w:t xml:space="preserve"> </w:t>
      </w:r>
      <w:r>
        <w:rPr>
          <w:rStyle w:val="VerbatimChar"/>
        </w:rPr>
        <w:t xml:space="preserve">experiments/make_paper_figures.py</w:t>
      </w:r>
      <w:r>
        <w:t xml:space="preserve">, which reads</w:t>
      </w:r>
      <w:r>
        <w:t xml:space="preserve"> </w:t>
      </w:r>
      <w:r>
        <w:t xml:space="preserve">the same JSON.</w:t>
      </w:r>
    </w:p>
    <w:bookmarkEnd w:id="83"/>
    <w:bookmarkStart w:id="85" w:name="app:notation"/>
    <w:p>
      <w:pPr>
        <w:pStyle w:val="Heading1"/>
      </w:pPr>
      <w:r>
        <w:t xml:space="preserve">Notation</w:t>
      </w:r>
    </w:p>
    <w:bookmarkStart w:id="84" w:name="tab:notation"/>
    <w:p>
      <w:pPr>
        <w:pStyle w:val="TableCaption"/>
      </w:pPr>
      <w:r>
        <w:t xml:space="preserve">Symbols, in order of first use. Quantities carrying a subscript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per item; the estimator ships one global scalar unless a group covariate is</w:t>
      </w:r>
      <w:r>
        <w:t xml:space="preserve"> </w:t>
      </w:r>
      <w:r>
        <w:t xml:space="preserve">available (Section </w:t>
      </w:r>
      <w:hyperlink w:anchor="sec:hetero">
        <w:r>
          <w:rPr>
            <w:rStyle w:val="Hyperlink"/>
          </w:rPr>
          <w:t xml:space="preserve">6</w:t>
        </w:r>
      </w:hyperlink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ymbols, in order of first use. Quantities carrying a subscript q are per item; the estimator ships one global scalar unless a group covariate is available (Section 6)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item index; number of items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traces available for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; voting budget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answer of trace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 the correct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self-reported confidence,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y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a</m:t>
                  </m:r>
                </m:e>
                <m:sub>
                  <m:r>
                    <m:t>q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; unobservable at test time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base rate of correct traces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within-item midrank of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(ties averaged)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standardized van der Waerden score of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  <w:r>
              <w:t xml:space="preserve">; the vote feature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σ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realized within-item SD of the normal scores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vote exponent; its cap (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returned answer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Somers’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within item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C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Q</m:t>
                  </m:r>
                  <m:r>
                    <m:rPr>
                      <m:sty m:val="p"/>
                    </m:rP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van Elteren pooling weight,</w:t>
            </w:r>
            <w:r>
              <w:t xml:space="preserve"> </w:t>
            </w:r>
            <m:oMath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1</m:t>
                  </m:r>
                </m:sup>
              </m:sSubSup>
              <m:sSubSup>
                <m:e>
                  <m:r>
                    <m:t>n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pooled signed discrimination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exact tie-corrected null SE; delete-one-item jackknife SE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ζ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oMath>
            <w:r>
              <w:t xml:space="preserve">; the dead zone is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ζ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≤</m:t>
              </m:r>
              <m:r>
                <m:t>ν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ν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significance floor (</w:t>
            </w:r>
            <m:oMath>
              <m:r>
                <m:t>1.28</m:t>
              </m:r>
            </m:oMath>
            <w:r>
              <w:t xml:space="preserve"> </w:t>
            </w:r>
            <w:r>
              <w:t xml:space="preserve">dev,</w:t>
            </w:r>
            <w:r>
              <w:t xml:space="preserve"> </w:t>
            </w:r>
            <m:oMath>
              <m:r>
                <m:t>2.33</m:t>
              </m:r>
            </m:oMath>
            <w:r>
              <w:t xml:space="preserve"> </w:t>
            </w:r>
            <w:r>
              <w:t xml:space="preserve">label-free)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̃"/>
                </m:accPr>
                <m:e>
                  <m:r>
                    <m:t>D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shrunk discrimination,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ζ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dedup-weighted plurality; the pseudo-label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pair-weighted probability the plurality is</w:t>
            </w:r>
            <w:r>
              <w:t xml:space="preserve"> </w:t>
            </w:r>
            <w:r>
              <w:rPr>
                <w:i/>
                <w:iCs/>
              </w:rPr>
              <w:t xml:space="preserve">wrong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estimated attenuation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 </w:t>
            </w:r>
            <w:r>
              <w:t xml:space="preserve">(not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ρ</m:t>
                  </m:r>
                </m:e>
              </m:acc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split-half agreement; effective number of wrong alternatives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…</m:t>
              </m:r>
              <m:sSub>
                <m:e>
                  <m:r>
                    <m:t>E</m:t>
                  </m:r>
                </m:e>
                <m:sub>
                  <m:r>
                    <m:t>4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four alarms; any one forces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margin-decoupling statistic behind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κ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true confidence–correctness coupling in the oracle</w:t>
            </w:r>
            <w:r>
              <w:t xml:space="preserve"> </w:t>
            </w:r>
            <w:hyperlink w:anchor="eq:confmodel">
              <w:r>
                <w:rPr>
                  <w:rStyle w:val="Hyperlink"/>
                </w:rPr>
                <w:t xml:space="preserve">[eq:confmodel]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λ</m:t>
                  </m:r>
                </m:e>
                <m:sub>
                  <m:r>
                    <m:t>q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per-item coupling under i.i.d. heterogeneity</w:t>
            </w:r>
          </w:p>
        </w:tc>
      </w:tr>
    </w:tbl>
    <w:bookmarkEnd w:id="84"/>
    <w:bookmarkEnd w:id="85"/>
    <w:bookmarkStart w:id="138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99</w:t>
      </w:r>
    </w:p>
    <w:p>
      <w:pPr>
        <w:pStyle w:val="BodyText"/>
      </w:pPr>
      <w:bookmarkStart w:id="86" w:name="bib:wang2023selfconsistency"/>
      <w:bookmarkEnd w:id="86"/>
      <w:r>
        <w:t xml:space="preserve"> </w:t>
      </w:r>
      <w:r>
        <w:t xml:space="preserve">X. Wang, J. Wei, D. Schuurmans, Q. Le, E. Chi, S. Narang, A. Chowdhery, and D. Zhou,</w:t>
      </w:r>
      <w:r>
        <w:t xml:space="preserve"> </w:t>
      </w:r>
      <w:r>
        <w:t xml:space="preserve">“Self-consistency improves chain of thought reasoning in language models,”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87">
        <w:r>
          <w:rPr>
            <w:rStyle w:val="Hyperlink"/>
          </w:rPr>
          <w:t xml:space="preserve">https://arxiv.org/pdf/2203.11171</w:t>
        </w:r>
      </w:hyperlink>
    </w:p>
    <w:p>
      <w:pPr>
        <w:pStyle w:val="BodyText"/>
      </w:pPr>
      <w:bookmarkStart w:id="88" w:name="bib:tian2023just"/>
      <w:bookmarkEnd w:id="88"/>
      <w:r>
        <w:t xml:space="preserve"> </w:t>
      </w:r>
      <w:r>
        <w:t xml:space="preserve">K. Tian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“Just ask for calibration: Strategies for eliciting calibrated confidence scores from language models fine-tuned with human feedback,”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2023. </w:t>
      </w:r>
      <w:hyperlink r:id="rId89">
        <w:r>
          <w:rPr>
            <w:rStyle w:val="Hyperlink"/>
          </w:rPr>
          <w:t xml:space="preserve">https://aclanthology.org/2023.emnlp-main.330.pdf</w:t>
        </w:r>
      </w:hyperlink>
    </w:p>
    <w:p>
      <w:pPr>
        <w:pStyle w:val="BodyText"/>
      </w:pPr>
      <w:bookmarkStart w:id="90" w:name="bib:xiong2024can"/>
      <w:bookmarkEnd w:id="90"/>
      <w:r>
        <w:t xml:space="preserve"> </w:t>
      </w:r>
      <w:r>
        <w:t xml:space="preserve">M. Xiong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“Can LLMs express their uncertainty? An empirical evaluation of confidence elicitation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91">
        <w:r>
          <w:rPr>
            <w:rStyle w:val="Hyperlink"/>
          </w:rPr>
          <w:t xml:space="preserve">https://openreview.net/pdf?id=gjeQKFxFpZ</w:t>
        </w:r>
      </w:hyperlink>
    </w:p>
    <w:p>
      <w:pPr>
        <w:pStyle w:val="BodyText"/>
      </w:pPr>
      <w:bookmarkStart w:id="92" w:name="bib:kadavath2022language"/>
      <w:bookmarkEnd w:id="92"/>
      <w:r>
        <w:t xml:space="preserve"> </w:t>
      </w:r>
      <w:r>
        <w:t xml:space="preserve">S. Kadavath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“Language models (mostly) know what they know,”</w:t>
      </w:r>
      <w:r>
        <w:t xml:space="preserve"> </w:t>
      </w:r>
      <w:r>
        <w:t xml:space="preserve">arXiv:2207.05221, 2022. </w:t>
      </w:r>
      <w:hyperlink r:id="rId93">
        <w:r>
          <w:rPr>
            <w:rStyle w:val="Hyperlink"/>
          </w:rPr>
          <w:t xml:space="preserve">https://arxiv.org/pdf/2207.05221</w:t>
        </w:r>
      </w:hyperlink>
    </w:p>
    <w:p>
      <w:pPr>
        <w:pStyle w:val="BodyText"/>
      </w:pPr>
      <w:bookmarkStart w:id="94" w:name="bib:taubenfeld2025cisc"/>
      <w:bookmarkEnd w:id="94"/>
      <w:r>
        <w:t xml:space="preserve"> </w:t>
      </w:r>
      <w:r>
        <w:t xml:space="preserve">A. Taubenfeld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“Confidence improves self-consistency in LLMs,”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2025, arXiv:2502.06233. </w:t>
      </w:r>
      <w:hyperlink r:id="rId95">
        <w:r>
          <w:rPr>
            <w:rStyle w:val="Hyperlink"/>
          </w:rPr>
          <w:t xml:space="preserve">https://aclanthology.org/2025.findings-acl.1030.pdf</w:t>
        </w:r>
      </w:hyperlink>
    </w:p>
    <w:p>
      <w:pPr>
        <w:pStyle w:val="BodyText"/>
      </w:pPr>
      <w:bookmarkStart w:id="96" w:name="bib:reasc2026"/>
      <w:bookmarkEnd w:id="96"/>
      <w:r>
        <w:t xml:space="preserve"> </w:t>
      </w:r>
      <w:r>
        <w:t xml:space="preserve">J. Kim, N. Yang, K. Min, and K. Jung,</w:t>
      </w:r>
      <w:r>
        <w:t xml:space="preserve"> </w:t>
      </w:r>
      <w:r>
        <w:t xml:space="preserve">“Reliability-aware adaptive self-consistency for efficient sampling in LLM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, 2026, pp. 21575–21590. </w:t>
      </w:r>
      <w:hyperlink r:id="rId97">
        <w:r>
          <w:rPr>
            <w:rStyle w:val="Hyperlink"/>
          </w:rPr>
          <w:t xml:space="preserve">https://aclanthology.org/2026.findings-acl.1085.pdf</w:t>
        </w:r>
      </w:hyperlink>
    </w:p>
    <w:p>
      <w:pPr>
        <w:pStyle w:val="BodyText"/>
      </w:pPr>
      <w:bookmarkStart w:id="98" w:name="bib:deepconf2025"/>
      <w:bookmarkEnd w:id="98"/>
      <w:r>
        <w:t xml:space="preserve"> </w:t>
      </w:r>
      <w:r>
        <w:t xml:space="preserve">Y. Fu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“Deep think with confidence,”</w:t>
      </w:r>
      <w:r>
        <w:t xml:space="preserve"> </w:t>
      </w:r>
      <w:r>
        <w:t xml:space="preserve">arXiv:2508.15260, 2025. </w:t>
      </w:r>
      <w:hyperlink r:id="rId99">
        <w:r>
          <w:rPr>
            <w:rStyle w:val="Hyperlink"/>
          </w:rPr>
          <w:t xml:space="preserve">https://arxiv.org/pdf/2508.15260</w:t>
        </w:r>
      </w:hyperlink>
    </w:p>
    <w:p>
      <w:pPr>
        <w:pStyle w:val="BodyText"/>
      </w:pPr>
      <w:bookmarkStart w:id="100" w:name="bib:huang2024rankcalibration"/>
      <w:bookmarkEnd w:id="100"/>
      <w:r>
        <w:t xml:space="preserve"> </w:t>
      </w:r>
      <w:r>
        <w:t xml:space="preserve">X. Huang, S. Li, M. Yu, M. Sesia, H. Hassani, I. Lee, O. Bastani, and E. Dobriban,</w:t>
      </w:r>
      <w:r>
        <w:t xml:space="preserve"> </w:t>
      </w:r>
      <w:r>
        <w:t xml:space="preserve">“Uncertainty in language models: Assessment through rank-calibration,”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2024, pp. 284–312. </w:t>
      </w:r>
      <w:hyperlink r:id="rId101">
        <w:r>
          <w:rPr>
            <w:rStyle w:val="Hyperlink"/>
          </w:rPr>
          <w:t xml:space="preserve">https://aclanthology.org/2024.emnlp-main.18.pdf</w:t>
        </w:r>
      </w:hyperlink>
    </w:p>
    <w:p>
      <w:pPr>
        <w:pStyle w:val="BodyText"/>
      </w:pPr>
      <w:bookmarkStart w:id="102" w:name="bib:dawid1979maximum"/>
      <w:bookmarkEnd w:id="102"/>
      <w:r>
        <w:t xml:space="preserve"> </w:t>
      </w:r>
      <w:r>
        <w:t xml:space="preserve">A. P. Dawid and A. M. Skene,</w:t>
      </w:r>
      <w:r>
        <w:t xml:space="preserve"> </w:t>
      </w:r>
      <w:r>
        <w:t xml:space="preserve">“Maximum likelihood estimation of observer error-rates using the EM algorithm,”</w:t>
      </w:r>
      <w:r>
        <w:t xml:space="preserve"> </w:t>
      </w:r>
      <w:r>
        <w:rPr>
          <w:i/>
          <w:iCs/>
        </w:rPr>
        <w:t xml:space="preserve">J. Roy. Statist. Soc. C</w:t>
      </w:r>
      <w:r>
        <w:t xml:space="preserve">, vol. 28, no. 1, pp. 20–28, 1979. </w:t>
      </w:r>
      <w:hyperlink r:id="rId103">
        <w:r>
          <w:rPr>
            <w:rStyle w:val="Hyperlink"/>
          </w:rPr>
          <w:t xml:space="preserve">https://doi.org/10.2307/2346806</w:t>
        </w:r>
      </w:hyperlink>
    </w:p>
    <w:p>
      <w:pPr>
        <w:pStyle w:val="BodyText"/>
      </w:pPr>
      <w:bookmarkStart w:id="104" w:name="bib:parisi2014ranking"/>
      <w:bookmarkEnd w:id="104"/>
      <w:r>
        <w:t xml:space="preserve"> </w:t>
      </w:r>
      <w:r>
        <w:t xml:space="preserve">F. Parisi, F. Strino, B. Nadler, and Y. Kluger,</w:t>
      </w:r>
      <w:r>
        <w:t xml:space="preserve"> </w:t>
      </w:r>
      <w:r>
        <w:t xml:space="preserve">“Ranking and combining multiple predictors without labeled data,”</w:t>
      </w:r>
      <w:r>
        <w:t xml:space="preserve"> </w:t>
      </w:r>
      <w:r>
        <w:rPr>
          <w:i/>
          <w:iCs/>
        </w:rPr>
        <w:t xml:space="preserve">Proc. Natl. Acad. Sci.</w:t>
      </w:r>
      <w:r>
        <w:t xml:space="preserve">, vol. 111, no. 4, pp. 1253–1258, 2014. </w:t>
      </w:r>
      <w:hyperlink r:id="rId105">
        <w:r>
          <w:rPr>
            <w:rStyle w:val="Hyperlink"/>
          </w:rPr>
          <w:t xml:space="preserve">https://pmc.ncbi.nlm.nih.gov/articles/PMC3910607/pdf/pnas.201219097.pdf</w:t>
        </w:r>
      </w:hyperlink>
    </w:p>
    <w:p>
      <w:pPr>
        <w:pStyle w:val="BodyText"/>
      </w:pPr>
      <w:bookmarkStart w:id="106" w:name="bib:li2023diverse"/>
      <w:bookmarkEnd w:id="106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“Making language models better reasoners with step-aware verifier,”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ACL</w:t>
      </w:r>
      <w:r>
        <w:t xml:space="preserve">, 2023. </w:t>
      </w:r>
      <w:hyperlink r:id="rId107">
        <w:r>
          <w:rPr>
            <w:rStyle w:val="Hyperlink"/>
          </w:rPr>
          <w:t xml:space="preserve">https://aclanthology.org/2023.acl-long.291.pdf</w:t>
        </w:r>
      </w:hyperlink>
    </w:p>
    <w:p>
      <w:pPr>
        <w:pStyle w:val="BodyText"/>
      </w:pPr>
      <w:bookmarkStart w:id="108" w:name="bib:aggarwal2023adaptive"/>
      <w:bookmarkEnd w:id="108"/>
      <w:r>
        <w:t xml:space="preserve"> </w:t>
      </w:r>
      <w:r>
        <w:t xml:space="preserve">P. Aggarwal, A. Madaan, Y. Yang, and Mausam,</w:t>
      </w:r>
      <w:r>
        <w:t xml:space="preserve"> </w:t>
      </w:r>
      <w:r>
        <w:t xml:space="preserve">“Let’s sample step by step: Adaptive-consistency for efficient reasoning and coding with</w:t>
      </w:r>
      <w:r>
        <w:t xml:space="preserve"> </w:t>
      </w:r>
      <w:r>
        <w:t xml:space="preserve">LLMs</w:t>
      </w:r>
      <w:r>
        <w:t xml:space="preserve">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EMNLP</w:t>
      </w:r>
      <w:r>
        <w:t xml:space="preserve">, 2023, pp. 12375–12396. </w:t>
      </w:r>
      <w:hyperlink r:id="rId109">
        <w:r>
          <w:rPr>
            <w:rStyle w:val="Hyperlink"/>
          </w:rPr>
          <w:t xml:space="preserve">https://aclanthology.org/2023.emnlp-main.761.pdf</w:t>
        </w:r>
      </w:hyperlink>
    </w:p>
    <w:p>
      <w:pPr>
        <w:pStyle w:val="BodyText"/>
      </w:pPr>
      <w:bookmarkStart w:id="110" w:name="bib:li2024escape"/>
      <w:bookmarkEnd w:id="110"/>
      <w:r>
        <w:t xml:space="preserve"> </w:t>
      </w:r>
      <w:r>
        <w:t xml:space="preserve">Y. Li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“Escape sky-high cost: Early-stopping self-consistency for multi-step reasoning,”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 </w:t>
      </w:r>
      <w:hyperlink r:id="rId111">
        <w:r>
          <w:rPr>
            <w:rStyle w:val="Hyperlink"/>
          </w:rPr>
          <w:t xml:space="preserve">https://arxiv.org/pdf/2401.10480</w:t>
        </w:r>
      </w:hyperlink>
    </w:p>
    <w:p>
      <w:pPr>
        <w:pStyle w:val="BodyText"/>
      </w:pPr>
      <w:bookmarkStart w:id="112" w:name="bib:borda2025"/>
      <w:bookmarkEnd w:id="112"/>
      <w:r>
        <w:t xml:space="preserve"> </w:t>
      </w:r>
      <w:r>
        <w:t xml:space="preserve">Z. Kang, X. Zhao, and D. Song,</w:t>
      </w:r>
      <w:r>
        <w:t xml:space="preserve"> </w:t>
      </w:r>
      <w:r>
        <w:t xml:space="preserve">“Scalable best-of-N selection for large language models via self-certainty,”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2025, arXiv:2502.18581. </w:t>
      </w:r>
      <w:hyperlink r:id="rId113">
        <w:r>
          <w:rPr>
            <w:rStyle w:val="Hyperlink"/>
          </w:rPr>
          <w:t xml:space="preserve">https://proceedings.neurips.cc/paper_files/paper/2025/file/1c7eff166a8e345f664f0faa8f4e4d2e-Paper-Conference.pdf</w:t>
        </w:r>
      </w:hyperlink>
    </w:p>
    <w:p>
      <w:pPr>
        <w:pStyle w:val="BodyText"/>
      </w:pPr>
      <w:bookmarkStart w:id="114" w:name="bib:whitehill2009whose"/>
      <w:bookmarkEnd w:id="114"/>
      <w:r>
        <w:t xml:space="preserve"> </w:t>
      </w:r>
      <w:r>
        <w:t xml:space="preserve">J. Whitehill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“Whose vote should count more: Optimal integration of labels from labelers of unknown expertise,”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2009. </w:t>
      </w:r>
      <w:hyperlink r:id="rId115">
        <w:r>
          <w:rPr>
            <w:rStyle w:val="Hyperlink"/>
          </w:rPr>
          <w:t xml:space="preserve">https://proceedings.neurips.cc/paper_files/paper/2009/file/f899139df5e1059396431415e770c6dd-Paper.pdf</w:t>
        </w:r>
      </w:hyperlink>
    </w:p>
    <w:p>
      <w:pPr>
        <w:pStyle w:val="BodyText"/>
      </w:pPr>
      <w:bookmarkStart w:id="116" w:name="bib:karger2011iterative"/>
      <w:bookmarkEnd w:id="116"/>
      <w:r>
        <w:t xml:space="preserve"> </w:t>
      </w:r>
      <w:r>
        <w:t xml:space="preserve">D. R. Karger, S. Oh, and D. Shah,</w:t>
      </w:r>
      <w:r>
        <w:t xml:space="preserve"> </w:t>
      </w:r>
      <w:r>
        <w:t xml:space="preserve">“Iterative learning for reliable crowdsourcing systems,”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</w:t>
      </w:r>
      <w:r>
        <w:t xml:space="preserve">, 2011. </w:t>
      </w:r>
      <w:hyperlink r:id="rId117">
        <w:r>
          <w:rPr>
            <w:rStyle w:val="Hyperlink"/>
          </w:rPr>
          <w:t xml:space="preserve">https://proceedings.neurips.cc/paper_files/paper/2011/file/c667d53acd899a97a85de0c201ba99be-Paper.pdf</w:t>
        </w:r>
      </w:hyperlink>
    </w:p>
    <w:p>
      <w:pPr>
        <w:pStyle w:val="BodyText"/>
      </w:pPr>
      <w:bookmarkStart w:id="118" w:name="bib:fuse2026"/>
      <w:bookmarkEnd w:id="118"/>
      <w:r>
        <w:t xml:space="preserve"> </w:t>
      </w:r>
      <w:r>
        <w:t xml:space="preserve">J. Lee, V. Ma, S. Zhao, Y. Nair, A. Spector, R. Cohen, and E. J. Candès,</w:t>
      </w:r>
      <w:r>
        <w:t xml:space="preserve"> </w:t>
      </w:r>
      <w:r>
        <w:t xml:space="preserve">“FUSE: Ensembling verifiers with zero labeled data,”</w:t>
      </w:r>
      <w:r>
        <w:t xml:space="preserve"> </w:t>
      </w:r>
      <w:r>
        <w:t xml:space="preserve">arXiv:2604.18547, 2026. </w:t>
      </w:r>
      <w:hyperlink r:id="rId119">
        <w:r>
          <w:rPr>
            <w:rStyle w:val="Hyperlink"/>
          </w:rPr>
          <w:t xml:space="preserve">https://arxiv.org/pdf/2604.18547</w:t>
        </w:r>
      </w:hyperlink>
    </w:p>
    <w:p>
      <w:pPr>
        <w:pStyle w:val="BodyText"/>
      </w:pPr>
      <w:bookmarkStart w:id="120" w:name="bib:beyondmajority2025"/>
      <w:bookmarkEnd w:id="120"/>
      <w:r>
        <w:t xml:space="preserve"> </w:t>
      </w:r>
      <w:r>
        <w:t xml:space="preserve">R. Ai, Y. Pan, D. Simchi-Levi, M. Tambe, and H. Xu,</w:t>
      </w:r>
      <w:r>
        <w:t xml:space="preserve"> </w:t>
      </w:r>
      <w:r>
        <w:t xml:space="preserve">“Beyond majority voting: LLM aggregation by leveraging higher-order information,”</w:t>
      </w:r>
      <w:r>
        <w:t xml:space="preserve"> </w:t>
      </w:r>
      <w:r>
        <w:t xml:space="preserve">arXiv:2510.01499, 2025, accepted to ICML 2026. </w:t>
      </w:r>
      <w:hyperlink r:id="rId121">
        <w:r>
          <w:rPr>
            <w:rStyle w:val="Hyperlink"/>
          </w:rPr>
          <w:t xml:space="preserve">https://arxiv.org/pdf/2510.01499</w:t>
        </w:r>
      </w:hyperlink>
    </w:p>
    <w:p>
      <w:pPr>
        <w:pStyle w:val="BodyText"/>
      </w:pPr>
      <w:bookmarkStart w:id="122" w:name="bib:vanelteren1960"/>
      <w:bookmarkEnd w:id="122"/>
      <w:r>
        <w:t xml:space="preserve"> </w:t>
      </w:r>
      <w:r>
        <w:t xml:space="preserve">P. van Elteren,</w:t>
      </w:r>
      <w:r>
        <w:t xml:space="preserve"> </w:t>
      </w:r>
      <w:r>
        <w:t xml:space="preserve">“On the combination of independent two-sample tests of Wilcoxon,”</w:t>
      </w:r>
      <w:r>
        <w:t xml:space="preserve"> </w:t>
      </w:r>
      <w:r>
        <w:rPr>
          <w:i/>
          <w:iCs/>
        </w:rPr>
        <w:t xml:space="preserve">Bull. Int. Statist. Inst.</w:t>
      </w:r>
      <w:r>
        <w:t xml:space="preserve">, vol. 37, pp. 351–361, 1960. </w:t>
      </w:r>
      <w:hyperlink r:id="rId123">
        <w:r>
          <w:rPr>
            <w:rStyle w:val="Hyperlink"/>
          </w:rPr>
          <w:t xml:space="preserve">https://catalog.hathitrust.org/Record/008896012</w:t>
        </w:r>
      </w:hyperlink>
    </w:p>
    <w:p>
      <w:pPr>
        <w:pStyle w:val="BodyText"/>
      </w:pPr>
      <w:bookmarkStart w:id="124" w:name="bib:james1961estimation"/>
      <w:bookmarkEnd w:id="124"/>
      <w:r>
        <w:t xml:space="preserve"> </w:t>
      </w:r>
      <w:r>
        <w:t xml:space="preserve">W. James and C. Stein,</w:t>
      </w:r>
      <w:r>
        <w:t xml:space="preserve"> </w:t>
      </w:r>
      <w:r>
        <w:t xml:space="preserve">“Estimation with quadratic loss,”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4th Berkeley Symp. Math. Statist. Prob.</w:t>
      </w:r>
      <w:r>
        <w:t xml:space="preserve">, 1961, pp. 361–379. </w:t>
      </w:r>
      <w:hyperlink r:id="rId125">
        <w:r>
          <w:rPr>
            <w:rStyle w:val="Hyperlink"/>
          </w:rPr>
          <w:t xml:space="preserve">https://digitalassets.lib.berkeley.edu/math/ucb/text/math_s4_v1_article-19.pdf</w:t>
        </w:r>
      </w:hyperlink>
    </w:p>
    <w:p>
      <w:pPr>
        <w:pStyle w:val="BodyText"/>
      </w:pPr>
      <w:bookmarkStart w:id="126" w:name="bib:kish1965"/>
      <w:bookmarkEnd w:id="126"/>
      <w:r>
        <w:t xml:space="preserve"> </w:t>
      </w:r>
      <w:r>
        <w:t xml:space="preserve">L. Kish,</w:t>
      </w:r>
      <w:r>
        <w:t xml:space="preserve"> </w:t>
      </w:r>
      <w:r>
        <w:rPr>
          <w:i/>
          <w:iCs/>
        </w:rPr>
        <w:t xml:space="preserve">Survey Sampling</w:t>
      </w:r>
      <w:r>
        <w:t xml:space="preserve">. New York, NY, USA: Wiley, 1965. </w:t>
      </w:r>
      <w:hyperlink r:id="rId127">
        <w:r>
          <w:rPr>
            <w:rStyle w:val="Hyperlink"/>
          </w:rPr>
          <w:t xml:space="preserve">https://www.wiley.com/en-us/Survey+Sampling-p-9780471109495</w:t>
        </w:r>
      </w:hyperlink>
    </w:p>
    <w:p>
      <w:pPr>
        <w:pStyle w:val="BodyText"/>
      </w:pPr>
      <w:bookmarkStart w:id="128" w:name="bib:rao1981analysis"/>
      <w:bookmarkEnd w:id="128"/>
      <w:r>
        <w:t xml:space="preserve"> </w:t>
      </w:r>
      <w:r>
        <w:t xml:space="preserve">J. N. K. Rao and A. J. Scott,</w:t>
      </w:r>
      <w:r>
        <w:t xml:space="preserve"> </w:t>
      </w:r>
      <w:r>
        <w:t xml:space="preserve">“The analysis of categorical data from complex sample surveys,”</w:t>
      </w:r>
      <w:r>
        <w:t xml:space="preserve"> </w:t>
      </w:r>
      <w:r>
        <w:rPr>
          <w:i/>
          <w:iCs/>
        </w:rPr>
        <w:t xml:space="preserve">J. Amer. Statist. Assoc.</w:t>
      </w:r>
      <w:r>
        <w:t xml:space="preserve">, vol. 76, no. 374, pp. 221–230, 1981. </w:t>
      </w:r>
      <w:hyperlink r:id="rId129">
        <w:r>
          <w:rPr>
            <w:rStyle w:val="Hyperlink"/>
          </w:rPr>
          <w:t xml:space="preserve">https://doi.org/10.1080/01621459.1981.10477633</w:t>
        </w:r>
      </w:hyperlink>
    </w:p>
    <w:p>
      <w:pPr>
        <w:pStyle w:val="BodyText"/>
      </w:pPr>
      <w:bookmarkStart w:id="130" w:name="bib:gsm8k2021"/>
      <w:bookmarkEnd w:id="130"/>
      <w:r>
        <w:t xml:space="preserve"> </w:t>
      </w:r>
      <w:r>
        <w:t xml:space="preserve">K. Cobbe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“Training verifiers to solve math word problems,”</w:t>
      </w:r>
      <w:r>
        <w:t xml:space="preserve"> </w:t>
      </w:r>
      <w:r>
        <w:t xml:space="preserve">arXiv:2110.14168, 2021.</w:t>
      </w:r>
    </w:p>
    <w:p>
      <w:pPr>
        <w:pStyle w:val="BodyText"/>
      </w:pPr>
      <w:bookmarkStart w:id="131" w:name="bib:math500"/>
      <w:bookmarkEnd w:id="131"/>
      <w:r>
        <w:t xml:space="preserve"> </w:t>
      </w:r>
      <w:r>
        <w:t xml:space="preserve">D. Hendrycks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“Measuring mathematical problem solving with the MATH dataset,”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NeurIPS Datasets and Benchmarks</w:t>
      </w:r>
      <w:r>
        <w:t xml:space="preserve">, 2021. </w:t>
      </w:r>
      <w:hyperlink r:id="rId132">
        <w:r>
          <w:rPr>
            <w:rStyle w:val="Hyperlink"/>
          </w:rPr>
          <w:t xml:space="preserve">https://datasets-benchmarks-proceedings.neurips.cc/paper/2021/file/be83ab3ecd0db773eb2dc1b0a17836a1-Paper-round2.pdf</w:t>
        </w:r>
      </w:hyperlink>
    </w:p>
    <w:p>
      <w:pPr>
        <w:pStyle w:val="BodyText"/>
      </w:pPr>
      <w:bookmarkStart w:id="133" w:name="bib:lightman2024verify"/>
      <w:bookmarkEnd w:id="133"/>
      <w:r>
        <w:t xml:space="preserve"> </w:t>
      </w:r>
      <w:r>
        <w:t xml:space="preserve">H. Lightman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“Let’s verify step by step,”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2024. (MATH-500 test subset.)</w:t>
      </w:r>
    </w:p>
    <w:p>
      <w:pPr>
        <w:pStyle w:val="BodyText"/>
      </w:pPr>
      <w:bookmarkStart w:id="134" w:name="bib:leetcodedataset"/>
      <w:bookmarkEnd w:id="134"/>
      <w:r>
        <w:t xml:space="preserve"> </w:t>
      </w:r>
      <w:r>
        <w:t xml:space="preserve">Y. Xia</w:t>
      </w:r>
      <w:r>
        <w:t xml:space="preserve"> </w:t>
      </w:r>
      <w:r>
        <w:rPr>
          <w:i/>
          <w:iCs/>
        </w:rPr>
        <w:t xml:space="preserve">et al.</w:t>
      </w:r>
      <w:r>
        <w:t xml:space="preserve">,</w:t>
      </w:r>
      <w:r>
        <w:t xml:space="preserve"> </w:t>
      </w:r>
      <w:r>
        <w:t xml:space="preserve">“LeetCodeDataset: A temporal dataset for robust evaluation and efficient training of code LLMs,”</w:t>
      </w:r>
      <w:r>
        <w:t xml:space="preserve"> </w:t>
      </w:r>
      <w:r>
        <w:t xml:space="preserve">arXiv:2504.14655, 2025. </w:t>
      </w:r>
      <w:hyperlink r:id="rId135">
        <w:r>
          <w:rPr>
            <w:rStyle w:val="Hyperlink"/>
          </w:rPr>
          <w:t xml:space="preserve">https://arxiv.org/pdf/2504.14655</w:t>
        </w:r>
      </w:hyperlink>
    </w:p>
    <w:p>
      <w:pPr>
        <w:pStyle w:val="BodyText"/>
      </w:pPr>
      <w:bookmarkStart w:id="136" w:name="bib:kuhn2023semantic"/>
      <w:bookmarkEnd w:id="136"/>
      <w:r>
        <w:t xml:space="preserve"> </w:t>
      </w:r>
      <w:r>
        <w:t xml:space="preserve">L. Kuhn, Y. Gal, and S. Farquhar,</w:t>
      </w:r>
      <w:r>
        <w:t xml:space="preserve"> </w:t>
      </w:r>
      <w:r>
        <w:t xml:space="preserve">“Semantic uncertainty: Linguistic invariances for uncertainty estimation in natural language generation,”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 ICLR</w:t>
      </w:r>
      <w:r>
        <w:t xml:space="preserve">, 2023. </w:t>
      </w:r>
      <w:hyperlink r:id="rId137">
        <w:r>
          <w:rPr>
            <w:rStyle w:val="Hyperlink"/>
          </w:rPr>
          <w:t xml:space="preserve">https://arxiv.org/pdf/2302.09664</w:t>
        </w:r>
      </w:hyperlink>
    </w:p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50" Target="media/rId50.png" /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https://aclanthology.org/2023.acl-long.291.pdf" TargetMode="External" /><Relationship Type="http://schemas.openxmlformats.org/officeDocument/2006/relationships/hyperlink" Id="rId89" Target="https://aclanthology.org/2023.emnlp-main.330.pdf" TargetMode="External" /><Relationship Type="http://schemas.openxmlformats.org/officeDocument/2006/relationships/hyperlink" Id="rId109" Target="https://aclanthology.org/2023.emnlp-main.761.pdf" TargetMode="External" /><Relationship Type="http://schemas.openxmlformats.org/officeDocument/2006/relationships/hyperlink" Id="rId101" Target="https://aclanthology.org/2024.emnlp-main.18.pdf" TargetMode="External" /><Relationship Type="http://schemas.openxmlformats.org/officeDocument/2006/relationships/hyperlink" Id="rId95" Target="https://aclanthology.org/2025.findings-acl.1030.pdf" TargetMode="External" /><Relationship Type="http://schemas.openxmlformats.org/officeDocument/2006/relationships/hyperlink" Id="rId97" Target="https://aclanthology.org/2026.findings-acl.1085.pdf" TargetMode="External" /><Relationship Type="http://schemas.openxmlformats.org/officeDocument/2006/relationships/hyperlink" Id="rId87" Target="https://arxiv.org/pdf/2203.11171" TargetMode="External" /><Relationship Type="http://schemas.openxmlformats.org/officeDocument/2006/relationships/hyperlink" Id="rId93" Target="https://arxiv.org/pdf/2207.05221" TargetMode="External" /><Relationship Type="http://schemas.openxmlformats.org/officeDocument/2006/relationships/hyperlink" Id="rId137" Target="https://arxiv.org/pdf/2302.09664" TargetMode="External" /><Relationship Type="http://schemas.openxmlformats.org/officeDocument/2006/relationships/hyperlink" Id="rId111" Target="https://arxiv.org/pdf/2401.10480" TargetMode="External" /><Relationship Type="http://schemas.openxmlformats.org/officeDocument/2006/relationships/hyperlink" Id="rId135" Target="https://arxiv.org/pdf/2504.14655" TargetMode="External" /><Relationship Type="http://schemas.openxmlformats.org/officeDocument/2006/relationships/hyperlink" Id="rId99" Target="https://arxiv.org/pdf/2508.15260" TargetMode="External" /><Relationship Type="http://schemas.openxmlformats.org/officeDocument/2006/relationships/hyperlink" Id="rId121" Target="https://arxiv.org/pdf/2510.01499" TargetMode="External" /><Relationship Type="http://schemas.openxmlformats.org/officeDocument/2006/relationships/hyperlink" Id="rId119" Target="https://arxiv.org/pdf/2604.18547" TargetMode="External" /><Relationship Type="http://schemas.openxmlformats.org/officeDocument/2006/relationships/hyperlink" Id="rId123" Target="https://catalog.hathitrust.org/Record/008896012" TargetMode="External" /><Relationship Type="http://schemas.openxmlformats.org/officeDocument/2006/relationships/hyperlink" Id="rId132" Target="https://datasets-benchmarks-proceedings.neurips.cc/paper/2021/file/be83ab3ecd0db773eb2dc1b0a17836a1-Paper-round2.pdf" TargetMode="External" /><Relationship Type="http://schemas.openxmlformats.org/officeDocument/2006/relationships/hyperlink" Id="rId125" Target="https://digitalassets.lib.berkeley.edu/math/ucb/text/math_s4_v1_article-19.pdf" TargetMode="External" /><Relationship Type="http://schemas.openxmlformats.org/officeDocument/2006/relationships/hyperlink" Id="rId129" Target="https://doi.org/10.1080/01621459.1981.10477633" TargetMode="External" /><Relationship Type="http://schemas.openxmlformats.org/officeDocument/2006/relationships/hyperlink" Id="rId103" Target="https://doi.org/10.2307/2346806" TargetMode="External" /><Relationship Type="http://schemas.openxmlformats.org/officeDocument/2006/relationships/hyperlink" Id="rId82" Target="https://github.com/vito1317/adaptive-reasoning-consensus" TargetMode="External" /><Relationship Type="http://schemas.openxmlformats.org/officeDocument/2006/relationships/hyperlink" Id="rId91" Target="https://openreview.net/pdf?id=gjeQKFxFpZ" TargetMode="External" /><Relationship Type="http://schemas.openxmlformats.org/officeDocument/2006/relationships/hyperlink" Id="rId105" Target="https://pmc.ncbi.nlm.nih.gov/articles/PMC3910607/pdf/pnas.201219097.pdf" TargetMode="External" /><Relationship Type="http://schemas.openxmlformats.org/officeDocument/2006/relationships/hyperlink" Id="rId115" Target="https://proceedings.neurips.cc/paper_files/paper/2009/file/f899139df5e1059396431415e770c6dd-Paper.pdf" TargetMode="External" /><Relationship Type="http://schemas.openxmlformats.org/officeDocument/2006/relationships/hyperlink" Id="rId117" Target="https://proceedings.neurips.cc/paper_files/paper/2011/file/c667d53acd899a97a85de0c201ba99be-Paper.pdf" TargetMode="External" /><Relationship Type="http://schemas.openxmlformats.org/officeDocument/2006/relationships/hyperlink" Id="rId113" Target="https://proceedings.neurips.cc/paper_files/paper/2025/file/1c7eff166a8e345f664f0faa8f4e4d2e-Paper-Conference.pdf" TargetMode="External" /><Relationship Type="http://schemas.openxmlformats.org/officeDocument/2006/relationships/hyperlink" Id="rId127" Target="https://www.wiley.com/en-us/Survey+Sampling-p-978047110949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TACT: Trust-Anchored Confidence Tempering for Self-Consistency Voting in Large Language Models</dc:title>
  <dc:creator>Wei-Chen Ko (柯瑋宸, vito1317) Independent Researcher</dc:creator>
  <cp:keywords/>
  <dcterms:created xsi:type="dcterms:W3CDTF">2026-08-02T11:51:06Z</dcterms:created>
  <dcterms:modified xsi:type="dcterms:W3CDTF">2026-08-02T11:51:06Z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