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3.png" ContentType="image/png"/>
  <Override PartName="/word/media/rId4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 warmup-thresholded filtering</w:t>
      </w:r>
      <w:r>
        <w:t xml:space="preserve"> </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6"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5" w:name="anchor-properties"/>
    <w:p>
      <w:pPr>
        <w:pStyle w:val="Heading2"/>
      </w:pPr>
      <w:r>
        <w:t xml:space="preserve">Anchor properties</w:t>
      </w:r>
    </w:p>
    <w:bookmarkStart w:id="2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2"/>
    <w:bookmarkStart w:id="2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3"/>
    <w:bookmarkStart w:id="2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4"/>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5"/>
    <w:bookmarkEnd w:id="26"/>
    <w:bookmarkStart w:id="31" w:name="sec:lf"/>
    <w:p>
      <w:pPr>
        <w:pStyle w:val="Heading1"/>
      </w:pPr>
      <w:r>
        <w:t xml:space="preserve">Label-Free Estimation</w:t>
      </w:r>
    </w:p>
    <w:bookmarkStart w:id="2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7"/>
    <w:bookmarkStart w:id="29" w:name="sign-consistency-and-its-boundary"/>
    <w:p>
      <w:pPr>
        <w:pStyle w:val="Heading2"/>
      </w:pPr>
      <w:r>
        <w:t xml:space="preserve">Sign consistency and its boundary</w:t>
      </w:r>
    </w:p>
    <w:bookmarkStart w:id="2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8"/>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29"/>
    <w:bookmarkStart w:id="3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0"/>
    <w:bookmarkEnd w:id="31"/>
    <w:bookmarkStart w:id="37" w:name="sec:hetero"/>
    <w:p>
      <w:pPr>
        <w:pStyle w:val="Heading1"/>
      </w:pPr>
      <w:r>
        <w:t xml:space="preserve">Heterogeneity: Impossibility and Escape</w:t>
      </w:r>
    </w:p>
    <w:bookmarkStart w:id="3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2"/>
    <w:bookmarkStart w:id="3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3"/>
    <w:bookmarkStart w:id="3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4"/>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5"/>
    <w:bookmarkStart w:id="3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6"/>
    <w:bookmarkEnd w:id="37"/>
    <w:bookmarkStart w:id="4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8"/>
    <w:bookmarkStart w:id="42" w:name="fig:sweep"/>
    <w:p>
      <w:pPr>
        <w:pStyle w:val="CaptionedFigure"/>
      </w:pPr>
      <w:r>
        <w:drawing>
          <wp:inline>
            <wp:extent cx="5334000" cy="3225209"/>
            <wp:effectExtent b="0" l="0" r="0" t="0"/>
            <wp:docPr descr="" title="" id="40" name="Picture"/>
            <a:graphic>
              <a:graphicData uri="http://schemas.openxmlformats.org/drawingml/2006/picture">
                <pic:pic>
                  <pic:nvPicPr>
                    <pic:cNvPr descr="figs/tact_sweep.png" id="41" name="Picture"/>
                    <pic:cNvPicPr>
                      <a:picLocks noChangeArrowheads="1" noChangeAspect="1"/>
                    </pic:cNvPicPr>
                  </pic:nvPicPr>
                  <pic:blipFill>
                    <a:blip r:embed="rId3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2"/>
    <w:bookmarkEnd w:id="43"/>
    <w:bookmarkStart w:id="59" w:name="sec:results"/>
    <w:p>
      <w:pPr>
        <w:pStyle w:val="Heading1"/>
      </w:pPr>
      <w:r>
        <w:t xml:space="preserve">Results</w:t>
      </w:r>
    </w:p>
    <w:bookmarkStart w:id="4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4"/>
    <w:bookmarkEnd w:id="45"/>
    <w:bookmarkStart w:id="5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49" w:name="fig:adv"/>
    <w:p>
      <w:pPr>
        <w:pStyle w:val="CaptionedFigure"/>
      </w:pPr>
      <w:r>
        <w:drawing>
          <wp:inline>
            <wp:extent cx="5334000" cy="2726266"/>
            <wp:effectExtent b="0" l="0" r="0" t="0"/>
            <wp:docPr descr="" title="" id="47" name="Picture"/>
            <a:graphic>
              <a:graphicData uri="http://schemas.openxmlformats.org/drawingml/2006/picture">
                <pic:pic>
                  <pic:nvPicPr>
                    <pic:cNvPr descr="figs/tact_adversarial.png" id="48" name="Picture"/>
                    <pic:cNvPicPr>
                      <a:picLocks noChangeArrowheads="1" noChangeAspect="1"/>
                    </pic:cNvPicPr>
                  </pic:nvPicPr>
                  <pic:blipFill>
                    <a:blip r:embed="rId4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49"/>
    <w:bookmarkEnd w:id="50"/>
    <w:bookmarkStart w:id="5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1"/>
    <w:bookmarkStart w:id="55" w:name="fig:group"/>
    <w:p>
      <w:pPr>
        <w:pStyle w:val="CaptionedFigure"/>
      </w:pPr>
      <w:r>
        <w:drawing>
          <wp:inline>
            <wp:extent cx="5334000" cy="2133600"/>
            <wp:effectExtent b="0" l="0" r="0" t="0"/>
            <wp:docPr descr="" title="" id="53" name="Picture"/>
            <a:graphic>
              <a:graphicData uri="http://schemas.openxmlformats.org/drawingml/2006/picture">
                <pic:pic>
                  <pic:nvPicPr>
                    <pic:cNvPr descr="figs/group_eval.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5"/>
    <w:bookmarkEnd w:id="56"/>
    <w:bookmarkStart w:id="5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7"/>
    <w:bookmarkStart w:id="58" w:name="sec:real"/>
    <w:p>
      <w:pPr>
        <w:pStyle w:val="Heading2"/>
      </w:pPr>
      <w:r>
        <w:t xml:space="preserve">Real-trace validation</w:t>
      </w:r>
    </w:p>
    <w:p>
      <w:pPr>
        <w:pStyle w:val="FirstParagraph"/>
      </w:pPr>
      <w:r>
        <w:t xml:space="preserve">Validation on real traces used Claude Haiku 4.5 as the frozen model: 100 items</w:t>
      </w:r>
      <w:r>
        <w:t xml:space="preserve"> </w:t>
      </w:r>
      <w:r>
        <w:t xml:space="preserve">(50 GSM8K</w:t>
      </w:r>
      <w:r>
        <w:t xml:space="preserve"> </w:t>
      </w:r>
      <w:r>
        <w:t xml:space="preserve">, 50 CommonsenseQA),</w:t>
      </w:r>
      <w:r>
        <w:t xml:space="preserve"> </w:t>
      </w:r>
      <w:r>
        <w:rPr>
          <w:i/>
          <w:iCs/>
        </w:rPr>
        <w:t xml:space="preserve">12</w:t>
      </w:r>
      <w:r>
        <w:t xml:space="preserve"> </w:t>
      </w:r>
      <w:r>
        <w:t xml:space="preserve">independent</w:t>
      </w:r>
      <w:r>
        <w:t xml:space="preserve"> </w:t>
      </w:r>
      <w:r>
        <w:t xml:space="preserve">chain-of-thought traces per item with verbalized confidence (1</w:t>
      </w:r>
      <w:r>
        <w:t xml:space="preserve">,</w:t>
      </w:r>
      <w:r>
        <w:t xml:space="preserve">200 traces</w:t>
      </w:r>
      <w:r>
        <w:t xml:space="preserve"> </w:t>
      </w:r>
      <w:r>
        <w:t xml:space="preserve">total), evaluated at</w:t>
      </w:r>
      <w:r>
        <w:t xml:space="preserve"> </w:t>
      </w:r>
      <m:oMath>
        <m:r>
          <m:t>K</m:t>
        </m:r>
        <m:r>
          <m:rPr>
            <m:sty m:val="p"/>
          </m:rPr>
          <m:t>=</m:t>
        </m:r>
        <m:r>
          <m:t>12</m:t>
        </m:r>
      </m:oMath>
      <w:r>
        <w:t xml:space="preserve"> </w:t>
      </w:r>
      <w:r>
        <w:t xml:space="preserve">with a 40/60 dev/test split. Four findings.</w:t>
      </w:r>
    </w:p>
    <w:p>
      <w:pPr>
        <w:pStyle w:val="BodyText"/>
      </w:pPr>
      <w:r>
        <w:rPr>
          <w:i/>
          <w:iCs/>
        </w:rPr>
        <w:t xml:space="preserve">(a) The calibration–discrimination distinction reverses on real data,</w:t>
      </w:r>
      <w:r>
        <w:rPr>
          <w:i/>
          <w:iCs/>
        </w:rPr>
        <w:t xml:space="preserve"> </w:t>
      </w:r>
      <w:r>
        <w:rPr>
          <w:i/>
          <w:iCs/>
        </w:rPr>
        <w:t xml:space="preserve">and</w:t>
      </w:r>
      <w:r>
        <w:rPr>
          <w:i/>
          <w:iCs/>
        </w:rPr>
        <w:t xml:space="preserve"> </w:t>
      </w:r>
      <w:r>
        <w:rPr>
          <w:i/>
          <w:iCs/>
          <w:smallCaps/>
        </w:rPr>
        <w:t xml:space="preserve">tact</w:t>
      </w:r>
      <w:r>
        <w:rPr>
          <w:i/>
          <w:iCs/>
        </w:rPr>
        <w:t xml:space="preserve"> </w:t>
      </w:r>
      <w:r>
        <w:rPr>
          <w:i/>
          <w:iCs/>
        </w:rPr>
        <w:t xml:space="preserve">reads it correctly.</w:t>
      </w:r>
      <w:r>
        <w:t xml:space="preserve"> </w:t>
      </w:r>
      <w:r>
        <w:t xml:space="preserve">The channel is</w:t>
      </w:r>
      <w:r>
        <w:t xml:space="preserve"> </w:t>
      </w:r>
      <w:r>
        <w:rPr>
          <w:i/>
          <w:iCs/>
        </w:rPr>
        <w:t xml:space="preserve">extremely well calibrated</w:t>
      </w:r>
      <w:r>
        <w:t xml:space="preserve"> </w:t>
      </w:r>
      <w:r>
        <w:t xml:space="preserve">in the usual sense:</w:t>
      </w:r>
      <w:r>
        <w:t xml:space="preserve"> </w:t>
      </w:r>
      <m:oMath>
        <m:r>
          <m:rPr>
            <m:sty m:val="p"/>
          </m:rPr>
          <m:t>E</m:t>
        </m:r>
        <m:r>
          <m:rPr>
            <m:sty m:val="p"/>
          </m:rPr>
          <m:t>C</m:t>
        </m:r>
        <m:r>
          <m:rPr>
            <m:sty m:val="p"/>
          </m:rPr>
          <m:t>E</m:t>
        </m:r>
        <m:r>
          <m:rPr>
            <m:sty m:val="p"/>
          </m:rPr>
          <m:t>=</m:t>
        </m:r>
        <m:r>
          <m:t>0.016</m:t>
        </m:r>
      </m:oMath>
      <w:r>
        <w:t xml:space="preserve">, far inside the</w:t>
      </w:r>
      <w:r>
        <w:t xml:space="preserve"> </w:t>
      </w:r>
      <m:oMath>
        <m:r>
          <m:t>0.10</m:t>
        </m:r>
      </m:oMath>
      <w:r>
        <w:t xml:space="preserve"> </w:t>
      </w:r>
      <w:r>
        <w:t xml:space="preserve">gate, so a</w:t>
      </w:r>
      <w:r>
        <w:t xml:space="preserve"> </w:t>
      </w:r>
      <w:r>
        <w:t xml:space="preserve">binary ECE gate</w:t>
      </w:r>
      <w:r>
        <w:t xml:space="preserve"> </w:t>
      </w:r>
      <w:r>
        <w:rPr>
          <w:i/>
          <w:iCs/>
        </w:rPr>
        <w:t xml:space="preserve">opens</w:t>
      </w:r>
      <w:r>
        <w:t xml:space="preserve"> </w:t>
      </w:r>
      <w:r>
        <w:t xml:space="preserve">and hands the channel to CISC. Yet the measured</w:t>
      </w:r>
      <w:r>
        <w:t xml:space="preserve"> </w:t>
      </w:r>
      <w:r>
        <w:t xml:space="preserve">within-item discrimination is</w:t>
      </w:r>
      <w:r>
        <w:t xml:space="preserve"> </w:t>
      </w:r>
      <m:oMath>
        <m:acc>
          <m:accPr>
            <m:chr m:val="̂"/>
          </m:accPr>
          <m:e>
            <m:r>
              <m:t>D</m:t>
            </m:r>
          </m:e>
        </m:acc>
        <m:r>
          <m:rPr>
            <m:sty m:val="p"/>
          </m:rPr>
          <m:t>=</m:t>
        </m:r>
        <m:r>
          <m:rPr>
            <m:sty m:val="p"/>
          </m:rPr>
          <m:t>−</m:t>
        </m:r>
        <m:r>
          <m:t>0.219</m:t>
        </m:r>
      </m:oMath>
      <w:r>
        <w:t xml:space="preserve"> </w:t>
      </w:r>
      <w:r>
        <w:t xml:space="preserve">with</w:t>
      </w:r>
      <w:r>
        <w:t xml:space="preserve"> </w:t>
      </w:r>
      <m:oMath>
        <m:r>
          <m:rPr>
            <m:sty m:val="p"/>
          </m:rPr>
          <m:t>S</m:t>
        </m:r>
        <m:r>
          <m:rPr>
            <m:sty m:val="p"/>
          </m:rPr>
          <m:t>E</m:t>
        </m:r>
        <m:r>
          <m:rPr>
            <m:sty m:val="p"/>
          </m:rPr>
          <m:t>=</m:t>
        </m:r>
        <m:r>
          <m:t>0.176</m:t>
        </m:r>
      </m:oMath>
      <w:r>
        <w:t xml:space="preserve"> </w:t>
      </w:r>
      <w:r>
        <w:t xml:space="preserve">(</w:t>
      </w:r>
      <m:oMath>
        <m:r>
          <m:t>z</m:t>
        </m:r>
        <m:r>
          <m:rPr>
            <m:sty m:val="p"/>
          </m:rPr>
          <m:t>=</m:t>
        </m:r>
        <m:r>
          <m:rPr>
            <m:sty m:val="p"/>
          </m:rPr>
          <m:t>−</m:t>
        </m:r>
        <m:r>
          <m:t>1.24</m:t>
        </m:r>
      </m:oMath>
      <w:r>
        <w:t xml:space="preserve">) — no usable signal, and what little there is points the</w:t>
      </w:r>
      <w:r>
        <w:t xml:space="preserve"> </w:t>
      </w:r>
      <w:r>
        <w:rPr>
          <w:i/>
          <w:iCs/>
        </w:rPr>
        <w:t xml:space="preserve">wrong way</w:t>
      </w:r>
      <w:r>
        <w:t xml:space="preserve"> </w:t>
      </w:r>
      <w:r>
        <w:t xml:space="preserve">(math</w:t>
      </w:r>
      <w:r>
        <w:t xml:space="preserve"> </w:t>
      </w:r>
      <m:oMath>
        <m:r>
          <m:rPr>
            <m:sty m:val="p"/>
          </m:rPr>
          <m:t>−</m:t>
        </m:r>
        <m:r>
          <m:t>0.515</m:t>
        </m:r>
      </m:oMath>
      <w:r>
        <w:t xml:space="preserve">, commonsense</w:t>
      </w:r>
      <w:r>
        <w:t xml:space="preserve"> </w:t>
      </w:r>
      <m:oMath>
        <m:r>
          <m:rPr>
            <m:sty m:val="p"/>
          </m:rPr>
          <m:t>−</m:t>
        </m:r>
        <m:r>
          <m:t>0.173</m:t>
        </m:r>
      </m:oMath>
      <w:r>
        <w:t xml:space="preserve">; both groups negative).</w:t>
      </w:r>
      <w:r>
        <w:t xml:space="preserve"> </w:t>
      </w:r>
      <w:r>
        <w:t xml:space="preserve">This is the exact mirror image of the synthetic case in which ECE wrongly</w:t>
      </w:r>
      <w:r>
        <w:t xml:space="preserve"> </w:t>
      </w:r>
      <w:r>
        <w:rPr>
          <w:i/>
          <w:iCs/>
        </w:rPr>
        <w:t xml:space="preserve">closed</w:t>
      </w:r>
      <w:r>
        <w:t xml:space="preserve"> </w:t>
      </w:r>
      <w:r>
        <w:t xml:space="preserve">the gate on a discriminative channel (Section </w:t>
      </w:r>
      <w:hyperlink w:anchor="sec:setup">
        <w:r>
          <w:rPr>
            <w:rStyle w:val="Hyperlink"/>
          </w:rPr>
          <w:t xml:space="preserve">3</w:t>
        </w:r>
      </w:hyperlink>
      <w:r>
        <w:t xml:space="preserve">):</w:t>
      </w:r>
      <w:r>
        <w:t xml:space="preserve"> </w:t>
      </w:r>
      <w:r>
        <w:t xml:space="preserve">on real traces ECE wrongly</w:t>
      </w:r>
      <w:r>
        <w:t xml:space="preserve"> </w:t>
      </w:r>
      <w:r>
        <w:rPr>
          <w:i/>
          <w:iCs/>
        </w:rPr>
        <w:t xml:space="preserve">opens</w:t>
      </w:r>
      <w:r>
        <w:t xml:space="preserve"> </w:t>
      </w:r>
      <w:r>
        <w:t xml:space="preserve">it on a non-discriminative one.</w:t>
      </w:r>
      <w:r>
        <w:t xml:space="preserve"> </w:t>
      </w:r>
      <w:r>
        <w:t xml:space="preserve">Calibration is uninformative about voting utility in both directions, and a</w:t>
      </w:r>
      <w:r>
        <w:t xml:space="preserve"> </w:t>
      </w:r>
      <w:r>
        <w:t xml:space="preserve">signed discrimination statistic is what distinguishes them.</w:t>
      </w:r>
    </w:p>
    <w:p>
      <w:pPr>
        <w:pStyle w:val="BodyText"/>
      </w:pPr>
      <w:r>
        <w:rPr>
          <w:i/>
          <w:iCs/>
        </w:rPr>
        <w:t xml:space="preserve">(b) The dead zone fires, and costs exactly nothing.</w:t>
      </w:r>
      <w:r>
        <w:t xml:space="preserve"> </w:t>
      </w:r>
      <w:r>
        <w:t xml:space="preserve">With</w:t>
      </w:r>
      <w:r>
        <w:t xml:space="preserve"> </w:t>
      </w:r>
      <m:oMath>
        <m:r>
          <m:rPr>
            <m:sty m:val="p"/>
          </m:rPr>
          <m:t>|</m:t>
        </m:r>
        <m:r>
          <m:t>z</m:t>
        </m:r>
        <m:r>
          <m:rPr>
            <m:sty m:val="p"/>
          </m:rPr>
          <m:t>|</m:t>
        </m:r>
        <m:r>
          <m:rPr>
            <m:sty m:val="p"/>
          </m:rPr>
          <m:t>&lt;</m:t>
        </m:r>
        <m:r>
          <m:t>ν</m:t>
        </m:r>
      </m:oMath>
      <w:r>
        <w:t xml:space="preserve">,</w:t>
      </w:r>
      <w:r>
        <w:t xml:space="preserve"> </w:t>
      </w:r>
      <w:r>
        <w:rPr>
          <w:smallCaps/>
        </w:rPr>
        <w:t xml:space="preserve">tact</w:t>
      </w:r>
      <w:r>
        <w:t xml:space="preserve">-dev,</w:t>
      </w:r>
      <w:r>
        <w:t xml:space="preserve"> </w:t>
      </w:r>
      <w:r>
        <w:rPr>
          <w:smallCaps/>
        </w:rPr>
        <w:t xml:space="preserve">tact</w:t>
      </w:r>
      <w:r>
        <w:t xml:space="preserve">-LF and</w:t>
      </w:r>
      <w:r>
        <w:t xml:space="preserve"> </w:t>
      </w:r>
      <w:r>
        <w:rPr>
          <w:smallCaps/>
        </w:rPr>
        <w:t xml:space="preserve">tact</w:t>
      </w:r>
      <w:r>
        <w:t xml:space="preserve">-group all return</w:t>
      </w:r>
      <w:r>
        <w:t xml:space="preserve"> </w:t>
      </w:r>
      <m:oMath>
        <m:r>
          <m:t>γ</m:t>
        </m:r>
        <m:r>
          <m:rPr>
            <m:sty m:val="p"/>
          </m:rPr>
          <m:t>=</m:t>
        </m:r>
        <m:r>
          <m:t>0</m:t>
        </m:r>
      </m:oMath>
      <w:r>
        <w:t xml:space="preserve"> </w:t>
      </w:r>
      <w:r>
        <w:t xml:space="preserve">and are bit-identical</w:t>
      </w:r>
      <w:r>
        <w:t xml:space="preserve"> </w:t>
      </w:r>
      <w:r>
        <w:t xml:space="preserve">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w:t>
      </w:r>
      <w:r>
        <w:t xml:space="preserve"> </w:t>
      </w:r>
      <m:oMath>
        <m:r>
          <m:t>p</m:t>
        </m:r>
        <m:r>
          <m:rPr>
            <m:sty m:val="p"/>
          </m:rPr>
          <m:t>=</m:t>
        </m:r>
        <m:r>
          <m:t>1</m:t>
        </m:r>
      </m:oMath>
      <w:r>
        <w:t xml:space="preserve">). All methods score</w:t>
      </w:r>
      <w:r>
        <w:t xml:space="preserve"> </w:t>
      </w:r>
      <m:oMath>
        <m:r>
          <m:t>0.917</m:t>
        </m:r>
      </m:oMath>
      <w:r>
        <w:t xml:space="preserve">. This is the pre-registered null-direction prediction of</w:t>
      </w:r>
      <w:r>
        <w:t xml:space="preserve"> </w:t>
      </w:r>
      <w:r>
        <w:t xml:space="preserve">Section </w:t>
      </w:r>
      <w:hyperlink w:anchor="sec:limits">
        <w:r>
          <w:rPr>
            <w:rStyle w:val="Hyperlink"/>
          </w:rPr>
          <w:t xml:space="preserve">9</w:t>
        </w:r>
      </w:hyperlink>
      <w:r>
        <w:t xml:space="preserve"> </w:t>
      </w:r>
      <w:r>
        <w:t xml:space="preserve">confirmed on real data: where the channel carries no</w:t>
      </w:r>
      <w:r>
        <w:t xml:space="preserve"> </w:t>
      </w:r>
      <w:r>
        <w:t xml:space="preserve">signal, the method is free.</w:t>
      </w:r>
    </w:p>
    <w:p>
      <w:pPr>
        <w:pStyle w:val="BodyText"/>
      </w:pPr>
      <w:r>
        <w:rPr>
          <w:i/>
          <w:iCs/>
        </w:rPr>
        <w:t xml:space="preserve">(c) Saturation is the binding constraint, not the estimator.</w:t>
      </w:r>
      <w:r>
        <w:t xml:space="preserve"> </w:t>
      </w:r>
      <w:r>
        <w:t xml:space="preserve">Trace-level</w:t>
      </w:r>
      <w:r>
        <w:t xml:space="preserve"> </w:t>
      </w:r>
      <w:r>
        <w:t xml:space="preserve">accuracy is</w:t>
      </w:r>
      <w:r>
        <w:t xml:space="preserve"> </w:t>
      </w:r>
      <m:oMath>
        <m:r>
          <m:t>0.958</m:t>
        </m:r>
      </m:oMath>
      <w:r>
        <w:t xml:space="preserve"> </w:t>
      </w:r>
      <w:r>
        <w:t xml:space="preserve">on GSM8K and</w:t>
      </w:r>
      <w:r>
        <w:t xml:space="preserve"> </w:t>
      </w:r>
      <m:oMath>
        <m:r>
          <m:t>0.847</m:t>
        </m:r>
      </m:oMath>
      <w:r>
        <w:t xml:space="preserve"> </w:t>
      </w:r>
      <w:r>
        <w:t xml:space="preserve">on CommonsenseQA, so only</w:t>
      </w:r>
      <w:r>
        <w:t xml:space="preserve"> </w:t>
      </w:r>
      <m:oMath>
        <m:r>
          <m:t>12</m:t>
        </m:r>
      </m:oMath>
      <w:r>
        <w:t xml:space="preserve"> </w:t>
      </w:r>
      <w:r>
        <w:t xml:space="preserve">of</w:t>
      </w:r>
      <w:r>
        <w:t xml:space="preserve"> </w:t>
      </w:r>
      <m:oMath>
        <m:r>
          <m:t>100</m:t>
        </m:r>
      </m:oMath>
      <w:r>
        <w:t xml:space="preserve"> </w:t>
      </w:r>
      <w:r>
        <w:t xml:space="preserve">items contain both a correct and an incorrect trace — the only items a</w:t>
      </w:r>
      <w:r>
        <w:t xml:space="preserve"> </w:t>
      </w:r>
      <w:r>
        <w:t xml:space="preserve">within-item rank statistic can use. The estimator is not underpowered by</w:t>
      </w:r>
      <w:r>
        <w:t xml:space="preserve"> </w:t>
      </w:r>
      <w:r>
        <w:t xml:space="preserve">design; the benchmark simply does not present the model with enough genuine</w:t>
      </w:r>
      <w:r>
        <w:t xml:space="preserve"> </w:t>
      </w:r>
      <w:r>
        <w:t xml:space="preserve">uncertainty. Exposing non-null coupling on a strong model requires harder item</w:t>
      </w:r>
      <w:r>
        <w:t xml:space="preserve"> </w:t>
      </w:r>
      <w:r>
        <w:t xml:space="preserve">pools, not more traces per item.</w:t>
      </w:r>
    </w:p>
    <w:p>
      <w:pPr>
        <w:pStyle w:val="BodyText"/>
      </w:pPr>
      <w:r>
        <w:rPr>
          <w:i/>
          <w:iCs/>
        </w:rPr>
        <w:t xml:space="preserve">(d) Verbalized confidence is tie-heavy.</w:t>
      </w:r>
      <w:r>
        <w:t xml:space="preserve"> </w:t>
      </w:r>
      <w:r>
        <w:t xml:space="preserve">Two values (</w:t>
      </w:r>
      <m:oMath>
        <m:r>
          <m:t>0.99</m:t>
        </m:r>
      </m:oMath>
      <w:r>
        <w:t xml:space="preserve">,</w:t>
      </w:r>
      <w:r>
        <w:t xml:space="preserve"> </w:t>
      </w:r>
      <m:oMath>
        <m:r>
          <m:t>0.95</m:t>
        </m:r>
      </m:oMath>
      <w:r>
        <w:t xml:space="preserve">)</w:t>
      </w:r>
      <w:r>
        <w:t xml:space="preserve"> </w:t>
      </w:r>
      <w:r>
        <w:t xml:space="preserve">account for</w:t>
      </w:r>
      <w:r>
        <w:t xml:space="preserve"> </w:t>
      </w:r>
      <m:oMath>
        <m:r>
          <m:t>49</m:t>
        </m:r>
        <m:r>
          <m:rPr>
            <m:sty m:val="p"/>
          </m:rPr>
          <m:t>%</m:t>
        </m:r>
      </m:oMath>
      <w:r>
        <w:t xml:space="preserve"> </w:t>
      </w:r>
      <w:r>
        <w:t xml:space="preserve">of all reports, activating the tie-safe degeneration path of</w:t>
      </w:r>
      <w:r>
        <w:t xml:space="preserve"> </w:t>
      </w:r>
      <w:hyperlink w:anchor="eq:vdw">
        <w:r>
          <w:rPr>
            <w:rStyle w:val="Hyperlink"/>
          </w:rPr>
          <w:t xml:space="preserve">[eq:vdw]</w:t>
        </w:r>
      </w:hyperlink>
      <w:r>
        <w:t xml:space="preserve"> </w:t>
      </w:r>
      <w:r>
        <w:t xml:space="preserve">on many items.</w:t>
      </w:r>
    </w:p>
    <w:p>
      <w:pPr>
        <w:pStyle w:val="BodyText"/>
      </w:pPr>
      <w:r>
        <w:t xml:space="preserve">Scope: one model, two benchmarks,</w:t>
      </w:r>
      <w:r>
        <w:t xml:space="preserve"> </w:t>
      </w:r>
      <m:oMath>
        <m:r>
          <m:t>K</m:t>
        </m:r>
        <m:r>
          <m:rPr>
            <m:sty m:val="p"/>
          </m:rPr>
          <m:t>=</m:t>
        </m:r>
        <m:r>
          <m:t>12</m:t>
        </m:r>
      </m:oMath>
      <w:r>
        <w:t xml:space="preserve">. The result is a clean confirmation</w:t>
      </w:r>
      <w:r>
        <w:t xml:space="preserve"> </w:t>
      </w:r>
      <w:r>
        <w:t xml:space="preserve">of the null-direction prediction and of the calibration–discrimination</w:t>
      </w:r>
      <w:r>
        <w:t xml:space="preserve"> </w:t>
      </w:r>
      <w:r>
        <w:t xml:space="preserve">argument; it is</w:t>
      </w:r>
      <w:r>
        <w:t xml:space="preserve"> </w:t>
      </w:r>
      <w:r>
        <w:rPr>
          <w:i/>
          <w:iCs/>
        </w:rPr>
        <w:t xml:space="preserve">not</w:t>
      </w:r>
      <w:r>
        <w:t xml:space="preserve"> </w:t>
      </w:r>
      <w:r>
        <w:t xml:space="preserve">evidence that</w:t>
      </w:r>
      <w:r>
        <w:t xml:space="preserve"> </w:t>
      </w:r>
      <w:r>
        <w:rPr>
          <w:smallCaps/>
        </w:rPr>
        <w:t xml:space="preserve">tact</w:t>
      </w:r>
      <w:r>
        <w:t xml:space="preserve"> </w:t>
      </w:r>
      <w:r>
        <w:t xml:space="preserve">improves accuracy on real</w:t>
      </w:r>
      <w:r>
        <w:t xml:space="preserve"> </w:t>
      </w:r>
      <w:r>
        <w:t xml:space="preserve">traces, which remains untested for want of a benchmark where the channel is</w:t>
      </w:r>
      <w:r>
        <w:t xml:space="preserve"> </w:t>
      </w:r>
      <w:r>
        <w:t xml:space="preserve">both informative and the model uncertain.</w:t>
      </w:r>
    </w:p>
    <w:bookmarkEnd w:id="58"/>
    <w:bookmarkEnd w:id="59"/>
    <w:bookmarkStart w:id="60"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 confident-echo ambiguity is fundamental (Proposition </w:t>
      </w:r>
      <w:hyperlink w:anchor="prop:twoworld">
        <w:r>
          <w:rPr>
            <w:rStyle w:val="Hyperlink"/>
          </w:rPr>
          <w:t xml:space="preserve">7</w:t>
        </w:r>
      </w:hyperlink>
      <w:r>
        <w:t xml:space="preserve">); the alarms detect the verbatim case only, and paraphrased echo would evade them—the semi-label-free mode is the honest fix at</w:t>
      </w:r>
      <w:r>
        <w:t xml:space="preserve"> </w:t>
      </w:r>
      <m:oMath>
        <m:r>
          <m:rPr>
            <m:sty m:val="p"/>
          </m:rPr>
          <m:t>∼</m:t>
        </m:r>
        <m:r>
          <m:t>50</m:t>
        </m:r>
      </m:oMath>
      <w:r>
        <w:t xml:space="preserve"> </w:t>
      </w:r>
      <w:r>
        <w:t xml:space="preserve">labels.</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bookmarkEnd w:id="60"/>
    <w:bookmarkStart w:id="61"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1"/>
    <w:bookmarkStart w:id="62"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3" Target="media/rId13.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2026-07-30T16:17:00Z</dcterms:created>
  <dcterms:modified xsi:type="dcterms:W3CDTF">2026-07-30T16:17:00Z</dcterms:modified>
</cp:coreProperties>
</file>

<file path=docProps/custom.xml><?xml version="1.0" encoding="utf-8"?>
<Properties xmlns="http://schemas.openxmlformats.org/officeDocument/2006/custom-properties" xmlns:vt="http://schemas.openxmlformats.org/officeDocument/2006/docPropsVTypes"/>
</file>