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14.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improves on majority voting when a frozen</w:t>
      </w:r>
      <w:r>
        <w:t xml:space="preserve"> </w:t>
      </w:r>
      <w:r>
        <w:t xml:space="preserve">model’s self-reported confidence is calibrated in</w:t>
      </w:r>
      <w:r>
        <w:t xml:space="preserve"> </w:t>
      </w:r>
      <w:r>
        <w:rPr>
          <w:i/>
          <w:iCs/>
        </w:rPr>
        <w:t xml:space="preserve">direction</w:t>
      </w:r>
      <w:r>
        <w:t xml:space="preserve">. Every</w:t>
      </w:r>
      <w:r>
        <w:t xml:space="preserve"> </w:t>
      </w:r>
      <w:r>
        <w:t xml:space="preserve">published scheme is monotone increasing in confidence, so an anti-correlated</w:t>
      </w:r>
      <w:r>
        <w:t xml:space="preserve"> </w:t>
      </w:r>
      <w:r>
        <w:t xml:space="preserve">channel poisons the vote, and binary calibration gates survive inversion only</w:t>
      </w:r>
      <w:r>
        <w:t xml:space="preserve"> </w:t>
      </w:r>
      <w:r>
        <w:t xml:space="preserve">by discarding discriminative signal.</w:t>
      </w:r>
      <w:r>
        <w:t xml:space="preserve"> </w:t>
      </w:r>
      <w:r>
        <w:rPr>
          <w:smallCaps/>
        </w:rPr>
        <w:t xml:space="preserve">tact</w:t>
      </w:r>
      <w:r>
        <w:t xml:space="preserve"> </w:t>
      </w:r>
      <w:r>
        <w:t xml:space="preserve">derives the vote exponent from the</w:t>
      </w:r>
      <w:r>
        <w:t xml:space="preserve"> </w:t>
      </w:r>
      <w:r>
        <w:t xml:space="preserve">measured,</w:t>
      </w:r>
      <w:r>
        <w:t xml:space="preserve"> </w:t>
      </w:r>
      <w:r>
        <w:rPr>
          <w:i/>
          <w:iCs/>
        </w:rPr>
        <w:t xml:space="preserve">signed</w:t>
      </w:r>
      <w:r>
        <w:t xml:space="preserve">, within-item discrimination of the channel: a pooled</w:t>
      </w:r>
      <w:r>
        <w:t xml:space="preserve"> </w:t>
      </w:r>
      <w:r>
        <w:t xml:space="preserve">van Elteren Somers’</w:t>
      </w:r>
      <w:r>
        <w:t xml:space="preserve"> </w:t>
      </w:r>
      <m:oMath>
        <m:r>
          <m:t>D</m:t>
        </m:r>
      </m:oMath>
      <w:r>
        <w:t xml:space="preserve"> </w:t>
      </w:r>
      <w:r>
        <w:t xml:space="preserve">with an item-clustered standard error, positive-part</w:t>
      </w:r>
      <w:r>
        <w:t xml:space="preserve"> </w:t>
      </w:r>
      <w:r>
        <w:t xml:space="preserve">James–Stein shrinkage, and a Bayes-discriminant link, which at the default</w:t>
      </w:r>
      <w:r>
        <w:t xml:space="preserve"> </w:t>
      </w:r>
      <w:r>
        <w:t xml:space="preserve">base rate</w:t>
      </w:r>
      <w:r>
        <w:t xml:space="preserve"> </w:t>
      </w:r>
      <m:oMath>
        <m:acc>
          <m:accPr>
            <m:chr m:val="‾"/>
          </m:accPr>
          <m:e>
            <m:r>
              <m:t>p</m:t>
            </m:r>
          </m:e>
        </m:acc>
        <m:r>
          <m:rPr>
            <m:sty m:val="p"/>
          </m:rPr>
          <m:t>=</m:t>
        </m:r>
        <m:f>
          <m:fPr>
            <m:type m:val="lin"/>
          </m:fPr>
          <m:num>
            <m:r>
              <m:t>1</m:t>
            </m:r>
          </m:num>
          <m:den>
            <m:r>
              <m:t>2</m:t>
            </m:r>
          </m:den>
        </m:f>
      </m:oMath>
      <w:r>
        <w:t xml:space="preserve"> </w:t>
      </w:r>
      <w:r>
        <w:t xml:space="preserve">collapses to</w:t>
      </w:r>
      <w:r>
        <w:t xml:space="preserve"> </w:t>
      </w:r>
      <m:oMath>
        <m:r>
          <m:t>γ</m:t>
        </m:r>
        <m:r>
          <m:rPr>
            <m:sty m:val="p"/>
          </m:rPr>
          <m:t>=</m:t>
        </m:r>
        <m:r>
          <m:t>z</m:t>
        </m:r>
        <m:rad>
          <m:radPr>
            <m:degHide m:val="on"/>
          </m:radPr>
          <m:deg/>
          <m:e>
            <m:r>
              <m:t>2</m:t>
            </m:r>
            <m:r>
              <m:rPr>
                <m:sty m:val="p"/>
              </m:rPr>
              <m:t>+</m:t>
            </m:r>
            <m:sSup>
              <m:e>
                <m:r>
                  <m:t>z</m:t>
                </m:r>
              </m:e>
              <m:sup>
                <m:r>
                  <m:t>2</m:t>
                </m:r>
              </m:sup>
            </m:sSup>
          </m:e>
        </m:rad>
      </m:oMath>
      <w:r>
        <w:t xml:space="preserve"> </w:t>
      </w:r>
      <w:r>
        <w:t xml:space="preserve">with</w:t>
      </w:r>
      <w:r>
        <w:t xml:space="preserve"> </w:t>
      </w:r>
      <m:oMath>
        <m:r>
          <m:t>z</m:t>
        </m:r>
      </m:oMath>
      <w:r>
        <w:t xml:space="preserve"> </w:t>
      </w:r>
      <w:r>
        <w:t xml:space="preserve">the</w:t>
      </w:r>
      <w:r>
        <w:t xml:space="preserve"> </w:t>
      </w:r>
      <w:r>
        <w:t xml:space="preserve">probit of the shrunk pooled AUC. Inside the shrinkage dead zone the vote is</w:t>
      </w:r>
      <w:r>
        <w:t xml:space="preserve"> </w:t>
      </w:r>
      <w:r>
        <w:t xml:space="preserve">bit-identical to plain self-consistency. A label-free variant estimates the</w:t>
      </w:r>
      <w:r>
        <w:t xml:space="preserve"> </w:t>
      </w:r>
      <w:r>
        <w:t xml:space="preserve">sign from agreement pseudo-labels under an attenuation identity that</w:t>
      </w:r>
      <w:r>
        <w:t xml:space="preserve"> </w:t>
      </w:r>
      <w:r>
        <w:t xml:space="preserve">guarantees sign consistency while the plurality-error rate stays below one</w:t>
      </w:r>
      <w:r>
        <w:t xml:space="preserve"> </w:t>
      </w:r>
      <w:r>
        <w:t xml:space="preserve">half; past that boundary it mis-signs, which the paper measures and reports.</w:t>
      </w:r>
      <w:r>
        <w:t xml:space="preserve"> </w:t>
      </w:r>
      <w:r>
        <w:t xml:space="preserve">On a synthetic-oracle harness it recovers anti-correlated channels that pin</w:t>
      </w:r>
      <w:r>
        <w:t xml:space="preserve"> </w:t>
      </w:r>
      <w:r>
        <w:t xml:space="preserve">every published protocol to the majority floor (</w:t>
      </w:r>
      <m:oMath>
        <m:r>
          <m:t>1.000</m:t>
        </m:r>
      </m:oMath>
      <w:r>
        <w:t xml:space="preserve"> </w:t>
      </w:r>
      <w:r>
        <w:t xml:space="preserve">vs. </w:t>
      </w:r>
      <m:oMath>
        <m:r>
          <m:t>0.807</m:t>
        </m:r>
      </m:oMath>
      <w:r>
        <w:t xml:space="preserve">) and</w:t>
      </w:r>
      <w:r>
        <w:t xml:space="preserve"> </w:t>
      </w:r>
      <w:r>
        <w:t xml:space="preserve">cracks the heterogeneity floor with zero paired losses (</w:t>
      </w:r>
      <m:oMath>
        <m:r>
          <m:t>0.940</m:t>
        </m:r>
      </m:oMath>
      <w:r>
        <w:t xml:space="preserve"> </w:t>
      </w:r>
      <w:r>
        <w:t xml:space="preserve">vs. </w:t>
      </w:r>
      <m:oMath>
        <m:r>
          <m:t>0.808</m:t>
        </m:r>
      </m:oMath>
      <w:r>
        <w:t xml:space="preserve">).</w:t>
      </w:r>
      <w:r>
        <w:t xml:space="preserve"> </w:t>
      </w:r>
      <w:r>
        <w:t xml:space="preserve">Against a dev-picked</w:t>
      </w:r>
      <w:r>
        <w:t xml:space="preserve"> </w:t>
      </w:r>
      <w:r>
        <w:rPr>
          <w:i/>
          <w:iCs/>
        </w:rPr>
        <w:t xml:space="preserve">signed</w:t>
      </w:r>
      <w:r>
        <w:t xml:space="preserve"> </w:t>
      </w:r>
      <w:r>
        <w:t xml:space="preserve">grid, which the sweep shows is a far</w:t>
      </w:r>
      <w:r>
        <w:t xml:space="preserve"> </w:t>
      </w:r>
      <w:r>
        <w:t xml:space="preserve">stronger baseline than the published protocols, the advantage narrows to</w:t>
      </w:r>
      <w:r>
        <w:t xml:space="preserve"> </w:t>
      </w:r>
      <w:r>
        <w:t xml:space="preserve">distortion, echo, and label-free operation. Two real-trace campaigns then</w:t>
      </w:r>
      <w:r>
        <w:t xml:space="preserve"> </w:t>
      </w:r>
      <w:r>
        <w:t xml:space="preserve">bound the setting: the channel is null on saturated benchmarks</w:t>
      </w:r>
      <w:r>
        <w:t xml:space="preserve"> </w:t>
      </w:r>
      <w:r>
        <w:t xml:space="preserve">(</w:t>
      </w:r>
      <m:oMath>
        <m:r>
          <m:t>z</m:t>
        </m:r>
        <m:r>
          <m:rPr>
            <m:sty m:val="p"/>
          </m:rPr>
          <m:t>=</m:t>
        </m:r>
        <m:r>
          <m:rPr>
            <m:sty m:val="p"/>
          </m:rPr>
          <m:t>−</m:t>
        </m:r>
        <m:r>
          <m:t>1.24</m:t>
        </m:r>
      </m:oMath>
      <w:r>
        <w:t xml:space="preserve">) and positive on competition mathematics (</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yet the stratum any such method can act on measures</w:t>
      </w:r>
      <w:r>
        <w:t xml:space="preserve"> </w:t>
      </w:r>
      <m:oMath>
        <m:r>
          <m:t>3</m:t>
        </m:r>
      </m:oMath>
      <w:r>
        <w:t xml:space="preserve">–</w:t>
      </w:r>
      <m:oMath>
        <m:r>
          <m:t>7.5</m:t>
        </m:r>
        <m:r>
          <m:rPr>
            <m:sty m:val="p"/>
          </m:rPr>
          <m:t>%</m:t>
        </m:r>
      </m:oMath>
      <w:r>
        <w:t xml:space="preserve"> </w:t>
      </w:r>
      <w:r>
        <w:t xml:space="preserve">of items across five substrates in two domains, so abstention is the correct</w:t>
      </w:r>
      <w:r>
        <w:t xml:space="preserve"> </w:t>
      </w:r>
      <w:r>
        <w:t xml:space="preserve">default and the dead zone implements it.</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 [</w:t>
      </w:r>
      <w:hyperlink w:anchor="bib:wang2023selfconsistency">
        <w:r>
          <w:rPr>
            <w:rStyle w:val="Hyperlink"/>
          </w:rPr>
          <w:t xml:space="preserve">1</w:t>
        </w:r>
      </w:hyperlink>
      <w:r>
        <w:t xml:space="preserve">] 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 (verbalized [</w:t>
      </w:r>
      <w:hyperlink w:anchor="bib:tian2023just">
        <w:r>
          <w:rPr>
            <w:rStyle w:val="Hyperlink"/>
          </w:rPr>
          <w:t xml:space="preserve">2</w:t>
        </w:r>
      </w:hyperlink>
      <w:r>
        <w:t xml:space="preserve">,</w:t>
      </w:r>
      <w:hyperlink w:anchor="bib:xiong2024can">
        <w:r>
          <w:rPr>
            <w:rStyle w:val="Hyperlink"/>
          </w:rPr>
          <w:t xml:space="preserve">3</w:t>
        </w:r>
      </w:hyperlink>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w:t>
      </w:r>
      <w:hyperlink w:anchor="bib:kadavath2022language">
        <w:r>
          <w:rPr>
            <w:rStyle w:val="Hyperlink"/>
          </w:rPr>
          <w:t xml:space="preserve">4</w:t>
        </w:r>
      </w:hyperlink>
      <w:r>
        <w:t xml:space="preserve">]), a natural refinement is to weight votes by confidence. Confidence-Informed Self-Consistency (CISC) [</w:t>
      </w:r>
      <w:hyperlink w:anchor="bib:taubenfeld2025cisc">
        <w:r>
          <w:rPr>
            <w:rStyle w:val="Hyperlink"/>
          </w:rPr>
          <w:t xml:space="preserve">5</w:t>
        </w:r>
      </w:hyperlink>
      <w:r>
        <w:t xml:space="preserve">] 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 is monotone</w:t>
      </w:r>
      <w:r>
        <w:t xml:space="preserve"> </w:t>
      </w:r>
      <w:r>
        <w:rPr>
          <w:i/>
          <w:iCs/>
        </w:rPr>
        <w:t xml:space="preserve">increasing</w:t>
      </w:r>
      <w:r>
        <w:t xml:space="preserve"> </w:t>
      </w:r>
      <w:r>
        <w:t xml:space="preserve">in confidence, including CISC’s softmax weights,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 a binary dev-set gate that disables the channel when calibration error is high, survives the inversion but discards discriminative signal wholesale: a systematically under-confident yet perfectly ranked channel fails an ECE gate for reasons irrelevant to voting utility [</w:t>
      </w:r>
      <w:hyperlink w:anchor="bib:taubenfeld2025cisc">
        <w:r>
          <w:rPr>
            <w:rStyle w:val="Hyperlink"/>
          </w:rPr>
          <w:t xml:space="preserve">5</w:t>
        </w:r>
      </w:hyperlink>
      <w:r>
        <w:t xml:space="preserve">,</w:t>
      </w:r>
      <w:hyperlink w:anchor="bib:huang2024rankcalibration">
        <w:r>
          <w:rPr>
            <w:rStyle w:val="Hyperlink"/>
          </w:rPr>
          <w:t xml:space="preserve">8</w:t>
        </w:r>
      </w:hyperlink>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that scalar, with its uncertainty, 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best exponent in the tested raw-value grid</w:t>
      </w:r>
      <w:r>
        <w:t xml:space="preserve"> </w:t>
      </w:r>
      <m:oMath>
        <m:r>
          <m:rPr>
            <m:sty m:val="p"/>
          </m:rPr>
          <m:t>{</m:t>
        </m:r>
        <m:r>
          <m:t>0.25</m:t>
        </m:r>
        <m:r>
          <m:rPr>
            <m:sty m:val="p"/>
          </m:rPr>
          <m:t>,</m:t>
        </m:r>
        <m:r>
          <m:t>0.5</m:t>
        </m:r>
        <m:r>
          <m:rPr>
            <m:sty m:val="p"/>
          </m:rPr>
          <m:t>,</m:t>
        </m:r>
        <m:r>
          <m:t>1</m:t>
        </m:r>
        <m:r>
          <m:rPr>
            <m:sty m:val="p"/>
          </m:rPr>
          <m:t>,</m:t>
        </m:r>
        <m:r>
          <m:t>2</m:t>
        </m:r>
        <m:r>
          <m:rPr>
            <m:sty m:val="p"/>
          </m:rPr>
          <m:t>,</m:t>
        </m:r>
        <m:r>
          <m:t>4</m:t>
        </m:r>
        <m:r>
          <m:rPr>
            <m:sty m:val="p"/>
          </m:rPr>
          <m:t>}</m:t>
        </m:r>
      </m:oMath>
      <w:r>
        <w:t xml:space="preserve"> </w:t>
      </w:r>
      <w:r>
        <w:t xml:space="preserve">(</w:t>
      </w:r>
      <m:oMath>
        <m:r>
          <m:t>1.000</m:t>
        </m:r>
      </m:oMath>
      <w:r>
        <w:t xml:space="preserve"> </w:t>
      </w:r>
      <w:r>
        <w:t xml:space="preserve">vs. </w:t>
      </w:r>
      <m:oMath>
        <m:r>
          <m:t>0.965</m:t>
        </m:r>
      </m:oMath>
      <w:r>
        <w:t xml:space="preserve">); that grid optimum lies at the largest exponent tried, so the comparison bounds the grid, not the whole family.</w:t>
      </w:r>
    </w:p>
    <w:p>
      <w:pPr>
        <w:pStyle w:val="BodyText"/>
      </w:pPr>
      <w:r>
        <w:rPr>
          <w:b/>
          <w:bCs/>
        </w:rPr>
        <w:t xml:space="preserve">C2: Label-free estimation of the signed reliability.</w:t>
      </w:r>
      <w:r>
        <w:t xml:space="preserve"> </w:t>
      </w:r>
      <w:r>
        <w:t xml:space="preserve">The crowdsourcing lineage estimates annotator reliability from cross-annotator covariance [</w:t>
      </w:r>
      <w:hyperlink w:anchor="bib:dawid1979maximum">
        <w:r>
          <w:rPr>
            <w:rStyle w:val="Hyperlink"/>
          </w:rPr>
          <w:t xml:space="preserve">9</w:t>
        </w:r>
      </w:hyperlink>
      <w:r>
        <w:t xml:space="preserve">,</w:t>
      </w:r>
      <w:hyperlink w:anchor="bib:parisi2014ranking">
        <w:r>
          <w:rPr>
            <w:rStyle w:val="Hyperlink"/>
          </w:rPr>
          <w:t xml:space="preserve">10</w:t>
        </w:r>
      </w:hyperlink>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three cells: monotone distortion, confident echo, and label-free operation, which no grid can perform.</w:t>
      </w:r>
    </w:p>
    <w:p>
      <w:pPr>
        <w:pStyle w:val="BodyText"/>
      </w:pPr>
      <w:r>
        <w:rPr>
          <w:b/>
          <w:bCs/>
        </w:rPr>
        <w:t xml:space="preserve">C5: A measurement of the addressable stratum, and what it implies.</w:t>
      </w:r>
      <w:r>
        <w:t xml:space="preserve"> </w:t>
      </w:r>
      <w:r>
        <w:t xml:space="preserve">Two real-trace campaigns and a five-substrate window measurement bound what</w:t>
      </w:r>
      <w:r>
        <w:t xml:space="preserve"> </w:t>
      </w:r>
      <w:r>
        <w:rPr>
          <w:i/>
          <w:iCs/>
        </w:rPr>
        <w:t xml:space="preserve">any</w:t>
      </w:r>
      <w:r>
        <w:t xml:space="preserve"> </w:t>
      </w:r>
      <w:r>
        <w:t xml:space="preserve">label-free aggregation method can do, not only</w:t>
      </w:r>
      <w:r>
        <w:t xml:space="preserve"> </w:t>
      </w:r>
      <w:r>
        <w:rPr>
          <w:smallCaps/>
        </w:rPr>
        <w:t xml:space="preserve">tact</w:t>
      </w:r>
      <w:r>
        <w:t xml:space="preserve">. The</w:t>
      </w:r>
      <w:r>
        <w:t xml:space="preserve"> </w:t>
      </w:r>
      <w:r>
        <w:t xml:space="preserve">verbalized-confidence channel is null on saturated benchmarks</w:t>
      </w:r>
      <w:r>
        <w:t xml:space="preserve"> </w:t>
      </w:r>
      <w:r>
        <w:t xml:space="preserve">(</w:t>
      </w:r>
      <m:oMath>
        <m:acc>
          <m:accPr>
            <m:chr m:val="̂"/>
          </m:accPr>
          <m:e>
            <m:r>
              <m:t>D</m:t>
            </m:r>
          </m:e>
        </m:acc>
        <m:r>
          <m:rPr>
            <m:sty m:val="p"/>
          </m:rPr>
          <m:t>=</m:t>
        </m:r>
        <m:r>
          <m:rPr>
            <m:sty m:val="p"/>
          </m:rPr>
          <m:t>−</m:t>
        </m:r>
        <m:r>
          <m:t>0.219</m:t>
        </m:r>
      </m:oMath>
      <w:r>
        <w:t xml:space="preserve">,</w:t>
      </w:r>
      <w:r>
        <w:t xml:space="preserve"> </w:t>
      </w:r>
      <m:oMath>
        <m:r>
          <m:t>z</m:t>
        </m:r>
        <m:r>
          <m:rPr>
            <m:sty m:val="p"/>
          </m:rPr>
          <m:t>=</m:t>
        </m:r>
        <m:r>
          <m:rPr>
            <m:sty m:val="p"/>
          </m:rPr>
          <m:t>−</m:t>
        </m:r>
        <m:r>
          <m:t>1.24</m:t>
        </m:r>
      </m:oMath>
      <w:r>
        <w:t xml:space="preserve">) and positive on competition mathematics</w:t>
      </w:r>
      <w:r>
        <w:t xml:space="preserve"> </w:t>
      </w:r>
      <w:r>
        <w:t xml:space="preserve">(</w:t>
      </w:r>
      <m:oMath>
        <m:acc>
          <m:accPr>
            <m:chr m:val="̂"/>
          </m:accPr>
          <m:e>
            <m:r>
              <m:t>D</m:t>
            </m:r>
          </m:e>
        </m:acc>
        <m:r>
          <m:rPr>
            <m:sty m:val="p"/>
          </m:rPr>
          <m:t>=</m:t>
        </m:r>
        <m:r>
          <m:rPr>
            <m:sty m:val="p"/>
          </m:rPr>
          <m:t>+</m:t>
        </m:r>
        <m:r>
          <m:t>0.250</m:t>
        </m:r>
      </m:oMath>
      <w:r>
        <w:t xml:space="preserve">,</w:t>
      </w:r>
      <w:r>
        <w:t xml:space="preserve"> </w:t>
      </w:r>
      <m:oMath>
        <m:r>
          <m:t>z</m:t>
        </m:r>
        <m:r>
          <m:rPr>
            <m:sty m:val="p"/>
          </m:rPr>
          <m:t>=</m:t>
        </m:r>
        <m:r>
          <m:rPr>
            <m:sty m:val="p"/>
          </m:rPr>
          <m:t>+</m:t>
        </m:r>
        <m:r>
          <m:t>2.54</m:t>
        </m:r>
      </m:oMath>
      <w:r>
        <w:t xml:space="preserve">), so the premise of this line of work holds where</w:t>
      </w:r>
      <w:r>
        <w:t xml:space="preserve"> </w:t>
      </w:r>
      <w:r>
        <w:t xml:space="preserve">the model is genuinely uncertain. The stratum on which such a method can act</w:t>
      </w:r>
      <w:r>
        <w:t xml:space="preserve"> </w:t>
      </w:r>
      <w:r>
        <w:t xml:space="preserve">is nonetheless</w:t>
      </w:r>
      <w:r>
        <w:t xml:space="preserve"> </w:t>
      </w:r>
      <m:oMath>
        <m:r>
          <m:t>3</m:t>
        </m:r>
      </m:oMath>
      <w:r>
        <w:t xml:space="preserve">–</w:t>
      </w:r>
      <m:oMath>
        <m:r>
          <m:t>7.5</m:t>
        </m:r>
        <m:r>
          <m:rPr>
            <m:sty m:val="p"/>
          </m:rPr>
          <m:t>%</m:t>
        </m:r>
      </m:oMath>
      <w:r>
        <w:t xml:space="preserve"> </w:t>
      </w:r>
      <w:r>
        <w:t xml:space="preserve">of items on every substrate tried, in two domains,</w:t>
      </w:r>
      <w:r>
        <w:t xml:space="preserve"> </w:t>
      </w:r>
      <w:r>
        <w:t xml:space="preserve">and does not widen as items harden: they pass from saturated straight to</w:t>
      </w:r>
      <w:r>
        <w:t xml:space="preserve"> </w:t>
      </w:r>
      <w:r>
        <w:t xml:space="preserve">capability-limited. On both real substrates the in-pool oracle itself cannot</w:t>
      </w:r>
      <w:r>
        <w:t xml:space="preserve"> </w:t>
      </w:r>
      <w:r>
        <w:t xml:space="preserve">clear the pre-registered endpoint, which makes abstention the correct default</w:t>
      </w:r>
      <w:r>
        <w:t xml:space="preserve"> </w:t>
      </w:r>
      <w:r>
        <w:t xml:space="preserve">rather than a conservative one, and</w:t>
      </w:r>
      <w:r>
        <w:t xml:space="preserve"> </w:t>
      </w:r>
      <w:r>
        <w:rPr>
          <w:smallCaps/>
        </w:rPr>
        <w:t xml:space="preserve">tact</w:t>
      </w:r>
      <w:r>
        <w:t xml:space="preserve"> </w:t>
      </w:r>
      <w:r>
        <w:t xml:space="preserve">abstained on both</w:t>
      </w:r>
      <w:r>
        <w:t xml:space="preserve"> </w:t>
      </w:r>
      <w:r>
        <w:t xml:space="preserve">(Sections </w:t>
      </w:r>
      <w:hyperlink w:anchor="sec:real">
        <w:r>
          <w:rPr>
            <w:rStyle w:val="Hyperlink"/>
          </w:rPr>
          <w:t xml:space="preserve">8.6</w:t>
        </w:r>
      </w:hyperlink>
      <w:r>
        <w:t xml:space="preserve">–</w:t>
      </w:r>
      <w:hyperlink w:anchor="sec:window">
        <w:r>
          <w:rPr>
            <w:rStyle w:val="Hyperlink"/>
          </w:rPr>
          <w:t xml:space="preserve">8.8</w:t>
        </w:r>
      </w:hyperlink>
      <w:r>
        <w:t xml:space="preserve">).</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w:t>
      </w:r>
      <w:hyperlink w:anchor="bib:wang2023selfconsistency">
        <w:r>
          <w:rPr>
            <w:rStyle w:val="Hyperlink"/>
          </w:rPr>
          <w:t xml:space="preserve">1</w:t>
        </w:r>
      </w:hyperlink>
      <w:r>
        <w:t xml:space="preserve">] treats sampled traces as i.i.d. votes. CISC [</w:t>
      </w:r>
      <w:hyperlink w:anchor="bib:taubenfeld2025cisc">
        <w:r>
          <w:rPr>
            <w:rStyle w:val="Hyperlink"/>
          </w:rPr>
          <w:t xml:space="preserve">5</w:t>
        </w:r>
      </w:hyperlink>
      <w:r>
        <w:t xml:space="preserve">] weights votes by softmax-normalized confidence with a temperature tuned on a labeled split, and its WQD metric makes the discrimination-vs-calibration point that also motivates this work; the rank-calibration line [</w:t>
      </w:r>
      <w:hyperlink w:anchor="bib:huang2024rankcalibration">
        <w:r>
          <w:rPr>
            <w:rStyle w:val="Hyperlink"/>
          </w:rPr>
          <w:t xml:space="preserve">8</w:t>
        </w:r>
      </w:hyperlink>
      <w:r>
        <w:t xml:space="preserve">] reaches the same conclusion independently. Weighted variants [</w:t>
      </w:r>
      <w:hyperlink w:anchor="bib:li2023diverse">
        <w:r>
          <w:rPr>
            <w:rStyle w:val="Hyperlink"/>
          </w:rPr>
          <w:t xml:space="preserve">11</w:t>
        </w:r>
      </w:hyperlink>
      <w:r>
        <w:t xml:space="preserve">,</w:t>
      </w:r>
      <w:hyperlink w:anchor="bib:borda2025">
        <w:r>
          <w:rPr>
            <w:rStyle w:val="Hyperlink"/>
          </w:rPr>
          <w:t xml:space="preserve">12</w:t>
        </w:r>
      </w:hyperlink>
      <w:r>
        <w:t xml:space="preserve">] and early-stopping families [</w:t>
      </w:r>
      <w:hyperlink w:anchor="bib:aggarwal2023adaptive">
        <w:r>
          <w:rPr>
            <w:rStyle w:val="Hyperlink"/>
          </w:rPr>
          <w:t xml:space="preserve">13</w:t>
        </w:r>
      </w:hyperlink>
      <w:r>
        <w:t xml:space="preserve">,</w:t>
      </w:r>
      <w:hyperlink w:anchor="bib:li2024escape">
        <w:r>
          <w:rPr>
            <w:rStyle w:val="Hyperlink"/>
          </w:rPr>
          <w:t xml:space="preserve">14</w:t>
        </w:r>
      </w:hyperlink>
      <w:r>
        <w:t xml:space="preserve">] refine the budget; reliability-aware pseudo-counts [</w:t>
      </w:r>
      <w:hyperlink w:anchor="bib:reasc2026">
        <w:r>
          <w:rPr>
            <w:rStyle w:val="Hyperlink"/>
          </w:rPr>
          <w:t xml:space="preserve">6</w:t>
        </w:r>
      </w:hyperlink>
      <w:r>
        <w:t xml:space="preserve">] and warmup-thresholded filtering [</w:t>
      </w:r>
      <w:hyperlink w:anchor="bib:deepconf2025">
        <w:r>
          <w:rPr>
            <w:rStyle w:val="Hyperlink"/>
          </w:rPr>
          <w:t xml:space="preserve">7</w:t>
        </w:r>
      </w:hyperlink>
      <w:r>
        <w:t xml:space="preserve">] adapt online but only re-scale positive trust. None of these searches a negative exponent: the obstruction is a sign bit in</w:t>
      </w:r>
      <w:r>
        <w:t xml:space="preserve"> </w:t>
      </w:r>
      <w:r>
        <w:t xml:space="preserve">the hyperparameter grid rather than the weight family itself, as this paper’s</w:t>
      </w:r>
      <w:r>
        <w:t xml:space="preserve"> </w:t>
      </w:r>
      <w:r>
        <w:t xml:space="preserve">own SignGrid-dev baseline shows by opening the same</w:t>
      </w:r>
      <w:r>
        <w:t xml:space="preserve"> </w:t>
      </w:r>
      <m:oMath>
        <m:sSup>
          <m:e>
            <m:r>
              <m:t>c</m:t>
            </m:r>
          </m:e>
          <m:sup>
            <m:r>
              <m:t>γ</m:t>
            </m:r>
          </m:sup>
        </m:sSup>
      </m:oMath>
      <w:r>
        <w:t xml:space="preserve"> </w:t>
      </w:r>
      <w:r>
        <w:t xml:space="preserve">family to</w:t>
      </w:r>
      <w:r>
        <w:t xml:space="preserve"> </w:t>
      </w:r>
      <w:r>
        <w:t xml:space="preserve">negative</w:t>
      </w:r>
      <w:r>
        <w:t xml:space="preserve"> </w:t>
      </w:r>
      <m:oMath>
        <m:r>
          <m:t>γ</m:t>
        </m:r>
      </m:oMath>
      <w:r>
        <w:t xml:space="preserve"> </w:t>
      </w:r>
      <w:r>
        <w:t xml:space="preserve">and reaching the signed oracle across the negative half-axis.</w:t>
      </w:r>
      <w:r>
        <w:t xml:space="preserve"> </w:t>
      </w:r>
      <w:r>
        <w:t xml:space="preserve">What no published protocol does is</w:t>
      </w:r>
      <w:r>
        <w:t xml:space="preserve"> </w:t>
      </w:r>
      <w:r>
        <w:rPr>
          <w:i/>
          <w:iCs/>
        </w:rPr>
        <w:t xml:space="preserve">estimate</w:t>
      </w:r>
      <w:r>
        <w:t xml:space="preserve"> </w:t>
      </w:r>
      <w:r>
        <w:t xml:space="preserve">that sign, with or without</w:t>
      </w:r>
      <w:r>
        <w:t xml:space="preserve"> </w:t>
      </w:r>
      <w:r>
        <w:t xml:space="preserve">labels.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 [</w:t>
      </w:r>
      <w:hyperlink w:anchor="bib:dawid1979maximum">
        <w:r>
          <w:rPr>
            <w:rStyle w:val="Hyperlink"/>
          </w:rPr>
          <w:t xml:space="preserve">9</w:t>
        </w:r>
      </w:hyperlink>
      <w:r>
        <w:t xml:space="preserve">,</w:t>
      </w:r>
      <w:hyperlink w:anchor="bib:whitehill2009whose">
        <w:r>
          <w:rPr>
            <w:rStyle w:val="Hyperlink"/>
          </w:rPr>
          <w:t xml:space="preserve">15</w:t>
        </w:r>
      </w:hyperlink>
      <w:r>
        <w:t xml:space="preserve">,</w:t>
      </w:r>
      <w:hyperlink w:anchor="bib:karger2011iterative">
        <w:r>
          <w:rPr>
            <w:rStyle w:val="Hyperlink"/>
          </w:rPr>
          <w:t xml:space="preserve">16</w:t>
        </w:r>
      </w:hyperlink>
      <w:r>
        <w:t xml:space="preserve">]; spectral meta-learners [</w:t>
      </w:r>
      <w:hyperlink w:anchor="bib:parisi2014ranking">
        <w:r>
          <w:rPr>
            <w:rStyle w:val="Hyperlink"/>
          </w:rPr>
          <w:t xml:space="preserve">10</w:t>
        </w:r>
      </w:hyperlink>
      <w:r>
        <w:t xml:space="preserve">] and recent LLM ensemble work [</w:t>
      </w:r>
      <w:hyperlink w:anchor="bib:fuse2026">
        <w:r>
          <w:rPr>
            <w:rStyle w:val="Hyperlink"/>
          </w:rPr>
          <w:t xml:space="preserve">17</w:t>
        </w:r>
      </w:hyperlink>
      <w:r>
        <w:t xml:space="preserve">,</w:t>
      </w:r>
      <w:hyperlink w:anchor="bib:beyondmajority2025">
        <w:r>
          <w:rPr>
            <w:rStyle w:val="Hyperlink"/>
          </w:rPr>
          <w:t xml:space="preserve">18</w:t>
        </w:r>
      </w:hyperlink>
      <w:r>
        <w:t xml:space="preserve">] 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in place of an unconditional claim.</w:t>
      </w:r>
    </w:p>
    <w:p>
      <w:pPr>
        <w:pStyle w:val="BodyText"/>
      </w:pPr>
      <w:r>
        <w:rPr>
          <w:b/>
          <w:bCs/>
        </w:rPr>
        <w:t xml:space="preserve">Shrinkage and rank statistics.</w:t>
      </w:r>
      <w:r>
        <w:t xml:space="preserve"> </w:t>
      </w:r>
      <w:r>
        <w:t xml:space="preserve">The estimator assembles classical parts: stratified rank statistics [</w:t>
      </w:r>
      <w:hyperlink w:anchor="bib:vanelteren1960">
        <w:r>
          <w:rPr>
            <w:rStyle w:val="Hyperlink"/>
          </w:rPr>
          <w:t xml:space="preserve">19</w:t>
        </w:r>
      </w:hyperlink>
      <w:r>
        <w:t xml:space="preserve">], the James–Stein positive-part estimator [</w:t>
      </w:r>
      <w:hyperlink w:anchor="bib:james1961estimation">
        <w:r>
          <w:rPr>
            <w:rStyle w:val="Hyperlink"/>
          </w:rPr>
          <w:t xml:space="preserve">20</w:t>
        </w:r>
      </w:hyperlink>
      <w:r>
        <w:t xml:space="preserve">], effective-sample-size corrections [</w:t>
      </w:r>
      <w:hyperlink w:anchor="bib:kish1965">
        <w:r>
          <w:rPr>
            <w:rStyle w:val="Hyperlink"/>
          </w:rPr>
          <w:t xml:space="preserve">21</w:t>
        </w:r>
      </w:hyperlink>
      <w:r>
        <w:t xml:space="preserve">,</w:t>
      </w:r>
      <w:hyperlink w:anchor="bib:rao1981analysis">
        <w:r>
          <w:rPr>
            <w:rStyle w:val="Hyperlink"/>
          </w:rPr>
          <w:t xml:space="preserve">22</w:t>
        </w:r>
      </w:hyperlink>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 dominated everywhere by a simple deduplication baseline, and is reported as a negative result. Its post-mortem isolated the confidence dilemma studied here.</w:t>
      </w:r>
    </w:p>
    <w:bookmarkEnd w:id="11"/>
    <w:bookmarkStart w:id="19"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8"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r>
        <w:t xml:space="preserve"> </w:t>
      </w:r>
      <w:bookmarkStart w:id="13" w:name="eq:confmodel"/>
      <w:bookmarkEnd w:id="13"/>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7" w:name="fig:baselines"/>
    <w:p>
      <w:pPr>
        <w:pStyle w:val="CaptionedFigure"/>
      </w:pPr>
      <w:r>
        <w:drawing>
          <wp:inline>
            <wp:extent cx="5334000" cy="3302000"/>
            <wp:effectExtent b="0" l="0" r="0" t="0"/>
            <wp:docPr descr="" title="" id="15" name="Picture"/>
            <a:graphic>
              <a:graphicData uri="http://schemas.openxmlformats.org/drawingml/2006/picture">
                <pic:pic>
                  <pic:nvPicPr>
                    <pic:cNvPr descr="figs/kappa_sweep.png" id="16" name="Picture"/>
                    <pic:cNvPicPr>
                      <a:picLocks noChangeArrowheads="1" noChangeAspect="1"/>
                    </pic:cNvPicPr>
                  </pic:nvPicPr>
                  <pic:blipFill>
                    <a:blip r:embed="rId14"/>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7"/>
    <w:bookmarkEnd w:id="18"/>
    <w:bookmarkEnd w:id="19"/>
    <w:bookmarkStart w:id="36" w:name="sec:method"/>
    <w:p>
      <w:pPr>
        <w:pStyle w:val="Heading1"/>
      </w:pPr>
      <w:r>
        <w:t xml:space="preserve">TACT</w:t>
      </w:r>
    </w:p>
    <w:bookmarkStart w:id="22"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r>
        <w:t xml:space="preserve"> </w:t>
      </w:r>
      <w:bookmarkStart w:id="20" w:name="eq:vdw"/>
      <w:bookmarkEnd w:id="20"/>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r>
        <w:t xml:space="preserve"> </w:t>
      </w:r>
      <w:bookmarkStart w:id="21" w:name="eq:vote"/>
      <w:bookmarkEnd w:id="21"/>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22"/>
    <w:bookmarkStart w:id="24"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hyperlink w:anchor="bib:vanelteren1960">
        <w:r>
          <w:rPr>
            <w:rStyle w:val="Hyperlink"/>
          </w:rPr>
          <w:t xml:space="preserve">19</w:t>
        </w:r>
      </w:hyperlink>
      <w:r>
        <w:t xml:space="preserve">]:</w:t>
      </w:r>
      <w:r>
        <w:t xml:space="preserve"> </w:t>
      </w:r>
      <w:bookmarkStart w:id="23" w:name="eq:pooled"/>
      <w:bookmarkEnd w:id="23"/>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4"/>
    <w:bookmarkStart w:id="27"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r>
        <w:t xml:space="preserve"> </w:t>
      </w:r>
      <w:bookmarkStart w:id="25" w:name="eq:js"/>
      <w:bookmarkEnd w:id="25"/>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w:t>
      </w:r>
      <w:hyperlink w:anchor="bib:james1961estimation">
        <w:r>
          <w:rPr>
            <w:rStyle w:val="Hyperlink"/>
          </w:rPr>
          <w:t xml:space="preserve">20</w:t>
        </w:r>
      </w:hyperlink>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 which is what</w:t>
      </w:r>
      <w:r>
        <w:t xml:space="preserve"> </w:t>
      </w:r>
      <w:hyperlink w:anchor="eq:vdw">
        <w:r>
          <w:rPr>
            <w:rStyle w:val="Hyperlink"/>
          </w:rPr>
          <w:t xml:space="preserve">[eq:vdw]</w:t>
        </w:r>
      </w:hyperlink>
      <w:r>
        <w:t xml:space="preserve"> </w:t>
      </w:r>
      <w:r>
        <w:t xml:space="preserve">enforces, 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r>
        <w:t xml:space="preserve"> </w:t>
      </w:r>
      <w:bookmarkStart w:id="26" w:name="eq:link"/>
      <w:bookmarkEnd w:id="26"/>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 The link assumes</w:t>
      </w:r>
      <w:r>
        <w:t xml:space="preserve"> </w:t>
      </w:r>
      <m:oMath>
        <m:r>
          <m:t>φ</m:t>
        </m:r>
      </m:oMath>
      <w:r>
        <w:t xml:space="preserve"> </w:t>
      </w:r>
      <w:r>
        <w:t xml:space="preserve">is within-item normal, which</w:t>
      </w:r>
      <w:r>
        <w:t xml:space="preserve"> </w:t>
      </w:r>
      <w:hyperlink w:anchor="eq:vdw">
        <w:r>
          <w:rPr>
            <w:rStyle w:val="Hyperlink"/>
          </w:rPr>
          <w:t xml:space="preserve">[eq:vdw]</w:t>
        </w:r>
      </w:hyperlink>
      <w:r>
        <w:t xml:space="preserve"> </w:t>
      </w:r>
      <w:r>
        <w:t xml:space="preserve">supplies only asymptotically: at</w:t>
      </w:r>
      <w:r>
        <w:t xml:space="preserve"> </w:t>
      </w:r>
      <m:oMath>
        <m:sSub>
          <m:e>
            <m:r>
              <m:t>m</m:t>
            </m:r>
          </m:e>
          <m:sub>
            <m:r>
              <m:t>q</m:t>
            </m:r>
          </m:sub>
        </m:sSub>
        <m:r>
          <m:rPr>
            <m:sty m:val="p"/>
          </m:rPr>
          <m:t>=</m:t>
        </m:r>
        <m:r>
          <m:t>4</m:t>
        </m:r>
      </m:oMath>
      <w:r>
        <w:t xml:space="preserve"> </w:t>
      </w:r>
      <w:r>
        <w:t xml:space="preserve">the score takes four values before standardization. The scale consequence is handled by using the realized</w:t>
      </w:r>
      <w:r>
        <w:t xml:space="preserve"> </w:t>
      </w:r>
      <m:oMath>
        <m:sSub>
          <m:e>
            <m:r>
              <m:t>σ</m:t>
            </m:r>
          </m:e>
          <m:sub>
            <m:r>
              <m:t>q</m:t>
            </m:r>
          </m:sub>
        </m:sSub>
      </m:oMath>
      <w:r>
        <w:t xml:space="preserve">, but the distributional one is not, and it bites hardest in the small-budget setting this paper advertises (</w:t>
      </w:r>
      <m:oMath>
        <m:r>
          <m:t>m</m:t>
        </m:r>
        <m:r>
          <m:rPr>
            <m:sty m:val="p"/>
          </m:rPr>
          <m:t>=</m:t>
        </m:r>
        <m:r>
          <m:t>40</m:t>
        </m:r>
      </m:oMath>
      <w:r>
        <w:t xml:space="preserve"> </w:t>
      </w:r>
      <w:r>
        <w:t xml:space="preserve">estimates transferring to</w:t>
      </w:r>
      <w:r>
        <w:t xml:space="preserve"> </w:t>
      </w:r>
      <m:oMath>
        <m:r>
          <m:t>m</m:t>
        </m:r>
        <m:r>
          <m:rPr>
            <m:sty m:val="p"/>
          </m:rPr>
          <m:t>=</m:t>
        </m:r>
        <m:r>
          <m:t>8</m:t>
        </m:r>
      </m:oMath>
      <w:r>
        <w:t xml:space="preserve">). Where</w:t>
      </w:r>
      <w:r>
        <w:t xml:space="preserve"> </w:t>
      </w:r>
      <m:oMath>
        <m:acc>
          <m:accPr>
            <m:chr m:val="̂"/>
          </m:accPr>
          <m:e>
            <m:r>
              <m:t>D</m:t>
            </m:r>
          </m:e>
        </m:acc>
      </m:oMath>
      <w:r>
        <w:t xml:space="preserve"> </w:t>
      </w:r>
      <w:r>
        <w:t xml:space="preserve">saturates the cap binds and the link’s shape is irrelevant; small</w:t>
      </w:r>
      <w:r>
        <w:t xml:space="preserve"> </w:t>
      </w:r>
      <m:oMath>
        <m:r>
          <m:t>m</m:t>
        </m:r>
      </m:oMath>
      <w:r>
        <w:t xml:space="preserve"> </w:t>
      </w:r>
      <w:r>
        <w:t xml:space="preserve">is where it has to hold and where it is least justified.</w:t>
      </w:r>
    </w:p>
    <w:bookmarkEnd w:id="27"/>
    <w:bookmarkStart w:id="31" w:name="sec:oneline"/>
    <w:p>
      <w:pPr>
        <w:pStyle w:val="Heading2"/>
      </w:pPr>
      <w:r>
        <w:rPr>
          <w:smallCaps/>
        </w:rPr>
        <w:t xml:space="preserve">tact</w:t>
      </w:r>
      <w:r>
        <w:t xml:space="preserve"> </w:t>
      </w:r>
      <w:r>
        <w:t xml:space="preserve">in one expression</w:t>
      </w:r>
    </w:p>
    <w:p>
      <w:pPr>
        <w:pStyle w:val="FirstParagraph"/>
      </w:pPr>
      <w:r>
        <w:t xml:space="preserve">Two simplifications collapse the pipeline. Factoring</w:t>
      </w:r>
      <w:r>
        <w:t xml:space="preserve"> </w:t>
      </w:r>
      <m:oMath>
        <m:acc>
          <m:accPr>
            <m:chr m:val="̂"/>
          </m:accPr>
          <m:e>
            <m:r>
              <m:t>D</m:t>
            </m:r>
          </m:e>
        </m:acc>
      </m:oMath>
      <w:r>
        <w:t xml:space="preserve"> </w:t>
      </w:r>
      <w:r>
        <w:t xml:space="preserve">out of</w:t>
      </w:r>
      <w:r>
        <w:t xml:space="preserve"> </w:t>
      </w:r>
      <w:hyperlink w:anchor="eq:js">
        <w:r>
          <w:rPr>
            <w:rStyle w:val="Hyperlink"/>
          </w:rPr>
          <w:t xml:space="preserve">[eq:js]</w:t>
        </w:r>
      </w:hyperlink>
      <w:r>
        <w:t xml:space="preserve"> </w:t>
      </w:r>
      <w:r>
        <w:t xml:space="preserve">makes the shrinkage a multiplicative gain in the pooled</w:t>
      </w:r>
      <w:r>
        <w:t xml:space="preserve"> </w:t>
      </w:r>
      <m:oMath>
        <m:r>
          <m:t>z</m:t>
        </m:r>
      </m:oMath>
      <w:r>
        <w:t xml:space="preserve">-statistic</w:t>
      </w:r>
      <w:r>
        <w:t xml:space="preserve"> </w:t>
      </w:r>
      <m:oMath>
        <m:r>
          <m:t>ζ</m:t>
        </m:r>
        <m:r>
          <m:rPr>
            <m:sty m:val="p"/>
          </m:rPr>
          <m:t>=</m:t>
        </m:r>
        <m:acc>
          <m:accPr>
            <m:chr m:val="̂"/>
          </m:accPr>
          <m:e>
            <m:r>
              <m:t>D</m:t>
            </m:r>
          </m:e>
        </m:acc>
        <m:r>
          <m:rPr>
            <m:sty m:val="p"/>
          </m:rPr>
          <m:t>/</m:t>
        </m:r>
        <m:r>
          <m:rPr>
            <m:sty m:val="p"/>
          </m:rPr>
          <m:t>S</m:t>
        </m:r>
        <m:r>
          <m:rPr>
            <m:sty m:val="p"/>
          </m:rPr>
          <m:t>E</m:t>
        </m:r>
      </m:oMath>
      <w:r>
        <w:t xml:space="preserve"> </w:t>
      </w:r>
      <w:r>
        <w:t xml:space="preserve">alone, and substituting</w:t>
      </w:r>
      <w:r>
        <w:t xml:space="preserve"> </w:t>
      </w:r>
      <m:oMath>
        <m:r>
          <m:t>u</m:t>
        </m:r>
        <m:r>
          <m:rPr>
            <m:sty m:val="p"/>
          </m:rPr>
          <m:t>=</m:t>
        </m:r>
        <m:rad>
          <m:radPr>
            <m:degHide m:val="on"/>
          </m:radPr>
          <m:deg/>
          <m:e>
            <m:r>
              <m:t>2</m:t>
            </m:r>
          </m:e>
        </m:rad>
        <m:r>
          <m:t> </m:t>
        </m:r>
        <m:r>
          <m:t>z</m:t>
        </m:r>
      </m:oMath>
      <w:r>
        <w:t xml:space="preserve"> </w:t>
      </w:r>
      <w:r>
        <w:t xml:space="preserve">with</w:t>
      </w:r>
      <w:r>
        <w:t xml:space="preserve"> </w:t>
      </w:r>
      <m:oMath>
        <m:r>
          <m:t>z</m:t>
        </m:r>
        <m:r>
          <m:rPr>
            <m:sty m:val="p"/>
          </m:rPr>
          <m:t>=</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into</w:t>
      </w:r>
      <w:r>
        <w:t xml:space="preserve"> </w:t>
      </w:r>
      <w:hyperlink w:anchor="eq:link">
        <w:r>
          <w:rPr>
            <w:rStyle w:val="Hyperlink"/>
          </w:rPr>
          <w:t xml:space="preserve">[eq:link]</w:t>
        </w:r>
      </w:hyperlink>
      <w:r>
        <w:t xml:space="preserve"> </w:t>
      </w:r>
      <w:r>
        <w:t xml:space="preserve">removes the nested radical.</w:t>
      </w:r>
      <w:r>
        <w:t xml:space="preserve"> </w:t>
      </w:r>
      <w:r>
        <w:rPr>
          <w:smallCaps/>
        </w:rPr>
        <w:t xml:space="preserve">tact</w:t>
      </w:r>
      <w:r>
        <w:t xml:space="preserve"> </w:t>
      </w:r>
      <w:r>
        <w:t xml:space="preserve">is then</w:t>
      </w:r>
      <w:r>
        <w:t xml:space="preserve"> </w:t>
      </w:r>
      <w:bookmarkStart w:id="28" w:name="eq:oneline"/>
      <w:bookmarkEnd w:id="28"/>
    </w:p>
    <w:p>
      <w:pPr>
        <w:pStyle w:val="BodyText"/>
      </w:pPr>
      <m:oMathPara>
        <m:oMathParaPr>
          <m:jc m:val="center"/>
        </m:oMathParaPr>
        <m:oMath>
          <m:borderBox>
            <m:e>
              <m:r>
                <m:t> </m:t>
              </m:r>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r>
                <m:rPr>
                  <m:sty m:val="p"/>
                </m:rPr>
                <m:t>,</m:t>
              </m:r>
              <m:r>
                <m:t> </m:t>
              </m:r>
            </m:e>
          </m:borderBox>
        </m:oMath>
      </m:oMathPara>
    </w:p>
    <w:p>
      <w:pPr>
        <w:pStyle w:val="FirstParagraph"/>
      </w:pPr>
      <w:bookmarkStart w:id="29" w:name="eq:oneline2"/>
      <w:bookmarkEnd w:id="29"/>
    </w:p>
    <w:p>
      <w:pPr>
        <w:pStyle w:val="BodyText"/>
      </w:pPr>
      <m:oMathPara>
        <m:oMathParaPr>
          <m:jc m:val="center"/>
        </m:oMathParaPr>
        <m:oMath>
          <m:r>
            <m:t>z</m:t>
          </m:r>
          <m:r>
            <m:rPr>
              <m:sty m:val="p"/>
            </m:rPr>
            <m:t>=</m:t>
          </m:r>
          <m:sSup>
            <m:e>
              <m:r>
                <m:rPr>
                  <m:sty m:val="p"/>
                </m:rPr>
                <m:t>Φ</m:t>
              </m:r>
            </m:e>
            <m:sup>
              <m:r>
                <m:rPr>
                  <m:sty m:val="p"/>
                </m:rPr>
                <m:t>−</m:t>
              </m:r>
              <m:r>
                <m:t>1</m:t>
              </m:r>
            </m:sup>
          </m:sSup>
          <m:r>
            <m:t>​</m:t>
          </m:r>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t> </m:t>
                  </m:r>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with</w:t>
      </w:r>
      <w:r>
        <w:t xml:space="preserve"> </w:t>
      </w:r>
      <m:oMath>
        <m:acc>
          <m:accPr>
            <m:chr m:val="̂"/>
          </m:accPr>
          <m:e>
            <m:r>
              <m:t>D</m:t>
            </m:r>
          </m:e>
        </m:acc>
      </m:oMath>
      <w:r>
        <w:t xml:space="preserve"> </w:t>
      </w:r>
      <w:r>
        <w:t xml:space="preserve">from</w:t>
      </w:r>
      <w:r>
        <w:t xml:space="preserve"> </w:t>
      </w:r>
      <w:hyperlink w:anchor="eq:pooled">
        <w:r>
          <w:rPr>
            <w:rStyle w:val="Hyperlink"/>
          </w:rPr>
          <w:t xml:space="preserve">[eq:pooled]</w:t>
        </w:r>
      </w:hyperlink>
      <w:r>
        <w:t xml:space="preserve"> </w:t>
      </w:r>
      <w:r>
        <w:t xml:space="preserve">and</w:t>
      </w:r>
      <w:r>
        <w:t xml:space="preserve"> </w:t>
      </w:r>
      <m:oMath>
        <m:r>
          <m:t>φ</m:t>
        </m:r>
      </m:oMath>
      <w:r>
        <w:t xml:space="preserve"> </w:t>
      </w:r>
      <w:r>
        <w:t xml:space="preserve">from</w:t>
      </w:r>
      <w:r>
        <w:t xml:space="preserve"> </w:t>
      </w:r>
      <w:hyperlink w:anchor="eq:vdw">
        <w:r>
          <w:rPr>
            <w:rStyle w:val="Hyperlink"/>
          </w:rPr>
          <w:t xml:space="preserve">[eq:vdw]</w:t>
        </w:r>
      </w:hyperlink>
      <w:r>
        <w:t xml:space="preserve">. At the</w:t>
      </w:r>
      <w:r>
        <w:t xml:space="preserve"> </w:t>
      </w:r>
      <w:r>
        <w:t xml:space="preserve">default</w:t>
      </w:r>
      <w:r>
        <w:t xml:space="preserve"> </w:t>
      </w:r>
      <m:oMath>
        <m:acc>
          <m:accPr>
            <m:chr m:val="‾"/>
          </m:accPr>
          <m:e>
            <m:r>
              <m:t>p</m:t>
            </m:r>
          </m:e>
        </m:acc>
        <m:r>
          <m:rPr>
            <m:sty m:val="p"/>
          </m:rPr>
          <m:t>=</m:t>
        </m:r>
        <m:f>
          <m:fPr>
            <m:type m:val="lin"/>
          </m:fPr>
          <m:num>
            <m:r>
              <m:t>1</m:t>
            </m:r>
          </m:num>
          <m:den>
            <m:r>
              <m:t>2</m:t>
            </m:r>
          </m:den>
        </m:f>
      </m:oMath>
      <w:r>
        <w:t xml:space="preserve"> </w:t>
      </w:r>
      <w:r>
        <w:t xml:space="preserve">the exponent is exactly</w:t>
      </w:r>
      <w:r>
        <w:t xml:space="preserve"> </w:t>
      </w:r>
      <w:bookmarkStart w:id="30" w:name="eq:half"/>
      <w:bookmarkEnd w:id="30"/>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r>
            <m:rPr>
              <m:sty m:val="p"/>
            </m:rPr>
            <m:t>,</m:t>
          </m:r>
        </m:oMath>
      </m:oMathPara>
    </w:p>
    <w:p>
      <w:pPr>
        <w:pStyle w:val="FirstParagraph"/>
      </w:pPr>
      <w:r>
        <w:t xml:space="preserve">one probit and one square root. Nothing in it is fitted to outcomes:</w:t>
      </w:r>
      <w:r>
        <w:t xml:space="preserve"> </w:t>
      </w:r>
      <m:oMath>
        <m:r>
          <m:t>ν</m:t>
        </m:r>
      </m:oMath>
      <w:r>
        <w:t xml:space="preserve"> </w:t>
      </w:r>
      <w:r>
        <w:t xml:space="preserve">is a</w:t>
      </w:r>
      <w:r>
        <w:t xml:space="preserve"> </w:t>
      </w:r>
      <w:r>
        <w:t xml:space="preserve">significance level and</w:t>
      </w:r>
      <w:r>
        <w:t xml:space="preserve"> </w:t>
      </w:r>
      <m:oMath>
        <m:sSub>
          <m:e>
            <m:r>
              <m:t>γ</m:t>
            </m:r>
          </m:e>
          <m:sub>
            <m:r>
              <m:rPr>
                <m:sty m:val="p"/>
              </m:rPr>
              <m:t>max</m:t>
            </m:r>
          </m:sub>
        </m:sSub>
      </m:oMath>
      <w:r>
        <w:t xml:space="preserve"> </w:t>
      </w:r>
      <w:r>
        <w:t xml:space="preserve">a clip, both fixed before any data is</w:t>
      </w:r>
      <w:r>
        <w:t xml:space="preserve"> </w:t>
      </w:r>
      <w:r>
        <w:t xml:space="preserve">seen. The clip is not cosmetic, though. Where</w:t>
      </w:r>
      <w:r>
        <w:t xml:space="preserve"> </w:t>
      </w:r>
      <m:oMath>
        <m:acc>
          <m:accPr>
            <m:chr m:val="̂"/>
          </m:accPr>
          <m:e>
            <m:r>
              <m:t>D</m:t>
            </m:r>
          </m:e>
        </m:acc>
      </m:oMath>
      <w:r>
        <w:t xml:space="preserve"> </w:t>
      </w:r>
      <w:r>
        <w:t xml:space="preserve">saturates it binds, and</w:t>
      </w:r>
      <w:r>
        <w:t xml:space="preserve"> </w:t>
      </w:r>
      <w:r>
        <w:t xml:space="preserve">the vote then sees</w:t>
      </w:r>
      <w:r>
        <w:t xml:space="preserve"> </w:t>
      </w:r>
      <m:oMath>
        <m:sSub>
          <m:e>
            <m:r>
              <m:t>γ</m:t>
            </m:r>
          </m:e>
          <m:sub>
            <m:r>
              <m:rPr>
                <m:sty m:val="p"/>
              </m:rPr>
              <m:t>max</m:t>
            </m:r>
          </m:sub>
        </m:sSub>
      </m:oMath>
      <w:r>
        <w:t xml:space="preserve"> </w:t>
      </w:r>
      <w:r>
        <w:t xml:space="preserve">rather than the derived magnitude</w:t>
      </w:r>
      <w:r>
        <w:t xml:space="preserve"> </w:t>
      </w:r>
      <w:r>
        <w:t xml:space="preserve">(Section </w:t>
      </w:r>
      <w:hyperlink w:anchor="sec:results">
        <w:r>
          <w:rPr>
            <w:rStyle w:val="Hyperlink"/>
          </w:rPr>
          <w:t xml:space="preserve">8</w:t>
        </w:r>
      </w:hyperlink>
      <w:r>
        <w:t xml:space="preserve">). The dead zone is now visible as a single condition,</w:t>
      </w:r>
      <w:r>
        <w:t xml:space="preserve"> </w:t>
      </w:r>
      <m:oMath>
        <m:r>
          <m:rPr>
            <m:sty m:val="p"/>
          </m:rPr>
          <m:t>|</m:t>
        </m:r>
        <m:r>
          <m:t>ζ</m:t>
        </m:r>
        <m:r>
          <m:rPr>
            <m:sty m:val="p"/>
          </m:rPr>
          <m:t>|</m:t>
        </m:r>
        <m:r>
          <m:rPr>
            <m:sty m:val="p"/>
          </m:rPr>
          <m:t>≤</m:t>
        </m:r>
        <m:r>
          <m:t>ν</m:t>
        </m:r>
      </m:oMath>
      <w:r>
        <w:t xml:space="preserve">, on which</w:t>
      </w:r>
      <w:r>
        <w:t xml:space="preserve"> </w:t>
      </w:r>
      <m:oMath>
        <m:r>
          <m:t>γ</m:t>
        </m:r>
      </m:oMath>
      <w:r>
        <w:t xml:space="preserve"> </w:t>
      </w:r>
      <w:r>
        <w:t xml:space="preserve">is identically zero and</w:t>
      </w:r>
      <w:r>
        <w:t xml:space="preserve"> </w:t>
      </w:r>
      <w:hyperlink w:anchor="eq:oneline">
        <w:r>
          <w:rPr>
            <w:rStyle w:val="Hyperlink"/>
          </w:rPr>
          <w:t xml:space="preserve">[eq:oneline]</w:t>
        </w:r>
      </w:hyperlink>
      <w:r>
        <w:t xml:space="preserve"> </w:t>
      </w:r>
      <w:r>
        <w:t xml:space="preserve">is bitwise</w:t>
      </w:r>
      <w:r>
        <w:t xml:space="preserve"> </w:t>
      </w:r>
      <w:r>
        <w:rPr>
          <w:smallCaps/>
        </w:rPr>
        <w:t xml:space="preserve">sc</w:t>
      </w:r>
      <w:r>
        <w:t xml:space="preserve"> </w:t>
      </w:r>
      <w:r>
        <w:t xml:space="preserve">by Proposition </w:t>
      </w:r>
      <w:hyperlink w:anchor="prop:sc">
        <w:r>
          <w:rPr>
            <w:rStyle w:val="Hyperlink"/>
          </w:rPr>
          <w:t xml:space="preserve">1</w:t>
        </w:r>
      </w:hyperlink>
      <w:r>
        <w:t xml:space="preserve">. Equations</w:t>
      </w:r>
      <w:r>
        <w:t xml:space="preserve"> </w:t>
      </w:r>
      <w:hyperlink w:anchor="eq:oneline">
        <w:r>
          <w:rPr>
            <w:rStyle w:val="Hyperlink"/>
          </w:rPr>
          <w:t xml:space="preserve">[eq:oneline]</w:t>
        </w:r>
      </w:hyperlink>
      <w:r>
        <w:t xml:space="preserve">–</w:t>
      </w:r>
      <w:hyperlink w:anchor="eq:half">
        <w:r>
          <w:rPr>
            <w:rStyle w:val="Hyperlink"/>
          </w:rPr>
          <w:t xml:space="preserve">[eq:half]</w:t>
        </w:r>
      </w:hyperlink>
      <w:r>
        <w:t xml:space="preserve"> </w:t>
      </w:r>
      <w:r>
        <w:t xml:space="preserve">are verified equivalent to the shipped</w:t>
      </w:r>
      <w:r>
        <w:t xml:space="preserve"> </w:t>
      </w:r>
      <w:r>
        <w:t xml:space="preserve">implementation over randomised inputs including every boundary</w:t>
      </w:r>
      <w:r>
        <w:t xml:space="preserve"> </w:t>
      </w:r>
      <w:r>
        <w:t xml:space="preserve">(</w:t>
      </w:r>
      <w:r>
        <w:rPr>
          <w:rStyle w:val="VerbatimChar"/>
        </w:rPr>
        <w:t xml:space="preserve">tests/test_formula.py</w:t>
      </w:r>
      <w:r>
        <w:t xml:space="preserve">).</w:t>
      </w:r>
    </w:p>
    <w:bookmarkEnd w:id="31"/>
    <w:bookmarkStart w:id="35" w:name="anchor-properties"/>
    <w:p>
      <w:pPr>
        <w:pStyle w:val="Heading2"/>
      </w:pPr>
      <w:r>
        <w:t xml:space="preserve">Anchor properties</w:t>
      </w:r>
    </w:p>
    <w:bookmarkStart w:id="3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32"/>
    <w:bookmarkStart w:id="3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33"/>
    <w:bookmarkStart w:id="3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34"/>
    <w:p>
      <w:pPr>
        <w:pStyle w:val="BodyText"/>
      </w:pPr>
      <w:r>
        <w:t xml:space="preserve">Proofs are elementary and pinned by unit tests in the released code (98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35"/>
    <w:bookmarkEnd w:id="36"/>
    <w:bookmarkStart w:id="41" w:name="sec:lf"/>
    <w:p>
      <w:pPr>
        <w:pStyle w:val="Heading1"/>
      </w:pPr>
      <w:r>
        <w:t xml:space="preserve">Label-Free Estimation</w:t>
      </w:r>
    </w:p>
    <w:bookmarkStart w:id="3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37"/>
    <w:bookmarkStart w:id="39" w:name="sign-consistency-and-its-boundary"/>
    <w:p>
      <w:pPr>
        <w:pStyle w:val="Heading2"/>
      </w:pPr>
      <w:r>
        <w:t xml:space="preserve">Sign consistency and its boundary</w:t>
      </w:r>
    </w:p>
    <w:bookmarkStart w:id="3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38"/>
    <w:p>
      <w:pPr>
        <w:pStyle w:val="BodyText"/>
      </w:pPr>
      <w:r>
        <w:t xml:space="preserve">The identity fails when the flip is</w:t>
      </w:r>
      <w:r>
        <w:t xml:space="preserve"> </w:t>
      </w:r>
      <w:r>
        <w:rPr>
          <w:i/>
          <w:iCs/>
        </w:rPr>
        <w:t xml:space="preserve">caused</w:t>
      </w:r>
      <w:r>
        <w:t xml:space="preserve"> </w:t>
      </w:r>
      <w:r>
        <w:t xml:space="preserve">by confidence, that is, under 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 [</w:t>
      </w:r>
      <w:hyperlink w:anchor="bib:parisi2014ranking">
        <w:r>
          <w:rPr>
            <w:rStyle w:val="Hyperlink"/>
          </w:rPr>
          <w:t xml:space="preserve">10</w:t>
        </w:r>
      </w:hyperlink>
      <w:r>
        <w:t xml:space="preserve">] restated for a single channel), so any label-free guarantee is necessarily conditional; it is stated as such rather than papered over.</w:t>
      </w:r>
    </w:p>
    <w:bookmarkEnd w:id="39"/>
    <w:bookmarkStart w:id="4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40"/>
    <w:bookmarkEnd w:id="41"/>
    <w:bookmarkStart w:id="47" w:name="sec:hetero"/>
    <w:p>
      <w:pPr>
        <w:pStyle w:val="Heading1"/>
      </w:pPr>
      <w:r>
        <w:t xml:space="preserve">Heterogeneity: Impossibility and Escape</w:t>
      </w:r>
    </w:p>
    <w:bookmarkStart w:id="4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4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42"/>
    <w:bookmarkStart w:id="4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 the items where a flip could win, 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43"/>
    <w:bookmarkStart w:id="4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44"/>
    <w:p>
      <w:pPr>
        <w:pStyle w:val="BodyText"/>
      </w:pPr>
      <w:r>
        <w:t xml:space="preserve">Consequently the per-item oracle (</w:t>
      </w:r>
      <m:oMath>
        <m:r>
          <m:t>0.983</m:t>
        </m:r>
      </m:oMath>
      <w:r>
        <w:t xml:space="preserve"> </w:t>
      </w:r>
      <w:r>
        <w:t xml:space="preserve">in this harness) is unreachable, and the honest behaviour is to fall back to the global estimate, which</w:t>
      </w:r>
      <w:r>
        <w:t xml:space="preserve"> </w:t>
      </w:r>
      <w:r>
        <w:rPr>
          <w:smallCaps/>
        </w:rPr>
        <w:t xml:space="preserve">tact</w:t>
      </w:r>
      <w:r>
        <w:t xml:space="preserve">’s dead zone does: in the i.i.d. cell every variant returns bitwise</w:t>
      </w:r>
      <w:r>
        <w:t xml:space="preserve"> </w:t>
      </w:r>
      <w:r>
        <w:rPr>
          <w:smallCaps/>
        </w:rPr>
        <w:t xml:space="preserve">sc</w:t>
      </w:r>
      <w:r>
        <w:t xml:space="preserve"> </w:t>
      </w:r>
      <w:r>
        <w:t xml:space="preserve">(zero discordant pairs).</w:t>
      </w:r>
    </w:p>
    <w:bookmarkEnd w:id="45"/>
    <w:bookmarkStart w:id="4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46"/>
    <w:bookmarkEnd w:id="47"/>
    <w:bookmarkStart w:id="5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 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The decision rule is a fixed</w:t>
      </w:r>
      <w:r>
        <w:t xml:space="preserve"> </w:t>
      </w:r>
      <m:oMath>
        <m:r>
          <m:t>τ</m:t>
        </m:r>
        <m:r>
          <m:rPr>
            <m:sty m:val="p"/>
          </m:rPr>
          <m:t>=</m:t>
        </m:r>
        <m:r>
          <m:t>0.02</m:t>
        </m:r>
      </m:oMath>
      <w:r>
        <w:t xml:space="preserve"> </w:t>
      </w:r>
      <w:r>
        <w:t xml:space="preserve">accuracy tolerance, applied to the same</w:t>
      </w:r>
      <w:r>
        <w:t xml:space="preserve"> </w:t>
      </w:r>
      <m:oMath>
        <m:r>
          <m:t>400</m:t>
        </m:r>
      </m:oMath>
      <w:r>
        <w:t xml:space="preserve"> </w:t>
      </w:r>
      <w:r>
        <w:t xml:space="preserve">paired items in every cell, and</w:t>
      </w:r>
      <w:r>
        <w:t xml:space="preserve"> </w:t>
      </w:r>
      <w:r>
        <w:t xml:space="preserve">it is stated here because the protocol is offered as a contribution: a</w:t>
      </w:r>
      <w:r>
        <w:t xml:space="preserve"> </w:t>
      </w:r>
      <w:r>
        <w:t xml:space="preserve">falsifier fires when the stated gap exceeds</w:t>
      </w:r>
      <w:r>
        <w:t xml:space="preserve"> </w:t>
      </w:r>
      <m:oMath>
        <m:r>
          <m:t>τ</m:t>
        </m:r>
      </m:oMath>
      <w:r>
        <w:t xml:space="preserve">. F1:</w:t>
      </w:r>
      <w:r>
        <w:t xml:space="preserve"> </w:t>
      </w:r>
      <w:r>
        <w:rPr>
          <w:smallCaps/>
        </w:rPr>
        <w:t xml:space="preserve">tact</w:t>
      </w:r>
      <w:r>
        <w:t xml:space="preserve">-dev below the</w:t>
      </w:r>
      <w:r>
        <w:t xml:space="preserve"> </w:t>
      </w:r>
      <w:r>
        <w:t xml:space="preserve">best fixed-</w:t>
      </w:r>
      <m:oMath>
        <m:r>
          <m:t>γ</m:t>
        </m:r>
      </m:oMath>
      <w:r>
        <w:t xml:space="preserve"> </w:t>
      </w:r>
      <w:r>
        <w:t xml:space="preserve">CISC at</w:t>
      </w:r>
      <w:r>
        <w:t xml:space="preserve"> </w:t>
      </w:r>
      <m:oMath>
        <m:r>
          <m:t>κ</m:t>
        </m:r>
        <m:r>
          <m:rPr>
            <m:sty m:val="p"/>
          </m:rPr>
          <m:t>=</m:t>
        </m:r>
        <m:r>
          <m:rPr>
            <m:sty m:val="p"/>
          </m:rPr>
          <m:t>+</m:t>
        </m:r>
        <m:r>
          <m:t>0.6</m:t>
        </m:r>
      </m:oMath>
      <w:r>
        <w:t xml:space="preserve"> </w:t>
      </w:r>
      <w:r>
        <w:t xml:space="preserve">by more than</w:t>
      </w:r>
      <w:r>
        <w:t xml:space="preserve"> </w:t>
      </w:r>
      <m:oMath>
        <m:r>
          <m:t>τ</m:t>
        </m:r>
      </m:oMath>
      <w:r>
        <w:t xml:space="preserve">. F2: either</w:t>
      </w:r>
      <w:r>
        <w:t xml:space="preserve"> </w:t>
      </w:r>
      <w:r>
        <w:t xml:space="preserve">variant below</w:t>
      </w:r>
      <w:r>
        <w:t xml:space="preserve"> </w:t>
      </w:r>
      <w:r>
        <w:rPr>
          <w:smallCaps/>
        </w:rPr>
        <w:t xml:space="preserve">sc</w:t>
      </w:r>
      <w:r>
        <w:t xml:space="preserve"> </w:t>
      </w:r>
      <w:r>
        <w:t xml:space="preserve">by more than</w:t>
      </w:r>
      <w:r>
        <w:t xml:space="preserve"> </w:t>
      </w:r>
      <m:oMath>
        <m:r>
          <m:t>τ</m:t>
        </m:r>
      </m:oMath>
      <w:r>
        <w:t xml:space="preserve"> </w:t>
      </w:r>
      <w:r>
        <w:t xml:space="preserve">anywhere on the sweep. F3: the</w:t>
      </w:r>
      <w:r>
        <w:t xml:space="preserve"> </w:t>
      </w:r>
      <w:r>
        <w:t xml:space="preserve">label-free variant fails to beat the ECE gate on sweep average. F4: CISC-devT</w:t>
      </w:r>
      <w:r>
        <w:t xml:space="preserve"> </w:t>
      </w:r>
      <w:r>
        <w:t xml:space="preserve">or SignGrid-dev within</w:t>
      </w:r>
      <w:r>
        <w:t xml:space="preserve"> </w:t>
      </w:r>
      <m:oMath>
        <m:r>
          <m:t>τ</m:t>
        </m:r>
      </m:oMath>
      <w:r>
        <w:t xml:space="preserve"> </w:t>
      </w:r>
      <w:r>
        <w:t xml:space="preserve">of</w:t>
      </w:r>
      <w:r>
        <w:t xml:space="preserve"> </w:t>
      </w:r>
      <w:r>
        <w:rPr>
          <w:smallCaps/>
        </w:rPr>
        <w:t xml:space="preserve">tact</w:t>
      </w:r>
      <w:r>
        <w:t xml:space="preserve">-dev everywhere, including the</w:t>
      </w:r>
      <w:r>
        <w:t xml:space="preserve"> </w:t>
      </w:r>
      <w:r>
        <w:t xml:space="preserve">distortion, heterogeneity, and small-dev cells. A tolerance rather than a test</w:t>
      </w:r>
      <w:r>
        <w:t xml:space="preserve"> </w:t>
      </w:r>
      <w:r>
        <w:t xml:space="preserve">is the weaker instrument, and it matters most for F4, which survives on a</w:t>
      </w:r>
      <w:r>
        <w:t xml:space="preserve"> </w:t>
      </w:r>
      <m:oMath>
        <m:r>
          <m:t>0.035</m:t>
        </m:r>
      </m:oMath>
      <w:r>
        <w:t xml:space="preserve"> </w:t>
      </w:r>
      <w:r>
        <w:t xml:space="preserve">margin:</w:t>
      </w:r>
      <w:r>
        <w:t xml:space="preserve"> </w:t>
      </w:r>
      <m:oMath>
        <m:r>
          <m:t>τ</m:t>
        </m:r>
      </m:oMath>
      <w:r>
        <w:t xml:space="preserve"> </w:t>
      </w:r>
      <w:r>
        <w:t xml:space="preserve">was fixed in advance, but a paired test at these cell</w:t>
      </w:r>
      <w:r>
        <w:t xml:space="preserve"> </w:t>
      </w:r>
      <w:r>
        <w:t xml:space="preserve">sizes would be the stronger protocol and is what the real-trace sections use.</w:t>
      </w:r>
    </w:p>
    <w:bookmarkStart w:id="4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48"/>
    <w:bookmarkStart w:id="52" w:name="fig:sweep"/>
    <w:p>
      <w:pPr>
        <w:pStyle w:val="CaptionedFigure"/>
      </w:pPr>
      <w:r>
        <w:drawing>
          <wp:inline>
            <wp:extent cx="5334000" cy="3225209"/>
            <wp:effectExtent b="0" l="0" r="0" t="0"/>
            <wp:docPr descr="" title="" id="50" name="Picture"/>
            <a:graphic>
              <a:graphicData uri="http://schemas.openxmlformats.org/drawingml/2006/picture">
                <pic:pic>
                  <pic:nvPicPr>
                    <pic:cNvPr descr="figs/tact_sweep.png" id="51" name="Picture"/>
                    <pic:cNvPicPr>
                      <a:picLocks noChangeArrowheads="1" noChangeAspect="1"/>
                    </pic:cNvPicPr>
                  </pic:nvPicPr>
                  <pic:blipFill>
                    <a:blip r:embed="rId4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52"/>
    <w:bookmarkEnd w:id="53"/>
    <w:bookmarkStart w:id="75" w:name="sec:results"/>
    <w:p>
      <w:pPr>
        <w:pStyle w:val="Heading1"/>
      </w:pPr>
      <w:r>
        <w:t xml:space="preserve">Results</w:t>
      </w:r>
    </w:p>
    <w:bookmarkStart w:id="5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5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54"/>
    <w:p>
      <w:pPr>
        <w:pStyle w:val="BodyText"/>
      </w:pPr>
      <w:r>
        <w:rPr>
          <w:b/>
          <w:bCs/>
        </w:rPr>
        <w:t xml:space="preserve">Where the derived exponent actually operates.</w:t>
      </w:r>
      <w:r>
        <w:t xml:space="preserve"> </w:t>
      </w:r>
      <w:r>
        <w:t xml:space="preserve">The four cells that</w:t>
      </w:r>
      <w:r>
        <w:t xml:space="preserve"> </w:t>
      </w:r>
      <w:r>
        <w:t xml:space="preserve">carry the headline</w:t>
      </w:r>
      <w:r>
        <w:t xml:space="preserve"> </w:t>
      </w:r>
      <m:oMath>
        <m:r>
          <m:t>1.000</m:t>
        </m:r>
      </m:oMath>
      <w:r>
        <w:t xml:space="preserve"> </w:t>
      </w:r>
      <w:r>
        <w:t xml:space="preserve">(</w:t>
      </w:r>
      <m:oMath>
        <m:r>
          <m:t>κ</m:t>
        </m:r>
        <m:r>
          <m:rPr>
            <m:sty m:val="p"/>
          </m:rPr>
          <m:t>=</m:t>
        </m:r>
        <m:r>
          <m:rPr>
            <m:sty m:val="p"/>
          </m:rPr>
          <m:t>±</m:t>
        </m:r>
        <m:r>
          <m:t>0.4</m:t>
        </m:r>
        <m:r>
          <m:rPr>
            <m:sty m:val="p"/>
          </m:rPr>
          <m:t>,</m:t>
        </m:r>
        <m:r>
          <m:rPr>
            <m:sty m:val="p"/>
          </m:rPr>
          <m:t>±</m:t>
        </m:r>
        <m:r>
          <m:t>0.6</m:t>
        </m:r>
      </m:oMath>
      <w:r>
        <w:t xml:space="preserve">) are cells where</w:t>
      </w:r>
      <w:r>
        <w:t xml:space="preserve"> </w:t>
      </w:r>
      <m:oMath>
        <m:acc>
          <m:accPr>
            <m:chr m:val="̂"/>
          </m:accPr>
          <m:e>
            <m:r>
              <m:t>D</m:t>
            </m:r>
          </m:e>
        </m:acc>
      </m:oMath>
      <w:r>
        <w:t xml:space="preserve"> </w:t>
      </w:r>
      <w:r>
        <w:t xml:space="preserve">saturates, so the link returns an untempered</w:t>
      </w:r>
      <w:r>
        <w:t xml:space="preserve"> </w:t>
      </w:r>
      <m:oMath>
        <m:sSup>
          <m:e>
            <m:r>
              <m:t>γ</m:t>
            </m:r>
          </m:e>
          <m:sup>
            <m:r>
              <m:rPr>
                <m:sty m:val="p"/>
              </m:rPr>
              <m:t>*</m:t>
            </m:r>
          </m:sup>
        </m:sSup>
      </m:oMath>
      <w:r>
        <w:t xml:space="preserve"> </w:t>
      </w:r>
      <w:r>
        <w:t xml:space="preserve">between</w:t>
      </w:r>
      <w:r>
        <w:t xml:space="preserve"> </w:t>
      </w:r>
      <m:oMath>
        <m:r>
          <m:rPr>
            <m:sty m:val="p"/>
          </m:rPr>
          <m:t>−</m:t>
        </m:r>
        <m:r>
          <m:t>8.4</m:t>
        </m:r>
      </m:oMath>
      <w:r>
        <w:t xml:space="preserve"> </w:t>
      </w:r>
      <w:r>
        <w:t xml:space="preserve">and</w:t>
      </w:r>
      <w:r>
        <w:t xml:space="preserve"> </w:t>
      </w:r>
      <m:oMath>
        <m:r>
          <m:rPr>
            <m:sty m:val="p"/>
          </m:rPr>
          <m:t>+</m:t>
        </m:r>
        <m:r>
          <m:t>12.1</m:t>
        </m:r>
      </m:oMath>
      <w:r>
        <w:t xml:space="preserve"> </w:t>
      </w:r>
      <w:r>
        <w:t xml:space="preserve">across the seven saturated cells and the cap</w:t>
      </w:r>
      <w:r>
        <w:t xml:space="preserve"> </w:t>
      </w:r>
      <m:oMath>
        <m:sSub>
          <m:e>
            <m:r>
              <m:t>γ</m:t>
            </m:r>
          </m:e>
          <m:sub>
            <m:r>
              <m:rPr>
                <m:sty m:val="p"/>
              </m:rPr>
              <m:t>max</m:t>
            </m:r>
          </m:sub>
        </m:sSub>
        <m:r>
          <m:rPr>
            <m:sty m:val="p"/>
          </m:rPr>
          <m:t>=</m:t>
        </m:r>
        <m:r>
          <m:t>4</m:t>
        </m:r>
      </m:oMath>
      <w:r>
        <w:t xml:space="preserve"> </w:t>
      </w:r>
      <w:r>
        <w:t xml:space="preserve">is what</w:t>
      </w:r>
      <w:r>
        <w:t xml:space="preserve"> </w:t>
      </w:r>
      <w:r>
        <w:t xml:space="preserve">the vote actually sees; the derived magnitude is not doing the</w:t>
      </w:r>
      <w:r>
        <w:t xml:space="preserve"> </w:t>
      </w:r>
      <w:r>
        <w:t xml:space="preserve">work there, the sign is. Conversely, at</w:t>
      </w:r>
      <w:r>
        <w:t xml:space="preserve"> </w:t>
      </w:r>
      <m:oMath>
        <m:r>
          <m:t>κ</m:t>
        </m:r>
        <m:r>
          <m:rPr>
            <m:sty m:val="p"/>
          </m:rPr>
          <m:t>=</m:t>
        </m:r>
        <m:r>
          <m:rPr>
            <m:sty m:val="p"/>
          </m:rPr>
          <m:t>±</m:t>
        </m:r>
        <m:r>
          <m:t>0.1</m:t>
        </m:r>
        <m:r>
          <m:rPr>
            <m:sty m:val="p"/>
          </m:rPr>
          <m:t>,</m:t>
        </m:r>
        <m:r>
          <m:rPr>
            <m:sty m:val="p"/>
          </m:rPr>
          <m:t>±</m:t>
        </m:r>
        <m:r>
          <m:t>0.2</m:t>
        </m:r>
      </m:oMath>
      <w:r>
        <w:t xml:space="preserve">, where the</w:t>
      </w:r>
      <w:r>
        <w:t xml:space="preserve"> </w:t>
      </w:r>
      <w:r>
        <w:t xml:space="preserve">derived value lands strictly inside the cap (</w:t>
      </w:r>
      <m:oMath>
        <m:r>
          <m:rPr>
            <m:sty m:val="p"/>
          </m:rPr>
          <m:t>±</m:t>
        </m:r>
        <m:r>
          <m:t>1.06</m:t>
        </m:r>
      </m:oMath>
      <w:r>
        <w:t xml:space="preserve"> </w:t>
      </w:r>
      <w:r>
        <w:t xml:space="preserve">to</w:t>
      </w:r>
      <w:r>
        <w:t xml:space="preserve"> </w:t>
      </w:r>
      <m:oMath>
        <m:r>
          <m:rPr>
            <m:sty m:val="p"/>
          </m:rPr>
          <m:t>±</m:t>
        </m:r>
        <m:r>
          <m:t>2.80</m:t>
        </m:r>
      </m:oMath>
      <w:r>
        <w:t xml:space="preserve">),</w:t>
      </w:r>
      <w:r>
        <w:t xml:space="preserve"> </w:t>
      </w:r>
      <w:r>
        <w:rPr>
          <w:smallCaps/>
        </w:rPr>
        <w:t xml:space="preserve">tact</w:t>
      </w:r>
      <w:r>
        <w:t xml:space="preserve">-dev trails the dev-picked signed grid on all four cells (</w:t>
      </w:r>
      <m:oMath>
        <m:r>
          <m:t>0.880</m:t>
        </m:r>
      </m:oMath>
      <w:r>
        <w:t xml:space="preserve"> </w:t>
      </w:r>
      <w:r>
        <w:t xml:space="preserve">vs. </w:t>
      </w:r>
      <m:oMath>
        <m:r>
          <m:t>0.892</m:t>
        </m:r>
      </m:oMath>
      <w:r>
        <w:t xml:space="preserve">;</w:t>
      </w:r>
      <w:r>
        <w:t xml:space="preserve"> </w:t>
      </w:r>
      <m:oMath>
        <m:r>
          <m:t>0.902</m:t>
        </m:r>
      </m:oMath>
      <w:r>
        <w:t xml:space="preserve"> </w:t>
      </w:r>
      <w:r>
        <w:t xml:space="preserve">vs. </w:t>
      </w:r>
      <m:oMath>
        <m:r>
          <m:t>0.917</m:t>
        </m:r>
      </m:oMath>
      <w:r>
        <w:t xml:space="preserve">;</w:t>
      </w:r>
      <w:r>
        <w:t xml:space="preserve"> </w:t>
      </w:r>
      <m:oMath>
        <m:r>
          <m:t>0.978</m:t>
        </m:r>
      </m:oMath>
      <w:r>
        <w:t xml:space="preserve"> </w:t>
      </w:r>
      <w:r>
        <w:t xml:space="preserve">vs. </w:t>
      </w:r>
      <m:oMath>
        <m:r>
          <m:t>0.993</m:t>
        </m:r>
      </m:oMath>
      <w:r>
        <w:t xml:space="preserve">;</w:t>
      </w:r>
      <w:r>
        <w:t xml:space="preserve"> </w:t>
      </w:r>
      <m:oMath>
        <m:r>
          <m:t>0.988</m:t>
        </m:r>
      </m:oMath>
      <w:r>
        <w:t xml:space="preserve"> </w:t>
      </w:r>
      <w:r>
        <w:t xml:space="preserve">vs. </w:t>
      </w:r>
      <m:oMath>
        <m:r>
          <m:t>0.993</m:t>
        </m:r>
      </m:oMath>
      <w:r>
        <w:t xml:space="preserve">).</w:t>
      </w:r>
      <w:r>
        <w:t xml:space="preserve"> </w:t>
      </w:r>
      <w:r>
        <w:t xml:space="preserve">Read together: against the</w:t>
      </w:r>
      <w:r>
        <w:t xml:space="preserve"> </w:t>
      </w:r>
      <w:r>
        <w:rPr>
          <w:i/>
          <w:iCs/>
        </w:rPr>
        <w:t xml:space="preserve">published</w:t>
      </w:r>
      <w:r>
        <w:t xml:space="preserve"> </w:t>
      </w:r>
      <w:r>
        <w:t xml:space="preserve">protocols the advantage is large</w:t>
      </w:r>
      <w:r>
        <w:t xml:space="preserve"> </w:t>
      </w:r>
      <w:r>
        <w:t xml:space="preserve">and comes from representing the sign at all, whereas against a signed grid the</w:t>
      </w:r>
      <w:r>
        <w:t xml:space="preserve"> </w:t>
      </w:r>
      <w:r>
        <w:t xml:space="preserve">analytic map is not better at choosing a magnitude on these cells. Its</w:t>
      </w:r>
      <w:r>
        <w:t xml:space="preserve"> </w:t>
      </w:r>
      <w:r>
        <w:t xml:space="preserve">advantage over the grid is elsewhere, in the three cells named in C4, and the</w:t>
      </w:r>
      <w:r>
        <w:t xml:space="preserve"> </w:t>
      </w:r>
      <w:r>
        <w:t xml:space="preserve">one place the interpolation itself pays is confident echo, where</w:t>
      </w:r>
      <w:r>
        <w:t xml:space="preserve"> </w:t>
      </w:r>
      <m:oMath>
        <m:r>
          <m:t>γ</m:t>
        </m:r>
        <m:r>
          <m:rPr>
            <m:sty m:val="p"/>
          </m:rPr>
          <m:t>=</m:t>
        </m:r>
        <m:r>
          <m:rPr>
            <m:sty m:val="p"/>
          </m:rPr>
          <m:t>−</m:t>
        </m:r>
        <m:r>
          <m:t>1.198</m:t>
        </m:r>
      </m:oMath>
      <w:r>
        <w:t xml:space="preserve"> </w:t>
      </w:r>
      <w:r>
        <w:t xml:space="preserve">falls between grid points and beats the grid optimum</w:t>
      </w:r>
      <w:r>
        <w:t xml:space="preserve"> </w:t>
      </w:r>
      <m:oMath>
        <m:r>
          <m:t>γ</m:t>
        </m:r>
        <m:r>
          <m:rPr>
            <m:sty m:val="p"/>
          </m:rPr>
          <m:t>=</m:t>
        </m:r>
        <m:r>
          <m:rPr>
            <m:sty m:val="p"/>
          </m:rPr>
          <m:t>−</m:t>
        </m:r>
        <m:r>
          <m:t>1</m:t>
        </m:r>
      </m:oMath>
      <w:r>
        <w:t xml:space="preserve"> </w:t>
      </w:r>
      <w:r>
        <w:t xml:space="preserve">(</w:t>
      </w:r>
      <m:oMath>
        <m:r>
          <m:t>0.585</m:t>
        </m:r>
      </m:oMath>
      <w:r>
        <w:t xml:space="preserve"> </w:t>
      </w:r>
      <w:r>
        <w:t xml:space="preserve">vs. </w:t>
      </w:r>
      <m:oMath>
        <m:r>
          <m:t>0.550</m:t>
        </m:r>
      </m:oMath>
      <w:r>
        <w:t xml:space="preserve">).</w:t>
      </w:r>
    </w:p>
    <w:bookmarkEnd w:id="55"/>
    <w:bookmarkStart w:id="6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59" w:name="fig:adv"/>
    <w:p>
      <w:pPr>
        <w:pStyle w:val="CaptionedFigure"/>
      </w:pPr>
      <w:r>
        <w:drawing>
          <wp:inline>
            <wp:extent cx="5334000" cy="2726266"/>
            <wp:effectExtent b="0" l="0" r="0" t="0"/>
            <wp:docPr descr="" title="" id="57" name="Picture"/>
            <a:graphic>
              <a:graphicData uri="http://schemas.openxmlformats.org/drawingml/2006/picture">
                <pic:pic>
                  <pic:nvPicPr>
                    <pic:cNvPr descr="figs/tact_adversarial.png" id="58" name="Picture"/>
                    <pic:cNvPicPr>
                      <a:picLocks noChangeArrowheads="1" noChangeAspect="1"/>
                    </pic:cNvPicPr>
                  </pic:nvPicPr>
                  <pic:blipFill>
                    <a:blip r:embed="rId5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59"/>
    <w:bookmarkEnd w:id="60"/>
    <w:bookmarkStart w:id="6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 (dev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6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61"/>
    <w:bookmarkStart w:id="65" w:name="fig:group"/>
    <w:p>
      <w:pPr>
        <w:pStyle w:val="CaptionedFigure"/>
      </w:pPr>
      <w:r>
        <w:drawing>
          <wp:inline>
            <wp:extent cx="5334000" cy="2133600"/>
            <wp:effectExtent b="0" l="0" r="0" t="0"/>
            <wp:docPr descr="" title="" id="63" name="Picture"/>
            <a:graphic>
              <a:graphicData uri="http://schemas.openxmlformats.org/drawingml/2006/picture">
                <pic:pic>
                  <pic:nvPicPr>
                    <pic:cNvPr descr="figs/group_eval.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65"/>
    <w:bookmarkEnd w:id="66"/>
    <w:bookmarkStart w:id="6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nowhere more than the pre-registered</w:t>
      </w:r>
      <w:r>
        <w:t xml:space="preserve"> </w:t>
      </w:r>
      <m:oMath>
        <m:r>
          <m:t>0.02</m:t>
        </m:r>
      </m:oMath>
      <w:r>
        <w:t xml:space="preserve"> </w:t>
      </w:r>
      <w:r>
        <w:t xml:space="preserve">accuracy tolerance below</w:t>
      </w:r>
      <w:r>
        <w:t xml:space="preserve"> </w:t>
      </w:r>
      <w:r>
        <w:rPr>
          <w:smallCaps/>
        </w:rPr>
        <w:t xml:space="preserve">sc</w:t>
      </w:r>
      <w:r>
        <w:t xml:space="preserve">), F3 (sweep means</w:t>
      </w:r>
      <w:r>
        <w:t xml:space="preserve"> </w:t>
      </w:r>
      <m:oMath>
        <m:r>
          <m:t>0.954</m:t>
        </m:r>
      </m:oMath>
      <w:r>
        <w:t xml:space="preserve"> </w:t>
      </w:r>
      <w:r>
        <w:t xml:space="preserve">vs. </w:t>
      </w:r>
      <m:oMath>
        <m:r>
          <m:t>0.811</m:t>
        </m:r>
      </m:oMath>
      <w:r>
        <w:t xml:space="preserve">), and F4 (both grid baselines trail by</w:t>
      </w:r>
      <w:r>
        <w:t xml:space="preserve"> </w:t>
      </w:r>
      <m:oMath>
        <m:r>
          <m:t>0.035</m:t>
        </m:r>
      </m:oMath>
      <w:r>
        <w:t xml:space="preserve"> </w:t>
      </w:r>
      <w:r>
        <w:t xml:space="preserve">on the distortion and echo cells, and neither can operate without labels).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67"/>
    <w:bookmarkStart w:id="69" w:name="sec:tests"/>
    <w:p>
      <w:pPr>
        <w:pStyle w:val="Heading2"/>
      </w:pPr>
      <w:r>
        <w:t xml:space="preserve">Verification of the implementation</w:t>
      </w:r>
    </w:p>
    <w:p>
      <w:pPr>
        <w:pStyle w:val="FirstParagraph"/>
      </w:pPr>
      <w:r>
        <w:t xml:space="preserve">Because every claim in Sections </w:t>
      </w:r>
      <w:hyperlink w:anchor="sec:method">
        <w:r>
          <w:rPr>
            <w:rStyle w:val="Hyperlink"/>
          </w:rPr>
          <w:t xml:space="preserve">4</w:t>
        </w:r>
      </w:hyperlink>
      <w:r>
        <w:t xml:space="preserve">–</w:t>
      </w:r>
      <w:hyperlink w:anchor="sec:hetero">
        <w:r>
          <w:rPr>
            <w:rStyle w:val="Hyperlink"/>
          </w:rPr>
          <w:t xml:space="preserve">6</w:t>
        </w:r>
      </w:hyperlink>
      <w:r>
        <w:t xml:space="preserve"> </w:t>
      </w:r>
      <w:r>
        <w:t xml:space="preserve">is a</w:t>
      </w:r>
      <w:r>
        <w:t xml:space="preserve"> </w:t>
      </w:r>
      <w:r>
        <w:t xml:space="preserve">mathematical property rather than an empirical trend, the released code pins</w:t>
      </w:r>
      <w:r>
        <w:t xml:space="preserve"> </w:t>
      </w:r>
      <w:r>
        <w:t xml:space="preserve">each one with an executable test; the suite is 98 tests covering</w:t>
      </w:r>
      <w:r>
        <w:t xml:space="preserve"> </w:t>
      </w:r>
      <w:r>
        <w:rPr>
          <w:smallCaps/>
        </w:rPr>
        <w:t xml:space="preserve">tact</w:t>
      </w:r>
      <w:r>
        <w:t xml:space="preserve"> </w:t>
      </w:r>
      <w:r>
        <w:t xml:space="preserve">and the</w:t>
      </w:r>
      <w:r>
        <w:t xml:space="preserve"> </w:t>
      </w:r>
      <w:r>
        <w:t xml:space="preserve">follow-on work, and runs in 82 seconds. Table </w:t>
      </w:r>
      <w:hyperlink w:anchor="tab:tests">
        <w:r>
          <w:rPr>
            <w:rStyle w:val="Hyperlink"/>
          </w:rPr>
          <w:t xml:space="preserve">4</w:t>
        </w:r>
      </w:hyperlink>
      <w:r>
        <w:t xml:space="preserve"> </w:t>
      </w:r>
      <w:r>
        <w:t xml:space="preserve">maps propositions to the tests that would fail if they stopped holding.</w:t>
      </w:r>
    </w:p>
    <w:bookmarkStart w:id="68" w:name="tab:tests"/>
    <w:p>
      <w:pPr>
        <w:pStyle w:val="TableCaption"/>
      </w:pPr>
      <w:r>
        <w:t xml:space="preserve">What the test suite verifies. Every proposition in the paper has an</w:t>
      </w:r>
      <w:r>
        <w:t xml:space="preserve"> </w:t>
      </w:r>
      <w:r>
        <w:t xml:space="preserve">executable counterpart; the counter-tests fail deliberately on rejected</w:t>
      </w:r>
      <w:r>
        <w:t xml:space="preserve"> </w:t>
      </w:r>
      <w:r>
        <w:t xml:space="preserve">alternatives so a regression cannot silently reinstate them.</w:t>
      </w:r>
    </w:p>
    <w:tbl>
      <w:tblPr>
        <w:tblStyle w:val="Table"/>
        <w:tblW w:type="auto" w:w="0"/>
        <w:tblLook w:firstRow="1" w:lastRow="0" w:firstColumn="0" w:lastColumn="0" w:noHBand="0" w:noVBand="0" w:val="0020"/>
        <w:tblCaption w:val="What the test suite verifies. Every proposition in the paper has an executable counterpart; the counter-tests fail deliberately on rejected alternatives so a regression cannot silently reinstate them."/>
      </w:tblPr>
      <w:tblGrid>
        <w:gridCol w:w="2640"/>
        <w:gridCol w:w="2640"/>
        <w:gridCol w:w="2640"/>
      </w:tblGrid>
      <w:tr>
        <w:trPr>
          <w:tblHeader w:val="on"/>
        </w:trPr>
        <w:tc>
          <w:tcPr/>
          <w:p>
            <w:pPr>
              <w:pStyle w:val="Compact"/>
              <w:jc w:val="left"/>
            </w:pPr>
            <w:r>
              <w:t xml:space="preserve">Claim</w:t>
            </w:r>
          </w:p>
        </w:tc>
        <w:tc>
          <w:tcPr/>
          <w:p>
            <w:pPr>
              <w:pStyle w:val="Compact"/>
              <w:jc w:val="left"/>
            </w:pPr>
            <w:r>
              <w:t xml:space="preserve">Test</w:t>
            </w:r>
          </w:p>
        </w:tc>
        <w:tc>
          <w:tcPr/>
          <w:p>
            <w:pPr>
              <w:pStyle w:val="Compact"/>
              <w:jc w:val="left"/>
            </w:pPr>
            <w:r>
              <w:t xml:space="preserve">Evidence</w:t>
            </w:r>
          </w:p>
        </w:tc>
      </w:tr>
      <w:tr>
        <w:tc>
          <w:tcPr/>
          <w:p>
            <w:pPr>
              <w:pStyle w:val="Compact"/>
              <w:jc w:val="left"/>
            </w:pPr>
            <w:r>
              <w:t xml:space="preserve">Prop. </w:t>
            </w:r>
            <w:hyperlink w:anchor="prop:sc">
              <w:r>
                <w:rPr>
                  <w:rStyle w:val="Hyperlink"/>
                </w:rPr>
                <w:t xml:space="preserve">1</w:t>
              </w:r>
            </w:hyperlink>
            <w:r>
              <w:t xml:space="preserve"> </w:t>
            </w:r>
            <w:r>
              <w:t xml:space="preserve">(exact</w:t>
            </w:r>
            <w:r>
              <w:t xml:space="preserve"> </w:t>
            </w:r>
            <w:r>
              <w:rPr>
                <w:smallCaps/>
              </w:rPr>
              <w:t xml:space="preserve">sc</w:t>
            </w:r>
            <w:r>
              <w:t xml:space="preserve">)</w:t>
            </w:r>
          </w:p>
        </w:tc>
        <w:tc>
          <w:tcPr/>
          <w:p>
            <w:pPr>
              <w:pStyle w:val="Compact"/>
              <w:jc w:val="left"/>
            </w:pPr>
            <w:r>
              <w:rPr>
                <w:rStyle w:val="VerbatimChar"/>
              </w:rPr>
              <w:t xml:space="preserve">gamma_zero_is_</w:t>
            </w:r>
            <w:r>
              <w:t xml:space="preserve"> </w:t>
            </w:r>
            <w:r>
              <w:rPr>
                <w:rStyle w:val="VerbatimChar"/>
              </w:rPr>
              <w:t xml:space="preserve">bitwise_sc</w:t>
            </w:r>
          </w:p>
        </w:tc>
        <w:tc>
          <w:tcPr/>
          <w:p>
            <w:pPr>
              <w:pStyle w:val="Compact"/>
              <w:jc w:val="left"/>
            </w:pPr>
            <w:r>
              <w:t xml:space="preserve">200 random pools, identical incl. ties</w:t>
            </w:r>
          </w:p>
        </w:tc>
      </w:tr>
      <w:tr>
        <w:tc>
          <w:tcPr/>
          <w:p>
            <w:pPr>
              <w:pStyle w:val="Compact"/>
              <w:jc w:val="left"/>
            </w:pPr>
            <w:r>
              <w:t xml:space="preserve">Dead-zone rate</w:t>
            </w:r>
          </w:p>
        </w:tc>
        <w:tc>
          <w:tcPr/>
          <w:p>
            <w:pPr>
              <w:pStyle w:val="Compact"/>
              <w:jc w:val="left"/>
            </w:pPr>
            <w:r>
              <w:rPr>
                <w:rStyle w:val="VerbatimChar"/>
              </w:rPr>
              <w:t xml:space="preserve">dead_zone_</w:t>
            </w:r>
            <w:r>
              <w:t xml:space="preserve"> </w:t>
            </w:r>
            <w:r>
              <w:rPr>
                <w:rStyle w:val="VerbatimChar"/>
              </w:rPr>
              <w:t xml:space="preserve">probability</w:t>
            </w:r>
          </w:p>
        </w:tc>
        <w:tc>
          <w:tcPr/>
          <w:p>
            <w:pPr>
              <w:pStyle w:val="Compact"/>
              <w:jc w:val="left"/>
            </w:pPr>
            <m:oMath>
              <m:r>
                <m:rPr>
                  <m:sty m:val="p"/>
                </m:rPr>
                <m:t>&gt;</m:t>
              </m:r>
            </m:oMath>
            <w:r>
              <w:t xml:space="preserve">70% under</w:t>
            </w:r>
            <w:r>
              <w:t xml:space="preserve"> </w:t>
            </w:r>
            <m:oMath>
              <m:r>
                <m:t>D</m:t>
              </m:r>
              <m:r>
                <m:rPr>
                  <m:sty m:val="p"/>
                </m:rPr>
                <m:t>=</m:t>
              </m:r>
              <m:r>
                <m:t>0</m:t>
              </m:r>
            </m:oMath>
            <w:r>
              <w:t xml:space="preserve">, 300 trials</w:t>
            </w:r>
          </w:p>
        </w:tc>
      </w:tr>
      <w:tr>
        <w:tc>
          <w:tcPr/>
          <w:p>
            <w:pPr>
              <w:pStyle w:val="Compact"/>
              <w:jc w:val="left"/>
            </w:pPr>
            <w:r>
              <w:t xml:space="preserve">Prop. </w:t>
            </w:r>
            <w:hyperlink w:anchor="prop:cisc">
              <w:r>
                <w:rPr>
                  <w:rStyle w:val="Hyperlink"/>
                </w:rPr>
                <w:t xml:space="preserve">2</w:t>
              </w:r>
            </w:hyperlink>
            <w:r>
              <w:t xml:space="preserve"> </w:t>
            </w:r>
            <w:r>
              <w:t xml:space="preserve">(exact CISC)</w:t>
            </w:r>
          </w:p>
        </w:tc>
        <w:tc>
          <w:tcPr/>
          <w:p>
            <w:pPr>
              <w:pStyle w:val="Compact"/>
              <w:jc w:val="left"/>
            </w:pPr>
            <w:r>
              <w:rPr>
                <w:rStyle w:val="VerbatimChar"/>
              </w:rPr>
              <w:t xml:space="preserve">logval_phi_</w:t>
            </w:r>
            <w:r>
              <w:t xml:space="preserve"> </w:t>
            </w:r>
            <w:r>
              <w:rPr>
                <w:rStyle w:val="VerbatimChar"/>
              </w:rPr>
              <w:t xml:space="preserve">reproduces_cisc</w:t>
            </w:r>
          </w:p>
        </w:tc>
        <w:tc>
          <w:tcPr/>
          <w:p>
            <w:pPr>
              <w:pStyle w:val="Compact"/>
              <w:jc w:val="left"/>
            </w:pPr>
            <w:r>
              <w:t xml:space="preserve">identical vote shares, 100 pools</w:t>
            </w:r>
          </w:p>
        </w:tc>
      </w:tr>
      <w:tr>
        <w:tc>
          <w:tcPr/>
          <w:p>
            <w:pPr>
              <w:pStyle w:val="Compact"/>
              <w:jc w:val="left"/>
            </w:pPr>
            <w:r>
              <w:t xml:space="preserve">Rank invariance</w:t>
            </w:r>
          </w:p>
        </w:tc>
        <w:tc>
          <w:tcPr/>
          <w:p>
            <w:pPr>
              <w:pStyle w:val="Compact"/>
              <w:jc w:val="left"/>
            </w:pPr>
            <w:r>
              <w:rPr>
                <w:rStyle w:val="VerbatimChar"/>
              </w:rPr>
              <w:t xml:space="preserve">monotone_</w:t>
            </w:r>
            <w:r>
              <w:t xml:space="preserve"> </w:t>
            </w:r>
            <w:r>
              <w:rPr>
                <w:rStyle w:val="VerbatimChar"/>
              </w:rPr>
              <w:t xml:space="preserve">invariance</w:t>
            </w:r>
          </w:p>
        </w:tc>
        <w:tc>
          <w:tcPr/>
          <w:p>
            <w:pPr>
              <w:pStyle w:val="Compact"/>
              <w:jc w:val="left"/>
            </w:pPr>
            <w:r>
              <w:t xml:space="preserve">3 distortions</w:t>
            </w:r>
            <w:r>
              <w:t xml:space="preserve"> </w:t>
            </w:r>
            <m:oMath>
              <m:r>
                <m:rPr>
                  <m:sty m:val="p"/>
                </m:rPr>
                <m:t>×</m:t>
              </m:r>
            </m:oMath>
            <w:r>
              <w:t xml:space="preserve"> </w:t>
            </w:r>
            <w:r>
              <w:t xml:space="preserve">100 pools</w:t>
            </w:r>
          </w:p>
        </w:tc>
      </w:tr>
      <w:tr>
        <w:tc>
          <w:tcPr/>
          <w:p>
            <w:pPr>
              <w:pStyle w:val="Compact"/>
              <w:jc w:val="left"/>
            </w:pPr>
            <w:r>
              <w:t xml:space="preserve">Null variance</w:t>
            </w:r>
          </w:p>
        </w:tc>
        <w:tc>
          <w:tcPr/>
          <w:p>
            <w:pPr>
              <w:pStyle w:val="Compact"/>
              <w:jc w:val="left"/>
            </w:pPr>
            <w:r>
              <w:rPr>
                <w:rStyle w:val="VerbatimChar"/>
              </w:rPr>
              <w:t xml:space="preserve">null_variance_</w:t>
            </w:r>
            <w:r>
              <w:t xml:space="preserve"> </w:t>
            </w:r>
            <w:r>
              <w:rPr>
                <w:rStyle w:val="VerbatimChar"/>
              </w:rPr>
              <w:t xml:space="preserve">matches_permutation</w:t>
            </w:r>
          </w:p>
        </w:tc>
        <w:tc>
          <w:tcPr/>
          <w:p>
            <w:pPr>
              <w:pStyle w:val="Compact"/>
              <w:jc w:val="left"/>
            </w:pPr>
            <w:r>
              <w:t xml:space="preserve">3</w:t>
            </w:r>
            <w:r>
              <w:t xml:space="preserve">,</w:t>
            </w:r>
            <w:r>
              <w:t xml:space="preserve">000-draw permutation, 10% tol. </w:t>
            </w:r>
          </w:p>
        </w:tc>
      </w:tr>
      <w:tr>
        <w:tc>
          <w:tcPr/>
          <w:p>
            <w:pPr>
              <w:pStyle w:val="Compact"/>
              <w:jc w:val="left"/>
            </w:pPr>
            <w:r>
              <w:t xml:space="preserve">JS–EB identity</w:t>
            </w:r>
          </w:p>
        </w:tc>
        <w:tc>
          <w:tcPr/>
          <w:p>
            <w:pPr>
              <w:pStyle w:val="Compact"/>
              <w:jc w:val="left"/>
            </w:pPr>
            <w:r>
              <w:rPr>
                <w:rStyle w:val="VerbatimChar"/>
              </w:rPr>
              <w:t xml:space="preserve">js_eb_identity</w:t>
            </w:r>
          </w:p>
        </w:tc>
        <w:tc>
          <w:tcPr/>
          <w:p>
            <w:pPr>
              <w:pStyle w:val="Compact"/>
              <w:jc w:val="left"/>
            </w:pPr>
            <w:r>
              <w:t xml:space="preserve">exact to</w:t>
            </w:r>
            <w:r>
              <w:t xml:space="preserve"> </w:t>
            </w:r>
            <m:oMath>
              <m:sSup>
                <m:e>
                  <m:r>
                    <m:t>10</m:t>
                  </m:r>
                </m:e>
                <m:sup>
                  <m:r>
                    <m:rPr>
                      <m:sty m:val="p"/>
                    </m:rPr>
                    <m:t>−</m:t>
                  </m:r>
                  <m:r>
                    <m:t>12</m:t>
                  </m:r>
                </m:sup>
              </m:sSup>
            </m:oMath>
          </w:p>
        </w:tc>
      </w:tr>
      <w:tr>
        <w:tc>
          <w:tcPr/>
          <w:p>
            <w:pPr>
              <w:pStyle w:val="Compact"/>
              <w:jc w:val="left"/>
            </w:pPr>
            <w:r>
              <w:t xml:space="preserve">Link</w:t>
            </w:r>
            <w:r>
              <w:t xml:space="preserve"> </w:t>
            </w:r>
            <w:hyperlink w:anchor="eq:link">
              <w:r>
                <w:rPr>
                  <w:rStyle w:val="Hyperlink"/>
                </w:rPr>
                <w:t xml:space="preserve">[eq:link]</w:t>
              </w:r>
            </w:hyperlink>
          </w:p>
        </w:tc>
        <w:tc>
          <w:tcPr/>
          <w:p>
            <w:pPr>
              <w:pStyle w:val="Compact"/>
              <w:jc w:val="left"/>
            </w:pPr>
            <w:r>
              <w:rPr>
                <w:rStyle w:val="VerbatimChar"/>
              </w:rPr>
              <w:t xml:space="preserve">link_values_and_</w:t>
            </w:r>
            <w:r>
              <w:t xml:space="preserve"> </w:t>
            </w:r>
            <w:r>
              <w:rPr>
                <w:rStyle w:val="VerbatimChar"/>
              </w:rPr>
              <w:t xml:space="preserve">mixture_correction</w:t>
            </w:r>
          </w:p>
        </w:tc>
        <w:tc>
          <w:tcPr/>
          <w:p>
            <w:pPr>
              <w:pStyle w:val="Compact"/>
              <w:jc w:val="left"/>
            </w:pPr>
            <w:r>
              <w:t xml:space="preserve">closed form, rel. </w:t>
            </w:r>
            <m:oMath>
              <m:sSup>
                <m:e>
                  <m:r>
                    <m:t>10</m:t>
                  </m:r>
                </m:e>
                <m:sup>
                  <m:r>
                    <m:rPr>
                      <m:sty m:val="p"/>
                    </m:rPr>
                    <m:t>−</m:t>
                  </m:r>
                  <m:r>
                    <m:t>9</m:t>
                  </m:r>
                </m:sup>
              </m:sSup>
            </m:oMath>
          </w:p>
        </w:tc>
      </w:tr>
      <w:tr>
        <w:tc>
          <w:tcPr/>
          <w:p>
            <w:pPr>
              <w:pStyle w:val="Compact"/>
              <w:jc w:val="left"/>
            </w:pPr>
            <w:r>
              <w:t xml:space="preserve">Prop. </w:t>
            </w:r>
            <w:hyperlink w:anchor="prop:ccn">
              <w:r>
                <w:rPr>
                  <w:rStyle w:val="Hyperlink"/>
                </w:rPr>
                <w:t xml:space="preserve">4</w:t>
              </w:r>
            </w:hyperlink>
            <w:r>
              <w:t xml:space="preserve"> </w:t>
            </w:r>
            <w:r>
              <w:t xml:space="preserve">(attenuation)</w:t>
            </w:r>
          </w:p>
        </w:tc>
        <w:tc>
          <w:tcPr/>
          <w:p>
            <w:pPr>
              <w:pStyle w:val="Compact"/>
              <w:jc w:val="left"/>
            </w:pPr>
            <w:r>
              <w:rPr>
                <w:rStyle w:val="VerbatimChar"/>
              </w:rPr>
              <w:t xml:space="preserve">poisoning_</w:t>
            </w:r>
            <w:r>
              <w:t xml:space="preserve"> </w:t>
            </w:r>
            <w:r>
              <w:rPr>
                <w:rStyle w:val="VerbatimChar"/>
              </w:rPr>
              <w:t xml:space="preserve">attenuation_linear</w:t>
            </w:r>
          </w:p>
        </w:tc>
        <w:tc>
          <w:tcPr/>
          <w:p>
            <w:pPr>
              <w:pStyle w:val="Compact"/>
              <w:jc w:val="left"/>
            </w:pPr>
            <m:oMath>
              <m:r>
                <m:t>ρ</m:t>
              </m:r>
              <m:r>
                <m:rPr>
                  <m:sty m:val="p"/>
                </m:rPr>
                <m:t>∈</m:t>
              </m:r>
              <m:r>
                <m:rPr>
                  <m:sty m:val="p"/>
                </m:rPr>
                <m:t>{</m:t>
              </m:r>
              <m:r>
                <m:t>.1</m:t>
              </m:r>
              <m:r>
                <m:rPr>
                  <m:sty m:val="p"/>
                </m:rPr>
                <m:t>,</m:t>
              </m:r>
              <m:r>
                <m:t>.25</m:t>
              </m:r>
              <m:r>
                <m:rPr>
                  <m:sty m:val="p"/>
                </m:rPr>
                <m:t>,</m:t>
              </m:r>
              <m:r>
                <m:t>.4</m:t>
              </m:r>
              <m:r>
                <m:rPr>
                  <m:sty m:val="p"/>
                </m:rPr>
                <m:t>}</m:t>
              </m:r>
            </m:oMath>
            <w:r>
              <w:t xml:space="preserve">, abs. </w:t>
            </w:r>
            <m:oMath>
              <m:r>
                <m:t>.06</m:t>
              </m:r>
            </m:oMath>
          </w:p>
        </w:tc>
      </w:tr>
      <w:tr>
        <w:tc>
          <w:tcPr/>
          <w:p>
            <w:pPr>
              <w:pStyle w:val="Compact"/>
              <w:jc w:val="left"/>
            </w:pPr>
            <w:r>
              <w:t xml:space="preserve">Props. </w:t>
            </w:r>
            <w:hyperlink w:anchor="prop:selfreinf">
              <w:r>
                <w:rPr>
                  <w:rStyle w:val="Hyperlink"/>
                </w:rPr>
                <w:t xml:space="preserve">5</w:t>
              </w:r>
            </w:hyperlink>
            <w:r>
              <w:t xml:space="preserve">–</w:t>
            </w:r>
            <w:hyperlink w:anchor="prop:twoworld">
              <w:r>
                <w:rPr>
                  <w:rStyle w:val="Hyperlink"/>
                </w:rPr>
                <w:t xml:space="preserve">7</w:t>
              </w:r>
            </w:hyperlink>
          </w:p>
        </w:tc>
        <w:tc>
          <w:tcPr/>
          <w:p>
            <w:pPr>
              <w:pStyle w:val="Compact"/>
              <w:jc w:val="left"/>
            </w:pPr>
            <w:r>
              <w:rPr>
                <w:rStyle w:val="VerbatimChar"/>
              </w:rPr>
              <w:t xml:space="preserve">test_tact_group.py</w:t>
            </w:r>
          </w:p>
        </w:tc>
        <w:tc>
          <w:tcPr/>
          <w:p>
            <w:pPr>
              <w:pStyle w:val="Compact"/>
              <w:jc w:val="left"/>
            </w:pPr>
            <w:r>
              <w:t xml:space="preserve">97.5%</w:t>
            </w:r>
            <w:r>
              <w:t xml:space="preserve"> </w:t>
            </w:r>
            <w:r>
              <w:rPr>
                <w:smallCaps/>
              </w:rPr>
              <w:t xml:space="preserve">sc</w:t>
            </w:r>
            <w:r>
              <w:t xml:space="preserve"> </w:t>
            </w:r>
            <w:r>
              <w:t xml:space="preserve">agreement; 4% sign match</w:t>
            </w:r>
          </w:p>
        </w:tc>
      </w:tr>
      <w:tr>
        <w:tc>
          <w:tcPr/>
          <w:p>
            <w:pPr>
              <w:pStyle w:val="Compact"/>
              <w:jc w:val="left"/>
            </w:pPr>
            <w:r>
              <w:t xml:space="preserve">Estimator permutation-invariance</w:t>
            </w:r>
          </w:p>
        </w:tc>
        <w:tc>
          <w:tcPr/>
          <w:p>
            <w:pPr>
              <w:pStyle w:val="Compact"/>
              <w:jc w:val="left"/>
            </w:pPr>
            <w:r>
              <w:rPr>
                <w:rStyle w:val="VerbatimChar"/>
              </w:rPr>
              <w:t xml:space="preserve">estimator_is_</w:t>
            </w:r>
            <w:r>
              <w:t xml:space="preserve"> </w:t>
            </w:r>
            <w:r>
              <w:rPr>
                <w:rStyle w:val="VerbatimChar"/>
              </w:rPr>
              <w:t xml:space="preserve">permutation_invariant</w:t>
            </w:r>
          </w:p>
        </w:tc>
        <w:tc>
          <w:tcPr/>
          <w:p>
            <w:pPr>
              <w:pStyle w:val="Compact"/>
              <w:jc w:val="left"/>
            </w:pPr>
            <w:r>
              <w:t xml:space="preserve">bypasses the memo (regression test)</w:t>
            </w:r>
          </w:p>
        </w:tc>
      </w:tr>
      <w:tr>
        <w:tc>
          <w:tcPr/>
          <w:p>
            <w:pPr>
              <w:pStyle w:val="Compact"/>
              <w:jc w:val="left"/>
            </w:pPr>
            <w:r>
              <w:t xml:space="preserve">Rejected: Kish ESS</w:t>
            </w:r>
          </w:p>
        </w:tc>
        <w:tc>
          <w:tcPr/>
          <w:p>
            <w:pPr>
              <w:pStyle w:val="Compact"/>
              <w:jc w:val="left"/>
            </w:pPr>
            <w:r>
              <w:rPr>
                <w:rStyle w:val="VerbatimChar"/>
              </w:rPr>
              <w:t xml:space="preserve">kish_fails_T2_T3</w:t>
            </w:r>
          </w:p>
        </w:tc>
        <w:tc>
          <w:tcPr/>
          <w:p>
            <w:pPr>
              <w:pStyle w:val="Compact"/>
              <w:jc w:val="left"/>
            </w:pPr>
            <w:r>
              <w:t xml:space="preserve">asserts the failure</w:t>
            </w:r>
          </w:p>
        </w:tc>
      </w:tr>
      <w:tr>
        <w:tc>
          <w:tcPr/>
          <w:p>
            <w:pPr>
              <w:pStyle w:val="Compact"/>
              <w:jc w:val="left"/>
            </w:pPr>
            <w:r>
              <w:t xml:space="preserve">Rejected: SAFE guarantee under VoI</w:t>
            </w:r>
          </w:p>
        </w:tc>
        <w:tc>
          <w:tcPr/>
          <w:p>
            <w:pPr>
              <w:pStyle w:val="Compact"/>
              <w:jc w:val="left"/>
            </w:pPr>
            <w:r>
              <w:rPr>
                <w:rStyle w:val="VerbatimChar"/>
              </w:rPr>
              <w:t xml:space="preserve">frozen_default_</w:t>
            </w:r>
            <w:r>
              <w:t xml:space="preserve"> </w:t>
            </w:r>
            <w:r>
              <w:rPr>
                <w:rStyle w:val="VerbatimChar"/>
              </w:rPr>
              <w:t xml:space="preserve">breaks_guarantee</w:t>
            </w:r>
          </w:p>
        </w:tc>
        <w:tc>
          <w:tcPr/>
          <w:p>
            <w:pPr>
              <w:pStyle w:val="Compact"/>
              <w:jc w:val="left"/>
            </w:pPr>
            <w:r>
              <w:t xml:space="preserve">asserts the violation</w:t>
            </w:r>
          </w:p>
        </w:tc>
      </w:tr>
    </w:tbl>
    <w:bookmarkEnd w:id="68"/>
    <w:p>
      <w:pPr>
        <w:pStyle w:val="BodyText"/>
      </w:pPr>
      <w:r>
        <w:t xml:space="preserve">Two entries deserve comment. The permutation-invariance test was added after a</w:t>
      </w:r>
      <w:r>
        <w:t xml:space="preserve"> </w:t>
      </w:r>
      <w:r>
        <w:t xml:space="preserve">defect in which the memoisation key made the</w:t>
      </w:r>
      <w:r>
        <w:t xml:space="preserve"> </w:t>
      </w:r>
      <w:r>
        <w:rPr>
          <w:i/>
          <w:iCs/>
        </w:rPr>
        <w:t xml:space="preserve">test</w:t>
      </w:r>
      <w:r>
        <w:t xml:space="preserve"> </w:t>
      </w:r>
      <w:r>
        <w:t xml:space="preserve">pass while the</w:t>
      </w:r>
      <w:r>
        <w:t xml:space="preserve"> </w:t>
      </w:r>
      <w:r>
        <w:t xml:space="preserve">estimator itself was order-dependent by up to</w:t>
      </w:r>
      <w:r>
        <w:t xml:space="preserve"> </w:t>
      </w:r>
      <m:oMath>
        <m:r>
          <m:t>0.10</m:t>
        </m:r>
      </m:oMath>
      <w:r>
        <w:t xml:space="preserve">; it now calls the internal</w:t>
      </w:r>
      <w:r>
        <w:t xml:space="preserve"> </w:t>
      </w:r>
      <w:r>
        <w:t xml:space="preserve">routine directly. And the last two rows are counter-tests that assert</w:t>
      </w:r>
      <w:r>
        <w:t xml:space="preserve"> </w:t>
      </w:r>
      <w:r>
        <w:rPr>
          <w:i/>
          <w:iCs/>
        </w:rPr>
        <w:t xml:space="preserve">failure</w:t>
      </w:r>
      <w:r>
        <w:t xml:space="preserve"> </w:t>
      </w:r>
      <w:r>
        <w:t xml:space="preserve">of rejected alternatives — the Kish effective-sample-size</w:t>
      </w:r>
      <w:r>
        <w:t xml:space="preserve"> </w:t>
      </w:r>
      <w:r>
        <w:t xml:space="preserve">formulation and the claim that the shipped default honours the SAFE stopping</w:t>
      </w:r>
      <w:r>
        <w:t xml:space="preserve"> </w:t>
      </w:r>
      <w:r>
        <w:t xml:space="preserve">guarantee — so that neither can be silently reinstated by a later change.</w:t>
      </w:r>
    </w:p>
    <w:bookmarkEnd w:id="69"/>
    <w:bookmarkStart w:id="70"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 [</w:t>
      </w:r>
      <w:hyperlink w:anchor="bib:gsm8k2021">
        <w:r>
          <w:rPr>
            <w:rStyle w:val="Hyperlink"/>
          </w:rPr>
          <w:t xml:space="preserve">23</w:t>
        </w:r>
      </w:hyperlink>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of this first campaign: one model, two benchmarks,</w:t>
      </w:r>
      <w:r>
        <w:t xml:space="preserve"> </w:t>
      </w:r>
      <m:oMath>
        <m:r>
          <m:t>K</m:t>
        </m:r>
        <m:r>
          <m:rPr>
            <m:sty m:val="p"/>
          </m:rPr>
          <m:t>=</m:t>
        </m:r>
        <m:r>
          <m:t>12</m:t>
        </m:r>
      </m:oMath>
      <w:r>
        <w:t xml:space="preserve">. It confirms</w:t>
      </w:r>
      <w:r>
        <w:t xml:space="preserve"> </w:t>
      </w:r>
      <w:r>
        <w:t xml:space="preserve">the null-direction prediction and the calibration–discrimination argument, and</w:t>
      </w:r>
      <w:r>
        <w:t xml:space="preserve"> </w:t>
      </w:r>
      <w:r>
        <w:t xml:space="preserve">it is not evidence that</w:t>
      </w:r>
      <w:r>
        <w:t xml:space="preserve"> </w:t>
      </w:r>
      <w:r>
        <w:rPr>
          <w:smallCaps/>
        </w:rPr>
        <w:t xml:space="preserve">tact</w:t>
      </w:r>
      <w:r>
        <w:t xml:space="preserve"> </w:t>
      </w:r>
      <w:r>
        <w:t xml:space="preserve">improves accuracy, since the channel carried no</w:t>
      </w:r>
      <w:r>
        <w:t xml:space="preserve"> </w:t>
      </w:r>
      <w:r>
        <w:t xml:space="preserve">signal to exploit. Finding (c) predicts what to do about that, and</w:t>
      </w:r>
      <w:r>
        <w:t xml:space="preserve"> </w:t>
      </w:r>
      <w:r>
        <w:t xml:space="preserve">Section </w:t>
      </w:r>
      <w:hyperlink w:anchor="sec:hard">
        <w:r>
          <w:rPr>
            <w:rStyle w:val="Hyperlink"/>
          </w:rPr>
          <w:t xml:space="preserve">8.7</w:t>
        </w:r>
      </w:hyperlink>
      <w:r>
        <w:t xml:space="preserve"> </w:t>
      </w:r>
      <w:r>
        <w:t xml:space="preserve">does it.</w:t>
      </w:r>
    </w:p>
    <w:bookmarkEnd w:id="70"/>
    <w:bookmarkStart w:id="72" w:name="sec:hard"/>
    <w:p>
      <w:pPr>
        <w:pStyle w:val="Heading2"/>
      </w:pPr>
      <w:r>
        <w:t xml:space="preserve">Confirmatory campaign on harder items</w:t>
      </w:r>
    </w:p>
    <w:p>
      <w:pPr>
        <w:pStyle w:val="FirstParagraph"/>
      </w:pPr>
      <w:r>
        <w:t xml:space="preserve">Finding (c) predicts that a channel measured as null on saturated benchmarks</w:t>
      </w:r>
      <w:r>
        <w:t xml:space="preserve"> </w:t>
      </w:r>
      <w:r>
        <w:t xml:space="preserve">should become measurable on items the model finds genuinely uncertain. A</w:t>
      </w:r>
      <w:r>
        <w:t xml:space="preserve"> </w:t>
      </w:r>
      <w:r>
        <w:t xml:space="preserve">pre-registered follow-up tests that prediction:</w:t>
      </w:r>
      <w:r>
        <w:t xml:space="preserve"> </w:t>
      </w:r>
      <m:oMath>
        <m:r>
          <m:t>119</m:t>
        </m:r>
      </m:oMath>
      <w:r>
        <w:t xml:space="preserve"> </w:t>
      </w:r>
      <w:r>
        <w:t xml:space="preserve">MATH level-5 problems</w:t>
      </w:r>
      <w:r>
        <w:t xml:space="preserve"> </w:t>
      </w:r>
      <w:r>
        <w:t xml:space="preserve">[</w:t>
      </w:r>
      <w:hyperlink w:anchor="bib:math500">
        <w:r>
          <w:rPr>
            <w:rStyle w:val="Hyperlink"/>
          </w:rPr>
          <w:t xml:space="preserve">24</w:t>
        </w:r>
      </w:hyperlink>
      <w:r>
        <w:t xml:space="preserve">,</w:t>
      </w:r>
      <w:hyperlink w:anchor="bib:lightman2024verify">
        <w:r>
          <w:rPr>
            <w:rStyle w:val="Hyperlink"/>
          </w:rPr>
          <w:t xml:space="preserve">25</w:t>
        </w:r>
      </w:hyperlink>
      <w:r>
        <w:t xml:space="preserve">],</w:t>
      </w:r>
      <w:r>
        <w:t xml:space="preserve"> </w:t>
      </w:r>
      <m:oMath>
        <m:r>
          <m:t>16</m:t>
        </m:r>
      </m:oMath>
      <w:r>
        <w:t xml:space="preserve"> </w:t>
      </w:r>
      <w:r>
        <w:t xml:space="preserve">traces each from the same frozen</w:t>
      </w:r>
      <w:r>
        <w:t xml:space="preserve"> </w:t>
      </w:r>
      <w:r>
        <w:t xml:space="preserve">model, a</w:t>
      </w:r>
      <w:r>
        <w:t xml:space="preserve"> </w:t>
      </w:r>
      <m:oMath>
        <m:r>
          <m:t>30</m:t>
        </m:r>
      </m:oMath>
      <w:r>
        <w:t xml:space="preserve">-item sign set and an</w:t>
      </w:r>
      <w:r>
        <w:t xml:space="preserve"> </w:t>
      </w:r>
      <m:oMath>
        <m:r>
          <m:t>89</m:t>
        </m:r>
      </m:oMath>
      <w:r>
        <w:t xml:space="preserve">-item evaluation set drawn from the</w:t>
      </w:r>
      <w:r>
        <w:t xml:space="preserve"> </w:t>
      </w:r>
      <w:r>
        <w:t xml:space="preserve">registered list before any trace was collected, and five hypotheses (H1–H5)</w:t>
      </w:r>
      <w:r>
        <w:t xml:space="preserve"> </w:t>
      </w:r>
      <w:r>
        <w:t xml:space="preserve">fixed in advance.</w:t>
      </w:r>
    </w:p>
    <w:p>
      <w:pPr>
        <w:pStyle w:val="BodyText"/>
      </w:pPr>
      <w:r>
        <w:rPr>
          <w:i/>
          <w:iCs/>
        </w:rPr>
        <w:t xml:space="preserve">The channel is real.</w:t>
      </w:r>
      <w:r>
        <w:t xml:space="preserve"> </w:t>
      </w:r>
      <w:r>
        <w:t xml:space="preserve">On the evaluation set the pooled statistic is</w:t>
      </w:r>
      <w:r>
        <w:t xml:space="preserve"> </w:t>
      </w:r>
      <m:oMath>
        <m:acc>
          <m:accPr>
            <m:chr m:val="̂"/>
          </m:accPr>
          <m:e>
            <m:r>
              <m:t>D</m:t>
            </m:r>
          </m:e>
        </m:acc>
        <m:r>
          <m:rPr>
            <m:sty m:val="p"/>
          </m:rPr>
          <m:t>=</m:t>
        </m:r>
        <m:r>
          <m:rPr>
            <m:sty m:val="p"/>
          </m:rPr>
          <m:t>+</m:t>
        </m:r>
        <m:r>
          <m:t>0.250</m:t>
        </m:r>
      </m:oMath>
      <w:r>
        <w:t xml:space="preserve"> </w:t>
      </w:r>
      <w:r>
        <w:t xml:space="preserve">with</w:t>
      </w:r>
      <w:r>
        <w:t xml:space="preserve"> </w:t>
      </w:r>
      <m:oMath>
        <m:r>
          <m:rPr>
            <m:sty m:val="p"/>
          </m:rPr>
          <m:t>S</m:t>
        </m:r>
        <m:r>
          <m:rPr>
            <m:sty m:val="p"/>
          </m:rPr>
          <m:t>E</m:t>
        </m:r>
        <m:r>
          <m:rPr>
            <m:sty m:val="p"/>
          </m:rPr>
          <m:t>=</m:t>
        </m:r>
        <m:r>
          <m:t>0.098</m:t>
        </m:r>
      </m:oMath>
      <w:r>
        <w:t xml:space="preserve">, so</w:t>
      </w:r>
      <w:r>
        <w:t xml:space="preserve"> </w:t>
      </w:r>
      <m:oMath>
        <m:r>
          <m:t>z</m:t>
        </m:r>
        <m:r>
          <m:rPr>
            <m:sty m:val="p"/>
          </m:rPr>
          <m:t>=</m:t>
        </m:r>
        <m:r>
          <m:rPr>
            <m:sty m:val="p"/>
          </m:rPr>
          <m:t>+</m:t>
        </m:r>
        <m:r>
          <m:t>2.54</m:t>
        </m:r>
      </m:oMath>
      <w:r>
        <w:t xml:space="preserve"> </w:t>
      </w:r>
      <w:r>
        <w:t xml:space="preserve">and H1 passes. This is</w:t>
      </w:r>
      <w:r>
        <w:t xml:space="preserve"> </w:t>
      </w:r>
      <w:r>
        <w:t xml:space="preserve">the first real-trace evidence that verbalized confidence carries positive</w:t>
      </w:r>
      <w:r>
        <w:t xml:space="preserve"> </w:t>
      </w:r>
      <w:r>
        <w:t xml:space="preserve">within-item discrimination; the same measurement on GSM8K/CommonsenseQA gave</w:t>
      </w:r>
      <w:r>
        <w:t xml:space="preserve"> </w:t>
      </w:r>
      <m:oMath>
        <m:r>
          <m:rPr>
            <m:sty m:val="p"/>
          </m:rPr>
          <m:t>−</m:t>
        </m:r>
        <m:r>
          <m:t>0.219</m:t>
        </m:r>
      </m:oMath>
      <w:r>
        <w:t xml:space="preserve"> </w:t>
      </w:r>
      <w:r>
        <w:t xml:space="preserve">(</w:t>
      </w:r>
      <m:oMath>
        <m:r>
          <m:t>z</m:t>
        </m:r>
        <m:r>
          <m:rPr>
            <m:sty m:val="p"/>
          </m:rPr>
          <m:t>=</m:t>
        </m:r>
        <m:r>
          <m:rPr>
            <m:sty m:val="p"/>
          </m:rPr>
          <m:t>−</m:t>
        </m:r>
        <m:r>
          <m:t>1.24</m:t>
        </m:r>
      </m:oMath>
      <w:r>
        <w:t xml:space="preserve">).</w:t>
      </w:r>
    </w:p>
    <w:p>
      <w:pPr>
        <w:pStyle w:val="BodyText"/>
      </w:pPr>
      <w:r>
        <w:rPr>
          <w:i/>
          <w:iCs/>
        </w:rPr>
        <w:t xml:space="preserve">The endpoint was unpassable for any method.</w:t>
      </w:r>
      <w:r>
        <w:t xml:space="preserve"> </w:t>
      </w:r>
      <w:r>
        <w:t xml:space="preserve">The realized substrate</w:t>
      </w:r>
      <w:r>
        <w:t xml:space="preserve"> </w:t>
      </w:r>
      <w:r>
        <w:t xml:space="preserve">saturated again: per-trace accuracy</w:t>
      </w:r>
      <w:r>
        <w:t xml:space="preserve"> </w:t>
      </w:r>
      <m:oMath>
        <m:r>
          <m:t>0.819</m:t>
        </m:r>
      </m:oMath>
      <w:r>
        <w:t xml:space="preserve">,</w:t>
      </w:r>
      <w:r>
        <w:t xml:space="preserve"> </w:t>
      </w:r>
      <w:r>
        <w:rPr>
          <w:smallCaps/>
        </w:rPr>
        <w:t xml:space="preserve">sc</w:t>
      </w:r>
      <w:r>
        <w:t xml:space="preserve"> </w:t>
      </w:r>
      <m:oMath>
        <m:r>
          <m:t>0.888</m:t>
        </m:r>
      </m:oMath>
      <w:r>
        <w:t xml:space="preserve">, a decisive</w:t>
      </w:r>
      <w:r>
        <w:t xml:space="preserve"> </w:t>
      </w:r>
      <w:r>
        <w:t xml:space="preserve">stratum of</w:t>
      </w:r>
      <w:r>
        <w:t xml:space="preserve"> </w:t>
      </w:r>
      <m:oMath>
        <m:r>
          <m:t>10</m:t>
        </m:r>
      </m:oMath>
      <w:r>
        <w:t xml:space="preserve"> </w:t>
      </w:r>
      <w:r>
        <w:t xml:space="preserve">of</w:t>
      </w:r>
      <w:r>
        <w:t xml:space="preserve"> </w:t>
      </w:r>
      <m:oMath>
        <m:r>
          <m:t>89</m:t>
        </m:r>
      </m:oMath>
      <w:r>
        <w:t xml:space="preserve"> </w:t>
      </w:r>
      <w:r>
        <w:t xml:space="preserve">items, and the correct answer present in the pool on</w:t>
      </w:r>
      <w:r>
        <w:t xml:space="preserve"> </w:t>
      </w:r>
      <w:r>
        <w:t xml:space="preserve">only</w:t>
      </w:r>
      <w:r>
        <w:t xml:space="preserve"> </w:t>
      </w:r>
      <m:oMath>
        <m:r>
          <m:t>4</m:t>
        </m:r>
      </m:oMath>
      <w:r>
        <w:t xml:space="preserve"> </w:t>
      </w:r>
      <w:r>
        <w:t xml:space="preserve">of those. The in-pool</w:t>
      </w:r>
      <w:r>
        <w:t xml:space="preserve"> </w:t>
      </w:r>
      <w:r>
        <w:rPr>
          <w:i/>
          <w:iCs/>
        </w:rPr>
        <w:t xml:space="preserve">oracle</w:t>
      </w:r>
      <w:r>
        <w:t xml:space="preserve"> </w:t>
      </w:r>
      <w:r>
        <w:t xml:space="preserve">therefore tops out at</w:t>
      </w:r>
      <w:r>
        <w:t xml:space="preserve"> </w:t>
      </w:r>
      <m:oMath>
        <m:r>
          <m:rPr>
            <m:sty m:val="p"/>
          </m:rPr>
          <m:t>+</m:t>
        </m:r>
        <m:r>
          <m:t>4</m:t>
        </m:r>
        <m:r>
          <m:rPr>
            <m:sty m:val="p"/>
          </m:rPr>
          <m:t>/</m:t>
        </m:r>
        <m:r>
          <m:rPr>
            <m:sty m:val="p"/>
          </m:rPr>
          <m:t>−</m:t>
        </m:r>
        <m:r>
          <m:t>0</m:t>
        </m:r>
      </m:oMath>
      <w:r>
        <w:t xml:space="preserve">,</w:t>
      </w:r>
      <w:r>
        <w:t xml:space="preserve"> </w:t>
      </w:r>
      <w:r>
        <w:t xml:space="preserve">exact one-sided</w:t>
      </w:r>
      <w:r>
        <w:t xml:space="preserve"> </w:t>
      </w:r>
      <m:oMath>
        <m:r>
          <m:t>p</m:t>
        </m:r>
        <m:r>
          <m:rPr>
            <m:sty m:val="p"/>
          </m:rPr>
          <m:t>=</m:t>
        </m:r>
        <m:r>
          <m:t>0.0625</m:t>
        </m:r>
      </m:oMath>
      <w:r>
        <w:t xml:space="preserve">. H2 fails, but it fails for every conceivable</w:t>
      </w:r>
      <w:r>
        <w:t xml:space="preserve"> </w:t>
      </w:r>
      <w:r>
        <w:t xml:space="preserve">aggregation method including a perfect one, so the failure is a property of</w:t>
      </w:r>
      <w:r>
        <w:t xml:space="preserve"> </w:t>
      </w:r>
      <w:r>
        <w:t xml:space="preserve">the substrate rather than of the estimator.</w:t>
      </w:r>
    </w:p>
    <w:p>
      <w:pPr>
        <w:pStyle w:val="BodyText"/>
      </w:pPr>
      <w:r>
        <w:rPr>
          <w:i/>
          <w:iCs/>
        </w:rPr>
        <w:t xml:space="preserve">Abstention behaved as designed.</w:t>
      </w:r>
      <w:r>
        <w:t xml:space="preserve"> </w:t>
      </w:r>
      <w:r>
        <w:rPr>
          <w:smallCaps/>
        </w:rPr>
        <w:t xml:space="preserve">tact</w:t>
      </w:r>
      <w:r>
        <w:t xml:space="preserve"> </w:t>
      </w:r>
      <w:r>
        <w:t xml:space="preserve">returned</w:t>
      </w:r>
      <w:r>
        <w:t xml:space="preserve"> </w:t>
      </w:r>
      <m:oMath>
        <m:r>
          <m:t>γ</m:t>
        </m:r>
        <m:r>
          <m:rPr>
            <m:sty m:val="p"/>
          </m:rPr>
          <m:t>=</m:t>
        </m:r>
        <m:r>
          <m:t>0</m:t>
        </m:r>
      </m:oMath>
      <w:r>
        <w:t xml:space="preserve">, with</w:t>
      </w:r>
      <w:r>
        <w:t xml:space="preserve"> </w:t>
      </w:r>
      <w:r>
        <w:t xml:space="preserve">alarms E4 and E2 firing on the label-free path and the sign set holding too</w:t>
      </w:r>
      <w:r>
        <w:t xml:space="preserve"> </w:t>
      </w:r>
      <w:r>
        <w:t xml:space="preserve">few informative items to supply a semi-label-free sign. The vote is therefore</w:t>
      </w:r>
      <w:r>
        <w:t xml:space="preserve"> </w:t>
      </w:r>
      <w:r>
        <w:t xml:space="preserve">bit-identical to</w:t>
      </w:r>
      <w:r>
        <w:t xml:space="preserve"> </w:t>
      </w:r>
      <w:r>
        <w:rPr>
          <w:smallCaps/>
        </w:rPr>
        <w:t xml:space="preserve">sc</w:t>
      </w:r>
      <w:r>
        <w:t xml:space="preserve"> </w:t>
      </w:r>
      <w:r>
        <w:t xml:space="preserve">at</w:t>
      </w:r>
      <w:r>
        <w:t xml:space="preserve"> </w:t>
      </w:r>
      <m:oMath>
        <m:r>
          <m:t>0.888</m:t>
        </m:r>
      </m:oMath>
      <w:r>
        <w:t xml:space="preserve"> </w:t>
      </w:r>
      <w:r>
        <w:t xml:space="preserve">(H3, H4 pass). The cost of acting anyway is</w:t>
      </w:r>
      <w:r>
        <w:t xml:space="preserve"> </w:t>
      </w:r>
      <w:r>
        <w:t xml:space="preserve">visible in the same table: best-single-confidence, the trivial baseline that</w:t>
      </w:r>
      <w:r>
        <w:t xml:space="preserve"> </w:t>
      </w:r>
      <w:r>
        <w:t xml:space="preserve">always trusts the channel, loses</w:t>
      </w:r>
      <w:r>
        <w:t xml:space="preserve"> </w:t>
      </w:r>
      <m:oMath>
        <m:r>
          <m:t>4.5</m:t>
        </m:r>
      </m:oMath>
      <w:r>
        <w:t xml:space="preserve"> </w:t>
      </w:r>
      <w:r>
        <w:t xml:space="preserve">points at</w:t>
      </w:r>
      <w:r>
        <w:t xml:space="preserve"> </w:t>
      </w:r>
      <m:oMath>
        <m:r>
          <m:t>0.843</m:t>
        </m:r>
      </m:oMath>
      <w:r>
        <w:t xml:space="preserve">.</w:t>
      </w:r>
    </w:p>
    <w:bookmarkStart w:id="71" w:name="tab:hard"/>
    <w:p>
      <w:pPr>
        <w:pStyle w:val="TableCaption"/>
      </w:pPr>
      <w:r>
        <w:t xml:space="preserve">Confirmatory campaign, MATH level-5 evaluation set (</w:t>
      </w:r>
      <m:oMath>
        <m:r>
          <m:t>89</m:t>
        </m:r>
      </m:oMath>
      <w:r>
        <w:t xml:space="preserve"> </w:t>
      </w:r>
      <w:r>
        <w:t xml:space="preserve">items,</w:t>
      </w:r>
      <w:r>
        <w:t xml:space="preserve"> </w:t>
      </w:r>
      <m:oMath>
        <m:r>
          <m:t>K</m:t>
        </m:r>
        <m:r>
          <m:rPr>
            <m:sty m:val="p"/>
          </m:rPr>
          <m:t>=</m:t>
        </m:r>
        <m:r>
          <m:t>16</m:t>
        </m:r>
      </m:oMath>
      <w:r>
        <w:t xml:space="preserve">). Every method replays the same cached pools. The duplication</w:t>
      </w:r>
      <w:r>
        <w:t xml:space="preserve"> </w:t>
      </w:r>
      <w:r>
        <w:t xml:space="preserve">channel is inert because no reasoning text was collected, so dedup-</w:t>
      </w:r>
      <w:r>
        <w:rPr>
          <w:smallCaps/>
        </w:rPr>
        <w:t xml:space="preserve">sc</w:t>
      </w:r>
      <w:r>
        <w:t xml:space="preserve"> </w:t>
      </w:r>
      <w:r>
        <w:t xml:space="preserve">coincides with</w:t>
      </w:r>
      <w:r>
        <w:t xml:space="preserve"> </w:t>
      </w:r>
      <w:r>
        <w:rPr>
          <w:smallCaps/>
        </w:rPr>
        <w:t xml:space="preserve">sc</w:t>
      </w:r>
      <w:r>
        <w:t xml:space="preserve"> </w:t>
      </w:r>
      <w:r>
        <w:t xml:space="preserve">by construction.</w:t>
      </w:r>
    </w:p>
    <w:tbl>
      <w:tblPr>
        <w:tblStyle w:val="Table"/>
        <w:tblW w:type="auto" w:w="0"/>
        <w:tblLook w:firstRow="1" w:lastRow="0" w:firstColumn="0" w:lastColumn="0" w:noHBand="0" w:noVBand="0" w:val="0020"/>
        <w:tblCaption w:val="Confirmatory campaign, MATH level-5 evaluation set (89 items, K{=}16). Every method replays the same cached pools. The duplication channel is inert because no reasoning text was collected, so dedup-sc coincides with sc by construction."/>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Accuracy</w:t>
            </w:r>
          </w:p>
        </w:tc>
        <w:tc>
          <w:tcPr/>
          <w:p>
            <w:pPr>
              <w:pStyle w:val="Compact"/>
              <w:jc w:val="center"/>
            </w:pPr>
            <w:r>
              <w:t xml:space="preserve">net vs. </w:t>
            </w:r>
            <w:r>
              <w:rPr>
                <w:smallCaps/>
              </w:rPr>
              <w:t xml:space="preserve">sc</w:t>
            </w:r>
          </w:p>
        </w:tc>
      </w:tr>
      <w:tr>
        <w:tc>
          <w:tcPr/>
          <w:p>
            <w:pPr>
              <w:pStyle w:val="Compact"/>
              <w:jc w:val="left"/>
            </w:pPr>
            <w:r>
              <w:rPr>
                <w:smallCaps/>
              </w:rPr>
              <w:t xml:space="preserve">sc</w:t>
            </w:r>
            <w:r>
              <w:t xml:space="preserve"> </w:t>
            </w:r>
            <w:r>
              <w:t xml:space="preserve">/ dedup-</w:t>
            </w:r>
            <w:r>
              <w:rPr>
                <w:smallCaps/>
              </w:rPr>
              <w:t xml:space="preserve">sc</w:t>
            </w:r>
            <w:r>
              <w:t xml:space="preserve"> </w:t>
            </w:r>
            <w:r>
              <w:t xml:space="preserve">/ CISC-linear</w:t>
            </w:r>
          </w:p>
        </w:tc>
        <w:tc>
          <w:tcPr/>
          <w:p>
            <w:pPr>
              <w:pStyle w:val="Compact"/>
              <w:jc w:val="center"/>
            </w:pPr>
            <m:oMath>
              <m:r>
                <m:t>0.888</m:t>
              </m:r>
            </m:oMath>
          </w:p>
        </w:tc>
        <w:tc>
          <w:tcPr/>
          <w:p>
            <w:pPr>
              <w:pStyle w:val="Compact"/>
              <w:jc w:val="center"/>
            </w:pPr>
            <w:r>
              <w:t xml:space="preserve">—</w:t>
            </w:r>
          </w:p>
        </w:tc>
      </w:tr>
      <w:tr>
        <w:tc>
          <w:tcPr/>
          <w:p>
            <w:pPr>
              <w:pStyle w:val="Compact"/>
              <w:jc w:val="left"/>
            </w:pPr>
            <w:r>
              <w:rPr>
                <w:smallCaps/>
              </w:rPr>
              <w:t xml:space="preserve">tact</w:t>
            </w:r>
            <w:r>
              <w:t xml:space="preserve">-LF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rPr>
                <w:smallCaps/>
              </w:rPr>
              <w:t xml:space="preserve">tact</w:t>
            </w:r>
            <w:r>
              <w:t xml:space="preserve">-semi-LF</w:t>
            </w:r>
          </w:p>
        </w:tc>
        <w:tc>
          <w:tcPr/>
          <w:p>
            <w:pPr>
              <w:pStyle w:val="Compact"/>
              <w:jc w:val="center"/>
            </w:pPr>
            <m:oMath>
              <m:r>
                <m:t>0.888</m:t>
              </m:r>
            </m:oMath>
          </w:p>
        </w:tc>
        <w:tc>
          <w:tcPr/>
          <w:p>
            <w:pPr>
              <w:pStyle w:val="Compact"/>
              <w:jc w:val="center"/>
            </w:pPr>
            <m:oMath>
              <m:r>
                <m:rPr>
                  <m:sty m:val="p"/>
                </m:rPr>
                <m:t>+</m:t>
              </m:r>
              <m:r>
                <m:t>0</m:t>
              </m:r>
              <m:r>
                <m:rPr>
                  <m:sty m:val="p"/>
                </m:rPr>
                <m:t>/</m:t>
              </m:r>
              <m:r>
                <m:rPr>
                  <m:sty m:val="p"/>
                </m:rPr>
                <m:t>−</m:t>
              </m:r>
              <m:r>
                <m:t>0</m:t>
              </m:r>
            </m:oMath>
          </w:p>
        </w:tc>
      </w:tr>
      <w:tr>
        <w:tc>
          <w:tcPr/>
          <w:p>
            <w:pPr>
              <w:pStyle w:val="Compact"/>
              <w:jc w:val="left"/>
            </w:pPr>
            <w:r>
              <w:t xml:space="preserve">best-single-confidence</w:t>
            </w:r>
          </w:p>
        </w:tc>
        <w:tc>
          <w:tcPr/>
          <w:p>
            <w:pPr>
              <w:pStyle w:val="Compact"/>
              <w:jc w:val="center"/>
            </w:pPr>
            <m:oMath>
              <m:r>
                <m:t>0.843</m:t>
              </m:r>
            </m:oMath>
          </w:p>
        </w:tc>
        <w:tc>
          <w:tcPr/>
          <w:p>
            <w:pPr>
              <w:pStyle w:val="Compact"/>
              <w:jc w:val="center"/>
            </w:pPr>
            <m:oMath>
              <m:r>
                <m:rPr>
                  <m:sty m:val="p"/>
                </m:rPr>
                <m:t>+</m:t>
              </m:r>
              <m:r>
                <m:t>1</m:t>
              </m:r>
              <m:r>
                <m:rPr>
                  <m:sty m:val="p"/>
                </m:rPr>
                <m:t>/</m:t>
              </m:r>
              <m:r>
                <m:rPr>
                  <m:sty m:val="p"/>
                </m:rPr>
                <m:t>−</m:t>
              </m:r>
              <m:r>
                <m:t>5</m:t>
              </m:r>
            </m:oMath>
          </w:p>
        </w:tc>
      </w:tr>
      <w:tr>
        <w:tc>
          <w:tcPr/>
          <w:p>
            <w:pPr>
              <w:pStyle w:val="Compact"/>
              <w:jc w:val="left"/>
            </w:pPr>
            <w:r>
              <w:t xml:space="preserve">in-pool oracle (ceiling)</w:t>
            </w:r>
          </w:p>
        </w:tc>
        <w:tc>
          <w:tcPr/>
          <w:p>
            <w:pPr>
              <w:pStyle w:val="Compact"/>
              <w:jc w:val="center"/>
            </w:pPr>
            <m:oMath>
              <m:r>
                <m:t>0.933</m:t>
              </m:r>
            </m:oMath>
          </w:p>
        </w:tc>
        <w:tc>
          <w:tcPr/>
          <w:p>
            <w:pPr>
              <w:pStyle w:val="Compact"/>
              <w:jc w:val="center"/>
            </w:pPr>
            <m:oMath>
              <m:r>
                <m:rPr>
                  <m:sty m:val="p"/>
                </m:rPr>
                <m:t>+</m:t>
              </m:r>
              <m:r>
                <m:t>4</m:t>
              </m:r>
              <m:r>
                <m:rPr>
                  <m:sty m:val="p"/>
                </m:rPr>
                <m:t>/</m:t>
              </m:r>
              <m:r>
                <m:rPr>
                  <m:sty m:val="p"/>
                </m:rPr>
                <m:t>−</m:t>
              </m:r>
              <m:r>
                <m:t>0</m:t>
              </m:r>
            </m:oMath>
          </w:p>
        </w:tc>
      </w:tr>
    </w:tbl>
    <w:bookmarkEnd w:id="71"/>
    <w:p>
      <w:pPr>
        <w:pStyle w:val="BodyText"/>
      </w:pPr>
      <w:r>
        <w:t xml:space="preserve">One caveat from this campaign transfers beyond</w:t>
      </w:r>
      <w:r>
        <w:t xml:space="preserve"> </w:t>
      </w:r>
      <w:r>
        <w:rPr>
          <w:smallCaps/>
        </w:rPr>
        <w:t xml:space="preserve">tact</w:t>
      </w:r>
      <w:r>
        <w:t xml:space="preserve">. Measured difficulty</w:t>
      </w:r>
      <w:r>
        <w:t xml:space="preserve"> </w:t>
      </w:r>
      <w:r>
        <w:t xml:space="preserve">depended on the collection protocol: a</w:t>
      </w:r>
      <w:r>
        <w:t xml:space="preserve"> </w:t>
      </w:r>
      <m:oMath>
        <m:r>
          <m:t>30</m:t>
        </m:r>
      </m:oMath>
      <w:r>
        <w:t xml:space="preserve">-problem-per-call probe put</w:t>
      </w:r>
      <w:r>
        <w:t xml:space="preserve"> </w:t>
      </w:r>
      <w:r>
        <w:t xml:space="preserve">level-5 plurality accuracy at</w:t>
      </w:r>
      <w:r>
        <w:t xml:space="preserve"> </w:t>
      </w:r>
      <m:oMath>
        <m:r>
          <m:t>0.40</m:t>
        </m:r>
      </m:oMath>
      <w:r>
        <w:t xml:space="preserve">, while the</w:t>
      </w:r>
      <w:r>
        <w:t xml:space="preserve"> </w:t>
      </w:r>
      <m:oMath>
        <m:r>
          <m:t>15</m:t>
        </m:r>
      </m:oMath>
      <w:r>
        <w:t xml:space="preserve">-problem-per-call</w:t>
      </w:r>
      <w:r>
        <w:t xml:space="preserve"> </w:t>
      </w:r>
      <w:r>
        <w:t xml:space="preserve">confirmatory run yielded</w:t>
      </w:r>
      <w:r>
        <w:t xml:space="preserve"> </w:t>
      </w:r>
      <m:oMath>
        <m:r>
          <m:t>0.888</m:t>
        </m:r>
      </m:oMath>
      <w:r>
        <w:t xml:space="preserve"> </w:t>
      </w:r>
      <w:r>
        <w:t xml:space="preserve">on the same stratum. Batch size belongs in</w:t>
      </w:r>
      <w:r>
        <w:t xml:space="preserve"> </w:t>
      </w:r>
      <w:r>
        <w:t xml:space="preserve">the experimental record whenever traces are collected in batches.</w:t>
      </w:r>
    </w:p>
    <w:bookmarkEnd w:id="72"/>
    <w:bookmarkStart w:id="74" w:name="sec:window"/>
    <w:p>
      <w:pPr>
        <w:pStyle w:val="Heading2"/>
      </w:pPr>
      <w:r>
        <w:t xml:space="preserve">How wide is the addressable stratum?</w:t>
      </w:r>
    </w:p>
    <w:p>
      <w:pPr>
        <w:pStyle w:val="FirstParagraph"/>
      </w:pPr>
      <w:r>
        <w:t xml:space="preserve">Both campaigns failed their endpoint for the same reason, which suggests</w:t>
      </w:r>
      <w:r>
        <w:t xml:space="preserve"> </w:t>
      </w:r>
      <w:r>
        <w:t xml:space="preserve">measuring that reason directly. Define the</w:t>
      </w:r>
      <w:r>
        <w:t xml:space="preserve"> </w:t>
      </w:r>
      <w:r>
        <w:rPr>
          <w:i/>
          <w:iCs/>
        </w:rPr>
        <w:t xml:space="preserve">window</w:t>
      </w:r>
      <w:r>
        <w:t xml:space="preserve"> </w:t>
      </w:r>
      <w:r>
        <w:t xml:space="preserve">as the fraction of</w:t>
      </w:r>
      <w:r>
        <w:t xml:space="preserve"> </w:t>
      </w:r>
      <w:r>
        <w:t xml:space="preserve">items where the plurality is wrong</w:t>
      </w:r>
      <w:r>
        <w:t xml:space="preserve"> </w:t>
      </w:r>
      <w:r>
        <w:rPr>
          <w:i/>
          <w:iCs/>
        </w:rPr>
        <w:t xml:space="preserve">and</w:t>
      </w:r>
      <w:r>
        <w:t xml:space="preserve"> </w:t>
      </w:r>
      <w:r>
        <w:t xml:space="preserve">the correct answer is present</w:t>
      </w:r>
      <w:r>
        <w:t xml:space="preserve"> </w:t>
      </w:r>
      <w:r>
        <w:t xml:space="preserve">in the pool: the ceiling for any label-free aggregation method, since nothing</w:t>
      </w:r>
      <w:r>
        <w:t xml:space="preserve"> </w:t>
      </w:r>
      <w:r>
        <w:t xml:space="preserve">outside it can be changed.</w:t>
      </w:r>
    </w:p>
    <w:p>
      <w:pPr>
        <w:pStyle w:val="BodyText"/>
      </w:pPr>
      <w:r>
        <w:t xml:space="preserve">The window was measured on five substrates spanning two domains</w:t>
      </w:r>
      <w:r>
        <w:t xml:space="preserve"> </w:t>
      </w:r>
      <w:r>
        <w:t xml:space="preserve">(Table </w:t>
      </w:r>
      <w:hyperlink w:anchor="tab:window">
        <w:r>
          <w:rPr>
            <w:rStyle w:val="Hyperlink"/>
          </w:rPr>
          <w:t xml:space="preserve">6</w:t>
        </w:r>
      </w:hyperlink>
      <w:r>
        <w:t xml:space="preserve">). For code generation, where an executable test suite</w:t>
      </w:r>
      <w:r>
        <w:t xml:space="preserve"> </w:t>
      </w:r>
      <w:r>
        <w:t xml:space="preserve">supplies per-sample ground truth and the window might reasonably be expected</w:t>
      </w:r>
      <w:r>
        <w:t xml:space="preserve"> </w:t>
      </w:r>
      <w:r>
        <w:t xml:space="preserve">to widen,</w:t>
      </w:r>
      <w:r>
        <w:t xml:space="preserve"> </w:t>
      </w:r>
      <m:oMath>
        <m:r>
          <m:t>40</m:t>
        </m:r>
      </m:oMath>
      <w:r>
        <w:t xml:space="preserve"> </w:t>
      </w:r>
      <w:r>
        <w:t xml:space="preserve">LeetCode Medium/Hard problems [</w:t>
      </w:r>
      <w:hyperlink w:anchor="bib:leetcodedataset">
        <w:r>
          <w:rPr>
            <w:rStyle w:val="Hyperlink"/>
          </w:rPr>
          <w:t xml:space="preserve">26</w:t>
        </w:r>
      </w:hyperlink>
      <w:r>
        <w:t xml:space="preserve">] were</w:t>
      </w:r>
      <w:r>
        <w:t xml:space="preserve"> </w:t>
      </w:r>
      <w:r>
        <w:t xml:space="preserve">solved</w:t>
      </w:r>
      <w:r>
        <w:t xml:space="preserve"> </w:t>
      </w:r>
      <m:oMath>
        <m:r>
          <m:t>8</m:t>
        </m:r>
      </m:oMath>
      <w:r>
        <w:t xml:space="preserve"> </w:t>
      </w:r>
      <w:r>
        <w:t xml:space="preserve">times each and graded against the benchmark’s hidden suites, with</w:t>
      </w:r>
      <w:r>
        <w:t xml:space="preserve"> </w:t>
      </w:r>
      <w:r>
        <w:t xml:space="preserve">the baseline taken as the largest behavioural cluster over probe inputs</w:t>
      </w:r>
      <w:r>
        <w:t xml:space="preserve"> </w:t>
      </w:r>
      <w:r>
        <w:t xml:space="preserve">(never expected outputs). The window is</w:t>
      </w:r>
      <w:r>
        <w:t xml:space="preserve"> </w:t>
      </w:r>
      <m:oMath>
        <m:r>
          <m:t>3</m:t>
        </m:r>
        <m:r>
          <m:rPr>
            <m:sty m:val="p"/>
          </m:rPr>
          <m:t>/</m:t>
        </m:r>
        <m:r>
          <m:t>40</m:t>
        </m:r>
        <m:r>
          <m:rPr>
            <m:sty m:val="p"/>
          </m:rPr>
          <m:t>=</m:t>
        </m:r>
        <m:r>
          <m:t>7.5</m:t>
        </m:r>
        <m:r>
          <m:rPr>
            <m:sty m:val="p"/>
          </m:rPr>
          <m:t>%</m:t>
        </m:r>
      </m:oMath>
      <w:r>
        <w:t xml:space="preserve"> </w:t>
      </w:r>
      <w:r>
        <w:t xml:space="preserve">(CI</w:t>
      </w:r>
      <m:oMath>
        <m:sSub>
          <m:e>
            <m:r>
              <m:t>​</m:t>
            </m:r>
          </m:e>
          <m:sub>
            <m:r>
              <m:t>95</m:t>
            </m:r>
          </m:sub>
        </m:sSub>
      </m:oMath>
      <w:r>
        <w:t xml:space="preserve"> </w:t>
      </w:r>
      <m:oMath>
        <m:r>
          <m:t>2.6</m:t>
        </m:r>
      </m:oMath>
      <w:r>
        <w:t xml:space="preserve">–</w:t>
      </w:r>
      <m:oMath>
        <m:r>
          <m:t>19.9</m:t>
        </m:r>
        <m:r>
          <m:rPr>
            <m:sty m:val="p"/>
          </m:rPr>
          <m:t>%</m:t>
        </m:r>
      </m:oMath>
      <w:r>
        <w:t xml:space="preserve">): wider than label-free QA, but the same order, and the</w:t>
      </w:r>
      <w:r>
        <w:t xml:space="preserve"> </w:t>
      </w:r>
      <w:r>
        <w:t xml:space="preserve">composition is the same shape at</w:t>
      </w:r>
      <w:r>
        <w:t xml:space="preserve"> </w:t>
      </w:r>
      <m:oMath>
        <m:r>
          <m:t>30</m:t>
        </m:r>
      </m:oMath>
      <w:r>
        <w:t xml:space="preserve"> </w:t>
      </w:r>
      <w:r>
        <w:t xml:space="preserve">saturated,</w:t>
      </w:r>
      <w:r>
        <w:t xml:space="preserve"> </w:t>
      </w:r>
      <m:oMath>
        <m:r>
          <m:t>7</m:t>
        </m:r>
      </m:oMath>
      <w:r>
        <w:t xml:space="preserve"> </w:t>
      </w:r>
      <w:r>
        <w:t xml:space="preserve">capability wall and</w:t>
      </w:r>
      <w:r>
        <w:t xml:space="preserve"> </w:t>
      </w:r>
      <m:oMath>
        <m:r>
          <m:t>3</m:t>
        </m:r>
      </m:oMath>
      <w:r>
        <w:t xml:space="preserve"> </w:t>
      </w:r>
      <w:r>
        <w:t xml:space="preserve">rescuable, i.e. </w:t>
      </w:r>
      <m:oMath>
        <m:r>
          <m:t>75</m:t>
        </m:r>
        <m:r>
          <m:rPr>
            <m:sty m:val="p"/>
          </m:rPr>
          <m:t>/</m:t>
        </m:r>
        <m:r>
          <m:t>17.5</m:t>
        </m:r>
        <m:r>
          <m:rPr>
            <m:sty m:val="p"/>
          </m:rPr>
          <m:t>/</m:t>
        </m:r>
        <m:r>
          <m:t>7.5</m:t>
        </m:r>
        <m:r>
          <m:rPr>
            <m:sty m:val="p"/>
          </m:rPr>
          <m:t>%</m:t>
        </m:r>
      </m:oMath>
      <w:r>
        <w:t xml:space="preserve">. Nor does budget open it. The seven capability-wall problems</w:t>
      </w:r>
      <w:r>
        <w:t xml:space="preserve"> </w:t>
      </w:r>
      <w:r>
        <w:t xml:space="preserve">produced zero correct solutions in</w:t>
      </w:r>
      <w:r>
        <w:t xml:space="preserve"> </w:t>
      </w:r>
      <m:oMath>
        <m:r>
          <m:t>224</m:t>
        </m:r>
      </m:oMath>
      <w:r>
        <w:t xml:space="preserve"> </w:t>
      </w:r>
      <w:r>
        <w:t xml:space="preserve">further attempts (per-problem</w:t>
      </w:r>
      <w:r>
        <w:t xml:space="preserve"> </w:t>
      </w:r>
      <m:oMath>
        <m:r>
          <m:t>95</m:t>
        </m:r>
        <m:r>
          <m:rPr>
            <m:sty m:val="p"/>
          </m:rPr>
          <m:t>%</m:t>
        </m:r>
      </m:oMath>
      <w:r>
        <w:t xml:space="preserve"> </w:t>
      </w:r>
      <w:r>
        <w:t xml:space="preserve">upper bound on the pass rate</w:t>
      </w:r>
      <w:r>
        <w:t xml:space="preserve"> </w:t>
      </w:r>
      <m:oMath>
        <m:r>
          <m:t>0.088</m:t>
        </m:r>
      </m:oMath>
      <w:r>
        <w:t xml:space="preserve">), and extrapolating oracle@</w:t>
      </w:r>
      <m:oMath>
        <m:r>
          <m:t>N</m:t>
        </m:r>
      </m:oMath>
      <w:r>
        <w:t xml:space="preserve"> </w:t>
      </w:r>
      <w:r>
        <w:t xml:space="preserve">shows the</w:t>
      </w:r>
      <w:r>
        <w:t xml:space="preserve"> </w:t>
      </w:r>
      <w:r>
        <w:t xml:space="preserve">window saturating by</w:t>
      </w:r>
      <w:r>
        <w:t xml:space="preserve"> </w:t>
      </w:r>
      <m:oMath>
        <m:r>
          <m:t>N</m:t>
        </m:r>
        <m:r>
          <m:rPr>
            <m:sty m:val="p"/>
          </m:rPr>
          <m:t>=</m:t>
        </m:r>
        <m:r>
          <m:t>32</m:t>
        </m:r>
      </m:oMath>
      <w:r>
        <w:t xml:space="preserve">.</w:t>
      </w:r>
    </w:p>
    <w:bookmarkStart w:id="73" w:name="tab:window"/>
    <w:p>
      <w:pPr>
        <w:pStyle w:val="TableCaption"/>
      </w:pPr>
      <w:r>
        <w:t xml:space="preserve">The addressable stratum across substrates. Rows marked</w:t>
      </w:r>
      <w:r>
        <w:t xml:space="preserve"> </w:t>
      </w:r>
      <m:oMath>
        <m:r>
          <m:rPr>
            <m:sty m:val="p"/>
          </m:rPr>
          <m:t>†</m:t>
        </m:r>
      </m:oMath>
      <w:r>
        <w:t xml:space="preserve"> </w:t>
      </w:r>
      <w:r>
        <w:t xml:space="preserve">are</w:t>
      </w:r>
      <w:r>
        <w:t xml:space="preserve"> </w:t>
      </w:r>
      <w:r>
        <w:t xml:space="preserve">measured here; HumanEval+/MBPP+ is recomputed from published oracle-minus-</w:t>
      </w:r>
      <w:r>
        <w:t xml:space="preserve"> </w:t>
      </w:r>
      <w:r>
        <w:t xml:space="preserve">selector tables. As items harden they pass from saturated to</w:t>
      </w:r>
      <w:r>
        <w:t xml:space="preserve"> </w:t>
      </w:r>
      <w:r>
        <w:t xml:space="preserve">capability-limited without the window widening.</w:t>
      </w:r>
    </w:p>
    <w:tbl>
      <w:tblPr>
        <w:tblStyle w:val="Table"/>
        <w:tblW w:type="auto" w:w="0"/>
        <w:tblLook w:firstRow="1" w:lastRow="0" w:firstColumn="0" w:lastColumn="0" w:noHBand="0" w:noVBand="0" w:val="0020"/>
        <w:tblCaption w:val="The addressable stratum across substrates. Rows marked \dagger are measured here; HumanEval+/MBPP+ is recomputed from published oracle-minus- selector tables. As items harden they pass from saturated to capability-limited without the window widening."/>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Substrate</w:t>
            </w:r>
          </w:p>
        </w:tc>
        <w:tc>
          <w:tcPr/>
          <w:p>
            <w:pPr>
              <w:pStyle w:val="Compact"/>
              <w:jc w:val="center"/>
            </w:pPr>
            <w:r>
              <w:t xml:space="preserve">Window</w:t>
            </w:r>
          </w:p>
        </w:tc>
      </w:tr>
      <w:tr>
        <w:tc>
          <w:tcPr/>
          <w:p>
            <w:pPr>
              <w:pStyle w:val="Compact"/>
              <w:jc w:val="left"/>
            </w:pPr>
            <w:r>
              <w:t xml:space="preserve">QA, label-free</w:t>
            </w:r>
          </w:p>
        </w:tc>
        <w:tc>
          <w:tcPr/>
          <w:p>
            <w:pPr>
              <w:pStyle w:val="Compact"/>
              <w:jc w:val="left"/>
            </w:pPr>
            <w:r>
              <w:t xml:space="preserve">GSM8K / CommonsenseQA</w:t>
            </w:r>
            <m:oMath>
              <m:sSup>
                <m:e>
                  <m:r>
                    <m:t>​</m:t>
                  </m:r>
                </m:e>
                <m:sup>
                  <m:r>
                    <m:rPr>
                      <m:sty m:val="p"/>
                    </m:rPr>
                    <m:t>†</m:t>
                  </m:r>
                </m:sup>
              </m:sSup>
            </m:oMath>
          </w:p>
        </w:tc>
        <w:tc>
          <w:tcPr/>
          <w:p>
            <w:pPr>
              <w:pStyle w:val="Compact"/>
              <w:jc w:val="center"/>
            </w:pPr>
            <m:oMath>
              <m:r>
                <m:t>12</m:t>
              </m:r>
              <m:r>
                <m:rPr>
                  <m:sty m:val="p"/>
                </m:rPr>
                <m:t>%</m:t>
              </m:r>
            </m:oMath>
            <w:r>
              <w:t xml:space="preserve"> </w:t>
            </w:r>
            <w:r>
              <w:t xml:space="preserve">informative,</w:t>
            </w:r>
            <w:r>
              <w:t xml:space="preserve"> </w:t>
            </w:r>
            <m:oMath>
              <m:r>
                <m:t>9</m:t>
              </m:r>
              <m:r>
                <m:rPr>
                  <m:sty m:val="p"/>
                </m:rPr>
                <m:t>%</m:t>
              </m:r>
            </m:oMath>
            <w:r>
              <w:t xml:space="preserve"> </w:t>
            </w:r>
            <w:r>
              <w:t xml:space="preserve">decisive</w:t>
            </w:r>
          </w:p>
        </w:tc>
      </w:tr>
      <w:tr>
        <w:tc>
          <w:tcPr/>
          <w:p>
            <w:pPr>
              <w:pStyle w:val="Compact"/>
              <w:jc w:val="left"/>
            </w:pPr>
            <w:r>
              <w:t xml:space="preserve">QA, label-free</w:t>
            </w:r>
          </w:p>
        </w:tc>
        <w:tc>
          <w:tcPr/>
          <w:p>
            <w:pPr>
              <w:pStyle w:val="Compact"/>
              <w:jc w:val="left"/>
            </w:pPr>
            <w:r>
              <w:t xml:space="preserve">MATH level-5</w:t>
            </w:r>
            <m:oMath>
              <m:sSup>
                <m:e>
                  <m:r>
                    <m:t>​</m:t>
                  </m:r>
                </m:e>
                <m:sup>
                  <m:r>
                    <m:rPr>
                      <m:sty m:val="p"/>
                    </m:rPr>
                    <m:t>†</m:t>
                  </m:r>
                </m:sup>
              </m:sSup>
            </m:oMath>
          </w:p>
        </w:tc>
        <w:tc>
          <w:tcPr/>
          <w:p>
            <w:pPr>
              <w:pStyle w:val="Compact"/>
              <w:jc w:val="center"/>
            </w:pPr>
            <m:oMath>
              <m:r>
                <m:t>11</m:t>
              </m:r>
              <m:r>
                <m:rPr>
                  <m:sty m:val="p"/>
                </m:rPr>
                <m:t>%</m:t>
              </m:r>
            </m:oMath>
            <w:r>
              <w:t xml:space="preserve"> </w:t>
            </w:r>
            <w:r>
              <w:t xml:space="preserve">decisive,</w:t>
            </w:r>
            <w:r>
              <w:t xml:space="preserve"> </w:t>
            </w:r>
            <m:oMath>
              <m:r>
                <m:t>4</m:t>
              </m:r>
              <m:r>
                <m:rPr>
                  <m:sty m:val="p"/>
                </m:rPr>
                <m:t>%</m:t>
              </m:r>
            </m:oMath>
            <w:r>
              <w:t xml:space="preserve"> </w:t>
            </w:r>
            <w:r>
              <w:t xml:space="preserve">rescuable</w:t>
            </w:r>
          </w:p>
        </w:tc>
      </w:tr>
      <w:tr>
        <w:tc>
          <w:tcPr/>
          <w:p>
            <w:pPr>
              <w:pStyle w:val="Compact"/>
              <w:jc w:val="left"/>
            </w:pPr>
            <w:r>
              <w:t xml:space="preserve">QA, label-free</w:t>
            </w:r>
          </w:p>
        </w:tc>
        <w:tc>
          <w:tcPr/>
          <w:p>
            <w:pPr>
              <w:pStyle w:val="Compact"/>
              <w:jc w:val="left"/>
            </w:pPr>
            <w:r>
              <w:t xml:space="preserve">AIME / AMC</w:t>
            </w:r>
            <m:oMath>
              <m:sSup>
                <m:e>
                  <m:r>
                    <m:t>​</m:t>
                  </m:r>
                </m:e>
                <m:sup>
                  <m:r>
                    <m:rPr>
                      <m:sty m:val="p"/>
                    </m:rPr>
                    <m:t>†</m:t>
                  </m:r>
                </m:sup>
              </m:sSup>
            </m:oMath>
          </w:p>
        </w:tc>
        <w:tc>
          <w:tcPr/>
          <w:p>
            <w:pPr>
              <w:pStyle w:val="Compact"/>
              <w:jc w:val="center"/>
            </w:pPr>
            <m:oMath>
              <m:r>
                <m:t>23</m:t>
              </m:r>
              <m:r>
                <m:rPr>
                  <m:sty m:val="p"/>
                </m:rPr>
                <m:t>%</m:t>
              </m:r>
            </m:oMath>
            <w:r>
              <w:t xml:space="preserve"> </w:t>
            </w:r>
            <w:r>
              <w:t xml:space="preserve">decisive,</w:t>
            </w:r>
            <w:r>
              <w:t xml:space="preserve"> </w:t>
            </w:r>
            <m:oMath>
              <m:r>
                <m:t>3</m:t>
              </m:r>
              <m:r>
                <m:rPr>
                  <m:sty m:val="p"/>
                </m:rPr>
                <m:t>%</m:t>
              </m:r>
            </m:oMath>
            <w:r>
              <w:t xml:space="preserve"> </w:t>
            </w:r>
            <w:r>
              <w:t xml:space="preserve">rescuable</w:t>
            </w:r>
          </w:p>
        </w:tc>
      </w:tr>
      <w:tr>
        <w:tc>
          <w:tcPr/>
          <w:p>
            <w:pPr>
              <w:pStyle w:val="Compact"/>
              <w:jc w:val="left"/>
            </w:pPr>
            <w:r>
              <w:t xml:space="preserve">Code, executable</w:t>
            </w:r>
          </w:p>
        </w:tc>
        <w:tc>
          <w:tcPr/>
          <w:p>
            <w:pPr>
              <w:pStyle w:val="Compact"/>
              <w:jc w:val="left"/>
            </w:pPr>
            <w:r>
              <w:t xml:space="preserve">HumanEval+ / MBPP+</w:t>
            </w:r>
          </w:p>
        </w:tc>
        <w:tc>
          <w:tcPr/>
          <w:p>
            <w:pPr>
              <w:pStyle w:val="Compact"/>
              <w:jc w:val="center"/>
            </w:pPr>
            <m:oMath>
              <m:r>
                <m:t>3.56</m:t>
              </m:r>
              <m:r>
                <m:rPr>
                  <m:sty m:val="p"/>
                </m:rPr>
                <m:t>%</m:t>
              </m:r>
            </m:oMath>
          </w:p>
        </w:tc>
      </w:tr>
      <w:tr>
        <w:tc>
          <w:tcPr/>
          <w:p>
            <w:pPr>
              <w:pStyle w:val="Compact"/>
              <w:jc w:val="left"/>
            </w:pPr>
            <w:r>
              <w:t xml:space="preserve">Code, executable</w:t>
            </w:r>
          </w:p>
        </w:tc>
        <w:tc>
          <w:tcPr/>
          <w:p>
            <w:pPr>
              <w:pStyle w:val="Compact"/>
              <w:jc w:val="left"/>
            </w:pPr>
            <w:r>
              <w:t xml:space="preserve">LeetCode Med/Hard</w:t>
            </w:r>
            <m:oMath>
              <m:sSup>
                <m:e>
                  <m:r>
                    <m:t>​</m:t>
                  </m:r>
                </m:e>
                <m:sup>
                  <m:r>
                    <m:rPr>
                      <m:sty m:val="p"/>
                    </m:rPr>
                    <m:t>†</m:t>
                  </m:r>
                </m:sup>
              </m:sSup>
            </m:oMath>
          </w:p>
        </w:tc>
        <w:tc>
          <w:tcPr/>
          <w:p>
            <w:pPr>
              <w:pStyle w:val="Compact"/>
              <w:jc w:val="center"/>
            </w:pPr>
            <m:oMath>
              <m:r>
                <m:t>7.5</m:t>
              </m:r>
              <m:r>
                <m:rPr>
                  <m:sty m:val="p"/>
                </m:rPr>
                <m:t>%</m:t>
              </m:r>
            </m:oMath>
          </w:p>
        </w:tc>
      </w:tr>
    </w:tbl>
    <w:bookmarkEnd w:id="73"/>
    <w:p>
      <w:pPr>
        <w:pStyle w:val="BodyText"/>
      </w:pPr>
      <w:r>
        <w:t xml:space="preserve">One precaution belongs with these numbers, because omitting it would have</w:t>
      </w:r>
      <w:r>
        <w:t xml:space="preserve"> </w:t>
      </w:r>
      <w:r>
        <w:t xml:space="preserve">inverted them. The grading harness was validated against the benchmark’s own</w:t>
      </w:r>
      <w:r>
        <w:t xml:space="preserve"> </w:t>
      </w:r>
      <w:r>
        <w:t xml:space="preserve">reference solutions before any candidate was scored:</w:t>
      </w:r>
      <w:r>
        <w:t xml:space="preserve"> </w:t>
      </w:r>
      <m:oMath>
        <m:r>
          <m:t>178</m:t>
        </m:r>
      </m:oMath>
      <w:r>
        <w:t xml:space="preserve"> </w:t>
      </w:r>
      <w:r>
        <w:t xml:space="preserve">of</w:t>
      </w:r>
      <w:r>
        <w:t xml:space="preserve"> </w:t>
      </w:r>
      <m:oMath>
        <m:r>
          <m:t>180</m:t>
        </m:r>
      </m:oMath>
      <w:r>
        <w:t xml:space="preserve"> </w:t>
      </w:r>
      <w:r>
        <w:t xml:space="preserve">pass</w:t>
      </w:r>
      <w:r>
        <w:t xml:space="preserve"> </w:t>
      </w:r>
      <w:r>
        <w:t xml:space="preserve">under the sandbox’s resource limits. An earlier version of the same harness</w:t>
      </w:r>
      <w:r>
        <w:t xml:space="preserve"> </w:t>
      </w:r>
      <w:r>
        <w:t xml:space="preserve">failed</w:t>
      </w:r>
      <w:r>
        <w:t xml:space="preserve"> </w:t>
      </w:r>
      <m:oMath>
        <m:r>
          <m:t>100</m:t>
        </m:r>
        <m:r>
          <m:rPr>
            <m:sty m:val="p"/>
          </m:rPr>
          <m:t>%</m:t>
        </m:r>
      </m:oMath>
      <w:r>
        <w:t xml:space="preserve"> </w:t>
      </w:r>
      <w:r>
        <w:t xml:space="preserve">of executions because the host rejects one of the requested</w:t>
      </w:r>
      <w:r>
        <w:t xml:space="preserve"> </w:t>
      </w:r>
      <w:r>
        <w:t xml:space="preserve">limits outright, and that condition presents as a candidate failure rather</w:t>
      </w:r>
      <w:r>
        <w:t xml:space="preserve"> </w:t>
      </w:r>
      <w:r>
        <w:t xml:space="preserve">than as an error. Studies that grade by execution should report their</w:t>
      </w:r>
      <w:r>
        <w:t xml:space="preserve"> </w:t>
      </w:r>
      <w:r>
        <w:t xml:space="preserve">reference-solution pass rate for the same reason a calibration curve is</w:t>
      </w:r>
      <w:r>
        <w:t xml:space="preserve"> </w:t>
      </w:r>
      <w:r>
        <w:t xml:space="preserve">reported: without it, a broken harness and a capability wall look identical.</w:t>
      </w:r>
    </w:p>
    <w:bookmarkEnd w:id="74"/>
    <w:bookmarkEnd w:id="75"/>
    <w:bookmarkStart w:id="76"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The</w:t>
      </w:r>
      <w:r>
        <w:t xml:space="preserve"> </w:t>
      </w:r>
      <w:r>
        <w:rPr>
          <w:i/>
          <w:iCs/>
        </w:rPr>
        <w:t xml:space="preserve">accuracy</w:t>
      </w:r>
      <w:r>
        <w:t xml:space="preserve"> </w:t>
      </w:r>
      <w:r>
        <w:t xml:space="preserve">claims are all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The real-trace campaigns of Sections </w:t>
      </w:r>
      <w:hyperlink w:anchor="sec:real">
        <w:r>
          <w:rPr>
            <w:rStyle w:val="Hyperlink"/>
          </w:rPr>
          <w:t xml:space="preserve">8.6</w:t>
        </w:r>
      </w:hyperlink>
      <w:r>
        <w:t xml:space="preserve"> </w:t>
      </w:r>
      <w:r>
        <w:t xml:space="preserve">and </w:t>
      </w:r>
      <w:hyperlink w:anchor="sec:hard">
        <w:r>
          <w:rPr>
            <w:rStyle w:val="Hyperlink"/>
          </w:rPr>
          <w:t xml:space="preserve">8.7</w:t>
        </w:r>
      </w:hyperlink>
      <w:r>
        <w:t xml:space="preserve"> </w:t>
      </w:r>
      <w:r>
        <w:t xml:space="preserve">test the</w:t>
      </w:r>
      <w:r>
        <w:t xml:space="preserve"> </w:t>
      </w:r>
      <w:r>
        <w:rPr>
          <w:i/>
          <w:iCs/>
        </w:rPr>
        <w:t xml:space="preserve">premise</w:t>
      </w:r>
      <w:r>
        <w:t xml:space="preserve"> </w:t>
      </w:r>
      <w:r>
        <w:t xml:space="preserve">and the</w:t>
      </w:r>
      <w:r>
        <w:t xml:space="preserve"> </w:t>
      </w:r>
      <w:r>
        <w:rPr>
          <w:i/>
          <w:iCs/>
        </w:rPr>
        <w:t xml:space="preserve">abstention behaviour</w:t>
      </w:r>
      <w:r>
        <w:t xml:space="preserve">, and both predictions held: the channel is null on saturated benchmarks and positive on competition mathematics, and the dead zone kept the vote bit-identical to</w:t>
      </w:r>
      <w:r>
        <w:t xml:space="preserve"> </w:t>
      </w:r>
      <w:r>
        <w:rPr>
          <w:smallCaps/>
        </w:rPr>
        <w:t xml:space="preserve">sc</w:t>
      </w:r>
      <w:r>
        <w:t xml:space="preserve"> </w:t>
      </w:r>
      <w:r>
        <w:t xml:space="preserve">in each case. They do not test the accuracy claim, because on neither substrate was the addressable stratum large enough for any method to demonstrate a gain (Section </w:t>
      </w:r>
      <w:hyperlink w:anchor="sec:window">
        <w:r>
          <w:rPr>
            <w:rStyle w:val="Hyperlink"/>
          </w:rPr>
          <w:t xml:space="preserve">8.8</w:t>
        </w:r>
      </w:hyperlink>
      <w:r>
        <w:t xml:space="preserv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 and what happens past the boundary.</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w:t>
      </w:r>
      <w:r>
        <w:t xml:space="preserve"> </w:t>
      </w:r>
      <w:r>
        <w:t xml:space="preserve">confident-echo ambiguity is fundamental (Proposition </w:t>
      </w:r>
      <w:hyperlink w:anchor="prop:twoworld">
        <w:r>
          <w:rPr>
            <w:rStyle w:val="Hyperlink"/>
          </w:rPr>
          <w:t xml:space="preserve">7</w:t>
        </w:r>
      </w:hyperlink>
      <w:r>
        <w:t xml:space="preserve">).</w:t>
      </w:r>
      <w:r>
        <w:t xml:space="preserve"> </w:t>
      </w:r>
      <w:r>
        <w:t xml:space="preserve">Follow-on work measured the consequence of crossing that boundary, and it is</w:t>
      </w:r>
      <w:r>
        <w:t xml:space="preserve"> </w:t>
      </w:r>
      <w:r>
        <w:t xml:space="preserve">worse than under-trust. In a</w:t>
      </w:r>
      <w:r>
        <w:t xml:space="preserve"> </w:t>
      </w:r>
      <w:r>
        <w:rPr>
          <w:i/>
          <w:iCs/>
        </w:rPr>
        <w:t xml:space="preserve">paraphrased</w:t>
      </w:r>
      <w:r>
        <w:t xml:space="preserve"> </w:t>
      </w:r>
      <w:r>
        <w:t xml:space="preserve">wrong-majority cell (a dominant</w:t>
      </w:r>
      <w:r>
        <w:t xml:space="preserve"> </w:t>
      </w:r>
      <w:r>
        <w:t xml:space="preserve">wrong cluster that is semantically tight but carries no verbatim signature, so</w:t>
      </w:r>
      <w:r>
        <w:t xml:space="preserve"> </w:t>
      </w:r>
      <w:r>
        <w:t xml:space="preserve">deduplication has nothing to collapse) the plurality is wrong on most items,</w:t>
      </w:r>
      <w:r>
        <w:t xml:space="preserve"> </w:t>
      </w:r>
      <m:oMath>
        <m:acc>
          <m:accPr>
            <m:chr m:val="‾"/>
          </m:accPr>
          <m:e>
            <m:r>
              <m:t>ρ</m:t>
            </m:r>
          </m:e>
        </m:acc>
        <m:r>
          <m:rPr>
            <m:sty m:val="p"/>
          </m:rPr>
          <m:t>&gt;</m:t>
        </m:r>
        <m:r>
          <m:t>1</m:t>
        </m:r>
        <m:r>
          <m:rPr>
            <m:sty m:val="p"/>
          </m:rPr>
          <m:t>/</m:t>
        </m:r>
        <m:r>
          <m:t>2</m:t>
        </m:r>
      </m:oMath>
      <w:r>
        <w:t xml:space="preserve">, and</w:t>
      </w:r>
      <w:r>
        <w:t xml:space="preserve"> </w:t>
      </w:r>
      <w:r>
        <w:rPr>
          <w:smallCaps/>
        </w:rPr>
        <w:t xml:space="preserve">tact</w:t>
      </w:r>
      <w:r>
        <w:t xml:space="preserve">-LF does not merely shrink toward</w:t>
      </w:r>
      <w:r>
        <w:t xml:space="preserve"> </w:t>
      </w:r>
      <w:r>
        <w:rPr>
          <w:smallCaps/>
        </w:rPr>
        <w:t xml:space="preserve">sc</w:t>
      </w:r>
      <w:r>
        <w:t xml:space="preserve">: it</w:t>
      </w:r>
      <w:r>
        <w:t xml:space="preserve"> </w:t>
      </w:r>
      <w:r>
        <w:rPr>
          <w:i/>
          <w:iCs/>
        </w:rPr>
        <w:t xml:space="preserve">mis-signs</w:t>
      </w:r>
      <w:r>
        <w:t xml:space="preserve">, saturates at</w:t>
      </w:r>
      <w:r>
        <w:t xml:space="preserve"> </w:t>
      </w:r>
      <m:oMath>
        <m:r>
          <m:t>γ</m:t>
        </m:r>
        <m:r>
          <m:rPr>
            <m:sty m:val="p"/>
          </m:rPr>
          <m:t>=</m:t>
        </m:r>
        <m:r>
          <m:rPr>
            <m:sty m:val="p"/>
          </m:rPr>
          <m:t>−</m:t>
        </m:r>
        <m:r>
          <m:t>2.0</m:t>
        </m:r>
      </m:oMath>
      <w:r>
        <w:t xml:space="preserve">, and scores</w:t>
      </w:r>
      <w:r>
        <w:t xml:space="preserve"> </w:t>
      </w:r>
      <m:oMath>
        <m:r>
          <m:t>0.000</m:t>
        </m:r>
      </m:oMath>
      <w:r>
        <w:t xml:space="preserve"> </w:t>
      </w:r>
      <w:r>
        <w:t xml:space="preserve">against an</w:t>
      </w:r>
      <w:r>
        <w:t xml:space="preserve"> </w:t>
      </w:r>
      <w:r>
        <w:rPr>
          <w:smallCaps/>
        </w:rPr>
        <w:t xml:space="preserve">sc</w:t>
      </w:r>
      <w:r>
        <w:t xml:space="preserve"> </w:t>
      </w:r>
      <w:r>
        <w:t xml:space="preserve">floor of</w:t>
      </w:r>
      <w:r>
        <w:t xml:space="preserve"> </w:t>
      </w:r>
      <m:oMath>
        <m:r>
          <m:t>0.340</m:t>
        </m:r>
      </m:oMath>
      <w:r>
        <w:t xml:space="preserve">. None of the four alarms fires, because E1 keys on</w:t>
      </w:r>
      <w:r>
        <w:t xml:space="preserve"> </w:t>
      </w:r>
      <w:r>
        <w:t xml:space="preserve">verbatim duplication which is absent by construction. This is the method’s</w:t>
      </w:r>
      <w:r>
        <w:t xml:space="preserve"> </w:t>
      </w:r>
      <w:r>
        <w:t xml:space="preserve">sharpest unguarded failure mode: the guarantee is conditional, the condition is</w:t>
      </w:r>
      <w:r>
        <w:t xml:space="preserve"> </w:t>
      </w:r>
      <w:r>
        <w:t xml:space="preserve">not observable label-free, and the existing diagnostics do not detect its</w:t>
      </w:r>
      <w:r>
        <w:t xml:space="preserve"> </w:t>
      </w:r>
      <w:r>
        <w:t xml:space="preserve">violation. Where a systematically wrong majority is plausible, the</w:t>
      </w:r>
      <w:r>
        <w:t xml:space="preserve"> </w:t>
      </w:r>
      <w:r>
        <w:t xml:space="preserve">semi-label-free mode (sign from</w:t>
      </w:r>
      <w:r>
        <w:t xml:space="preserve"> </w:t>
      </w:r>
      <m:oMath>
        <m:r>
          <m:rPr>
            <m:sty m:val="p"/>
          </m:rPr>
          <m:t>∼</m:t>
        </m:r>
        <m:r>
          <m:t>50</m:t>
        </m:r>
      </m:oMath>
      <w:r>
        <w:t xml:space="preserve"> </w:t>
      </w:r>
      <w:r>
        <w:t xml:space="preserve">labels) should be the default rather</w:t>
      </w:r>
      <w:r>
        <w:t xml:space="preserve"> </w:t>
      </w:r>
      <w:r>
        <w:t xml:space="preserve">than an optional refinement.</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p>
      <w:pPr>
        <w:pStyle w:val="BodyText"/>
      </w:pPr>
      <w:r>
        <w:rPr>
          <w:b/>
          <w:bCs/>
        </w:rPr>
        <w:t xml:space="preserve">The thin window.</w:t>
      </w:r>
      <w:r>
        <w:t xml:space="preserve"> </w:t>
      </w:r>
      <w:r>
        <w:t xml:space="preserve">Section </w:t>
      </w:r>
      <w:hyperlink w:anchor="sec:window">
        <w:r>
          <w:rPr>
            <w:rStyle w:val="Hyperlink"/>
          </w:rPr>
          <w:t xml:space="preserve">8.8</w:t>
        </w:r>
      </w:hyperlink>
      <w:r>
        <w:t xml:space="preserve"> </w:t>
      </w:r>
      <w:r>
        <w:t xml:space="preserve">measures the stratum this</w:t>
      </w:r>
      <w:r>
        <w:t xml:space="preserve"> </w:t>
      </w:r>
      <w:r>
        <w:t xml:space="preserve">whole family of methods can act on at</w:t>
      </w:r>
      <w:r>
        <w:t xml:space="preserve"> </w:t>
      </w:r>
      <m:oMath>
        <m:r>
          <m:t>3</m:t>
        </m:r>
      </m:oMath>
      <w:r>
        <w:t xml:space="preserve">–</w:t>
      </w:r>
      <m:oMath>
        <m:r>
          <m:t>7.5</m:t>
        </m:r>
        <m:r>
          <m:rPr>
            <m:sty m:val="p"/>
          </m:rPr>
          <m:t>%</m:t>
        </m:r>
      </m:oMath>
      <w:r>
        <w:t xml:space="preserve"> </w:t>
      </w:r>
      <w:r>
        <w:t xml:space="preserve">of items on every substrate</w:t>
      </w:r>
      <w:r>
        <w:t xml:space="preserve"> </w:t>
      </w:r>
      <w:r>
        <w:t xml:space="preserve">tried, in two domains, with no widening as items harden: they pass from</w:t>
      </w:r>
      <w:r>
        <w:t xml:space="preserve"> </w:t>
      </w:r>
      <w:r>
        <w:t xml:space="preserve">saturated straight to capability-limited. Two consequences follow for the</w:t>
      </w:r>
      <w:r>
        <w:t xml:space="preserve"> </w:t>
      </w:r>
      <w:r>
        <w:t xml:space="preserve">method proposed here. First, abstention is not a conservative compromise but</w:t>
      </w:r>
      <w:r>
        <w:t xml:space="preserve"> </w:t>
      </w:r>
      <w:r>
        <w:t xml:space="preserve">the only correct default, and the measured cost of acting anyway was negative</w:t>
      </w:r>
      <w:r>
        <w:t xml:space="preserve"> </w:t>
      </w:r>
      <w:r>
        <w:t xml:space="preserve">on both real substrates (best-single-confidence loses</w:t>
      </w:r>
      <w:r>
        <w:t xml:space="preserve"> </w:t>
      </w:r>
      <m:oMath>
        <m:r>
          <m:t>4.5</m:t>
        </m:r>
      </m:oMath>
      <w:r>
        <w:t xml:space="preserve"> </w:t>
      </w:r>
      <w:r>
        <w:t xml:space="preserve">points in</w:t>
      </w:r>
      <w:r>
        <w:t xml:space="preserve"> </w:t>
      </w:r>
      <w:r>
        <w:t xml:space="preserve">Table </w:t>
      </w:r>
      <w:hyperlink w:anchor="tab:hard">
        <w:r>
          <w:rPr>
            <w:rStyle w:val="Hyperlink"/>
          </w:rPr>
          <w:t xml:space="preserve">5</w:t>
        </w:r>
      </w:hyperlink>
      <w:r>
        <w:t xml:space="preserve"> </w:t>
      </w:r>
      <w:r>
        <w:t xml:space="preserve">where the dead zone holds</w:t>
      </w:r>
      <w:r>
        <w:t xml:space="preserve"> </w:t>
      </w:r>
      <w:r>
        <w:rPr>
          <w:smallCaps/>
        </w:rPr>
        <w:t xml:space="preserve">tact</w:t>
      </w:r>
      <w:r>
        <w:t xml:space="preserve"> </w:t>
      </w:r>
      <w:r>
        <w:t xml:space="preserve">at the</w:t>
      </w:r>
      <w:r>
        <w:t xml:space="preserve"> </w:t>
      </w:r>
      <w:r>
        <w:rPr>
          <w:smallCaps/>
        </w:rPr>
        <w:t xml:space="preserve">sc</w:t>
      </w:r>
      <w:r>
        <w:t xml:space="preserve"> </w:t>
      </w:r>
      <w:r>
        <w:t xml:space="preserve">floor).</w:t>
      </w:r>
      <w:r>
        <w:t xml:space="preserve"> </w:t>
      </w:r>
      <w:r>
        <w:t xml:space="preserve">Second, an aggregation gain of the size reported on the synthetic harness is</w:t>
      </w:r>
      <w:r>
        <w:t xml:space="preserve"> </w:t>
      </w:r>
      <w:r>
        <w:t xml:space="preserve">not measurable on a benchmark of a few hundred items at these window widths,</w:t>
      </w:r>
      <w:r>
        <w:t xml:space="preserve"> </w:t>
      </w:r>
      <w:r>
        <w:t xml:space="preserve">which is why the real-trace claim in this paper is confined to the premise</w:t>
      </w:r>
      <w:r>
        <w:t xml:space="preserve"> </w:t>
      </w:r>
      <w:r>
        <w:t xml:space="preserve">(the channel exists and is signed) and to the abstention behaviour, and does</w:t>
      </w:r>
      <w:r>
        <w:t xml:space="preserve"> </w:t>
      </w:r>
      <w:r>
        <w:t xml:space="preserve">not extend to accuracy. Demonstrating the gain needs a (model, benchmark)</w:t>
      </w:r>
      <w:r>
        <w:t xml:space="preserve"> </w:t>
      </w:r>
      <w:r>
        <w:t xml:space="preserve">pair whose plurality is wrong on</w:t>
      </w:r>
      <w:r>
        <w:t xml:space="preserve"> </w:t>
      </w:r>
      <m:oMath>
        <m:r>
          <m:t>30</m:t>
        </m:r>
      </m:oMath>
      <w:r>
        <w:t xml:space="preserve">–</w:t>
      </w:r>
      <m:oMath>
        <m:r>
          <m:t>60</m:t>
        </m:r>
        <m:r>
          <m:rPr>
            <m:sty m:val="p"/>
          </m:rPr>
          <m:t>%</m:t>
        </m:r>
      </m:oMath>
      <w:r>
        <w:t xml:space="preserve"> </w:t>
      </w:r>
      <w:r>
        <w:t xml:space="preserve">of items with the correct answer</w:t>
      </w:r>
      <w:r>
        <w:t xml:space="preserve"> </w:t>
      </w:r>
      <w:r>
        <w:t xml:space="preserve">still reachable, and no pair tried here satisfies both.</w:t>
      </w:r>
    </w:p>
    <w:bookmarkEnd w:id="76"/>
    <w:bookmarkStart w:id="77"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an exact fallback at one end, plain self-consistency whenever the evidence is absent, and an exact correspondence to CISC-power at the other under the log-value feature map (the shipped default uses van der Waerden scores, so that correspondence is a property of the family, not of the shipped configuration), 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77"/>
    <w:bookmarkStart w:id="79" w:name="code-and-data-availability"/>
    <w:p>
      <w:pPr>
        <w:pStyle w:val="Heading1"/>
      </w:pPr>
      <w:r>
        <w:t xml:space="preserve">Code and Data Availability</w:t>
      </w:r>
    </w:p>
    <w:p>
      <w:pPr>
        <w:pStyle w:val="FirstParagraph"/>
      </w:pPr>
      <w:r>
        <w:t xml:space="preserve">All code, cached traces, and the JSON artifacts behind every table are at</w:t>
      </w:r>
      <w:r>
        <w:t xml:space="preserve"> </w:t>
      </w:r>
      <w:hyperlink r:id="rId78">
        <w:r>
          <w:rPr>
            <w:rStyle w:val="Hyperlink"/>
          </w:rPr>
          <w:t xml:space="preserve">https://github.com/vito1317/adaptive-reasoning-consensus</w:t>
        </w:r>
      </w:hyperlink>
      <w:r>
        <w:t xml:space="preserve">. Table </w:t>
      </w:r>
      <w:hyperlink w:anchor="tab:tests">
        <w:r>
          <w:rPr>
            <w:rStyle w:val="Hyperlink"/>
          </w:rPr>
          <w:t xml:space="preserve">4</w:t>
        </w:r>
      </w:hyperlink>
      <w:r>
        <w:t xml:space="preserve"> </w:t>
      </w:r>
      <w:r>
        <w:t xml:space="preserve">is produced by</w:t>
      </w:r>
      <w:r>
        <w:t xml:space="preserve"> </w:t>
      </w:r>
      <w:r>
        <w:rPr>
          <w:rStyle w:val="VerbatimChar"/>
        </w:rPr>
        <w:t xml:space="preserve">pytest</w:t>
      </w:r>
      <w:r>
        <w:t xml:space="preserve"> </w:t>
      </w:r>
      <w:r>
        <w:t xml:space="preserve">at commit</w:t>
      </w:r>
      <w:r>
        <w:t xml:space="preserve"> </w:t>
      </w:r>
      <w:r>
        <w:rPr>
          <w:rStyle w:val="VerbatimChar"/>
        </w:rPr>
        <w:t xml:space="preserve">35ad160</w:t>
      </w:r>
      <w:r>
        <w:t xml:space="preserve">; the synthetic results by</w:t>
      </w:r>
      <w:r>
        <w:t xml:space="preserve"> </w:t>
      </w:r>
      <w:r>
        <w:rPr>
          <w:rStyle w:val="VerbatimChar"/>
        </w:rPr>
        <w:t xml:space="preserve">experiments/run_tact_eval.py</w:t>
      </w:r>
      <w:r>
        <w:t xml:space="preserve">, the real-trace campaigns by</w:t>
      </w:r>
      <w:r>
        <w:t xml:space="preserve"> </w:t>
      </w:r>
      <w:r>
        <w:rPr>
          <w:rStyle w:val="VerbatimChar"/>
        </w:rPr>
        <w:t xml:space="preserve">run_tact_hard_eval.py</w:t>
      </w:r>
      <w:r>
        <w:t xml:space="preserve">, and the window measurements by</w:t>
      </w:r>
      <w:r>
        <w:t xml:space="preserve"> </w:t>
      </w:r>
      <w:r>
        <w:rPr>
          <w:rStyle w:val="VerbatimChar"/>
        </w:rPr>
        <w:t xml:space="preserve">run_g1_window.py</w:t>
      </w:r>
      <w:r>
        <w:t xml:space="preserve"> </w:t>
      </w:r>
      <w:r>
        <w:t xml:space="preserve">and</w:t>
      </w:r>
      <w:r>
        <w:t xml:space="preserve"> </w:t>
      </w:r>
      <w:r>
        <w:rPr>
          <w:rStyle w:val="VerbatimChar"/>
        </w:rPr>
        <w:t xml:space="preserve">run_g1_deepening.py</w:t>
      </w:r>
      <w:r>
        <w:t xml:space="preserve">. Each script</w:t>
      </w:r>
      <w:r>
        <w:t xml:space="preserve"> </w:t>
      </w:r>
      <w:r>
        <w:t xml:space="preserve">writes the artifact its table cites.</w:t>
      </w:r>
    </w:p>
    <w:bookmarkEnd w:id="79"/>
    <w:bookmarkStart w:id="130" w:name="references"/>
    <w:p>
      <w:pPr>
        <w:pStyle w:val="Heading1"/>
      </w:pPr>
      <w:r>
        <w:t xml:space="preserve">References</w:t>
      </w:r>
    </w:p>
    <w:p>
      <w:pPr>
        <w:pStyle w:val="FirstParagraph"/>
      </w:pPr>
      <w:r>
        <w:t xml:space="preserve">99</w:t>
      </w:r>
    </w:p>
    <w:p>
      <w:pPr>
        <w:pStyle w:val="BodyText"/>
      </w:pPr>
      <w:bookmarkStart w:id="80" w:name="bib:wang2023selfconsistency"/>
      <w:bookmarkEnd w:id="80"/>
      <w:r>
        <w:t xml:space="preserve"> </w:t>
      </w: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 </w:t>
      </w:r>
      <w:hyperlink r:id="rId81">
        <w:r>
          <w:rPr>
            <w:rStyle w:val="Hyperlink"/>
          </w:rPr>
          <w:t xml:space="preserve">https://arxiv.org/pdf/2203.11171</w:t>
        </w:r>
      </w:hyperlink>
    </w:p>
    <w:p>
      <w:pPr>
        <w:pStyle w:val="BodyText"/>
      </w:pPr>
      <w:bookmarkStart w:id="82" w:name="bib:tian2023just"/>
      <w:bookmarkEnd w:id="82"/>
      <w:r>
        <w:t xml:space="preserve"> </w:t>
      </w: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 </w:t>
      </w:r>
      <w:hyperlink r:id="rId83">
        <w:r>
          <w:rPr>
            <w:rStyle w:val="Hyperlink"/>
          </w:rPr>
          <w:t xml:space="preserve">https://aclanthology.org/2023.emnlp-main.330.pdf</w:t>
        </w:r>
      </w:hyperlink>
    </w:p>
    <w:p>
      <w:pPr>
        <w:pStyle w:val="BodyText"/>
      </w:pPr>
      <w:bookmarkStart w:id="84" w:name="bib:xiong2024can"/>
      <w:bookmarkEnd w:id="84"/>
      <w:r>
        <w:t xml:space="preserve"> </w:t>
      </w: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 </w:t>
      </w:r>
      <w:hyperlink r:id="rId85">
        <w:r>
          <w:rPr>
            <w:rStyle w:val="Hyperlink"/>
          </w:rPr>
          <w:t xml:space="preserve">https://openreview.net/pdf?id=gjeQKFxFpZ</w:t>
        </w:r>
      </w:hyperlink>
    </w:p>
    <w:p>
      <w:pPr>
        <w:pStyle w:val="BodyText"/>
      </w:pPr>
      <w:bookmarkStart w:id="86" w:name="bib:kadavath2022language"/>
      <w:bookmarkEnd w:id="86"/>
      <w:r>
        <w:t xml:space="preserve"> </w:t>
      </w: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 </w:t>
      </w:r>
      <w:hyperlink r:id="rId87">
        <w:r>
          <w:rPr>
            <w:rStyle w:val="Hyperlink"/>
          </w:rPr>
          <w:t xml:space="preserve">https://arxiv.org/pdf/2207.05221</w:t>
        </w:r>
      </w:hyperlink>
    </w:p>
    <w:p>
      <w:pPr>
        <w:pStyle w:val="BodyText"/>
      </w:pPr>
      <w:bookmarkStart w:id="88" w:name="bib:taubenfeld2025cisc"/>
      <w:bookmarkEnd w:id="88"/>
      <w:r>
        <w:t xml:space="preserve"> </w:t>
      </w: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 </w:t>
      </w:r>
      <w:hyperlink r:id="rId89">
        <w:r>
          <w:rPr>
            <w:rStyle w:val="Hyperlink"/>
          </w:rPr>
          <w:t xml:space="preserve">https://aclanthology.org/2025.findings-acl.1030.pdf</w:t>
        </w:r>
      </w:hyperlink>
    </w:p>
    <w:p>
      <w:pPr>
        <w:pStyle w:val="BodyText"/>
      </w:pPr>
      <w:bookmarkStart w:id="90" w:name="bib:reasc2026"/>
      <w:bookmarkEnd w:id="90"/>
      <w:r>
        <w:t xml:space="preserve"> </w:t>
      </w: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 </w:t>
      </w:r>
      <w:hyperlink r:id="rId91">
        <w:r>
          <w:rPr>
            <w:rStyle w:val="Hyperlink"/>
          </w:rPr>
          <w:t xml:space="preserve">https://aclanthology.org/2026.findings-acl.1085.pdf</w:t>
        </w:r>
      </w:hyperlink>
    </w:p>
    <w:p>
      <w:pPr>
        <w:pStyle w:val="BodyText"/>
      </w:pPr>
      <w:bookmarkStart w:id="92" w:name="bib:deepconf2025"/>
      <w:bookmarkEnd w:id="92"/>
      <w:r>
        <w:t xml:space="preserve"> </w:t>
      </w: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 </w:t>
      </w:r>
      <w:hyperlink r:id="rId93">
        <w:r>
          <w:rPr>
            <w:rStyle w:val="Hyperlink"/>
          </w:rPr>
          <w:t xml:space="preserve">https://arxiv.org/pdf/2508.15260</w:t>
        </w:r>
      </w:hyperlink>
    </w:p>
    <w:p>
      <w:pPr>
        <w:pStyle w:val="BodyText"/>
      </w:pPr>
      <w:bookmarkStart w:id="94" w:name="bib:huang2024rankcalibration"/>
      <w:bookmarkEnd w:id="94"/>
      <w:r>
        <w:t xml:space="preserve"> </w:t>
      </w: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 </w:t>
      </w:r>
      <w:hyperlink r:id="rId95">
        <w:r>
          <w:rPr>
            <w:rStyle w:val="Hyperlink"/>
          </w:rPr>
          <w:t xml:space="preserve">https://aclanthology.org/2024.emnlp-main.18.pdf</w:t>
        </w:r>
      </w:hyperlink>
    </w:p>
    <w:p>
      <w:pPr>
        <w:pStyle w:val="BodyText"/>
      </w:pPr>
      <w:bookmarkStart w:id="96" w:name="bib:dawid1979maximum"/>
      <w:bookmarkEnd w:id="96"/>
      <w:r>
        <w:t xml:space="preserve"> </w:t>
      </w: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 </w:t>
      </w:r>
      <w:hyperlink r:id="rId97">
        <w:r>
          <w:rPr>
            <w:rStyle w:val="Hyperlink"/>
          </w:rPr>
          <w:t xml:space="preserve">https://doi.org/10.2307/2346806</w:t>
        </w:r>
      </w:hyperlink>
    </w:p>
    <w:p>
      <w:pPr>
        <w:pStyle w:val="BodyText"/>
      </w:pPr>
      <w:bookmarkStart w:id="98" w:name="bib:parisi2014ranking"/>
      <w:bookmarkEnd w:id="98"/>
      <w:r>
        <w:t xml:space="preserve"> </w:t>
      </w: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 </w:t>
      </w:r>
      <w:hyperlink r:id="rId99">
        <w:r>
          <w:rPr>
            <w:rStyle w:val="Hyperlink"/>
          </w:rPr>
          <w:t xml:space="preserve">https://pmc.ncbi.nlm.nih.gov/articles/PMC3910607/pdf/pnas.201219097.pdf</w:t>
        </w:r>
      </w:hyperlink>
    </w:p>
    <w:p>
      <w:pPr>
        <w:pStyle w:val="BodyText"/>
      </w:pPr>
      <w:bookmarkStart w:id="100" w:name="bib:li2023diverse"/>
      <w:bookmarkEnd w:id="100"/>
      <w:r>
        <w:t xml:space="preserve"> </w:t>
      </w: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 </w:t>
      </w:r>
      <w:hyperlink r:id="rId101">
        <w:r>
          <w:rPr>
            <w:rStyle w:val="Hyperlink"/>
          </w:rPr>
          <w:t xml:space="preserve">https://aclanthology.org/2023.acl-long.291.pdf</w:t>
        </w:r>
      </w:hyperlink>
    </w:p>
    <w:p>
      <w:pPr>
        <w:pStyle w:val="BodyText"/>
      </w:pPr>
      <w:bookmarkStart w:id="102" w:name="bib:borda2025"/>
      <w:bookmarkEnd w:id="102"/>
      <w:r>
        <w:t xml:space="preserve"> </w:t>
      </w: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 </w:t>
      </w:r>
      <w:hyperlink r:id="rId103">
        <w:r>
          <w:rPr>
            <w:rStyle w:val="Hyperlink"/>
          </w:rPr>
          <w:t xml:space="preserve">https://proceedings.neurips.cc/paper_files/paper/2025/file/1c7eff166a8e345f664f0faa8f4e4d2e-Paper-Conference.pdf</w:t>
        </w:r>
      </w:hyperlink>
    </w:p>
    <w:p>
      <w:pPr>
        <w:pStyle w:val="BodyText"/>
      </w:pPr>
      <w:bookmarkStart w:id="104" w:name="bib:aggarwal2023adaptive"/>
      <w:bookmarkEnd w:id="104"/>
      <w:r>
        <w:t xml:space="preserve"> </w:t>
      </w: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 </w:t>
      </w:r>
      <w:hyperlink r:id="rId105">
        <w:r>
          <w:rPr>
            <w:rStyle w:val="Hyperlink"/>
          </w:rPr>
          <w:t xml:space="preserve">https://aclanthology.org/2023.emnlp-main.761.pdf</w:t>
        </w:r>
      </w:hyperlink>
    </w:p>
    <w:p>
      <w:pPr>
        <w:pStyle w:val="BodyText"/>
      </w:pPr>
      <w:bookmarkStart w:id="106" w:name="bib:li2024escape"/>
      <w:bookmarkEnd w:id="106"/>
      <w:r>
        <w:t xml:space="preserve"> </w:t>
      </w: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 </w:t>
      </w:r>
      <w:hyperlink r:id="rId107">
        <w:r>
          <w:rPr>
            <w:rStyle w:val="Hyperlink"/>
          </w:rPr>
          <w:t xml:space="preserve">https://arxiv.org/pdf/2401.10480</w:t>
        </w:r>
      </w:hyperlink>
    </w:p>
    <w:p>
      <w:pPr>
        <w:pStyle w:val="BodyText"/>
      </w:pPr>
      <w:bookmarkStart w:id="108" w:name="bib:whitehill2009whose"/>
      <w:bookmarkEnd w:id="108"/>
      <w:r>
        <w:t xml:space="preserve"> </w:t>
      </w: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 </w:t>
      </w:r>
      <w:hyperlink r:id="rId109">
        <w:r>
          <w:rPr>
            <w:rStyle w:val="Hyperlink"/>
          </w:rPr>
          <w:t xml:space="preserve">https://proceedings.neurips.cc/paper_files/paper/2009/file/f899139df5e1059396431415e770c6dd-Paper.pdf</w:t>
        </w:r>
      </w:hyperlink>
    </w:p>
    <w:p>
      <w:pPr>
        <w:pStyle w:val="BodyText"/>
      </w:pPr>
      <w:bookmarkStart w:id="110" w:name="bib:karger2011iterative"/>
      <w:bookmarkEnd w:id="110"/>
      <w:r>
        <w:t xml:space="preserve"> </w:t>
      </w: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 </w:t>
      </w:r>
      <w:hyperlink r:id="rId111">
        <w:r>
          <w:rPr>
            <w:rStyle w:val="Hyperlink"/>
          </w:rPr>
          <w:t xml:space="preserve">https://proceedings.neurips.cc/paper_files/paper/2011/file/c667d53acd899a97a85de0c201ba99be-Paper.pdf</w:t>
        </w:r>
      </w:hyperlink>
    </w:p>
    <w:p>
      <w:pPr>
        <w:pStyle w:val="BodyText"/>
      </w:pPr>
      <w:bookmarkStart w:id="112" w:name="bib:fuse2026"/>
      <w:bookmarkEnd w:id="112"/>
      <w:r>
        <w:t xml:space="preserve"> </w:t>
      </w:r>
      <w:r>
        <w:t xml:space="preserve">J. Lee, V. Ma, S. Zhao, Y. Nair, A. Spector, R. Cohen, and E. J. Candès,</w:t>
      </w:r>
      <w:r>
        <w:t xml:space="preserve"> </w:t>
      </w:r>
      <w:r>
        <w:t xml:space="preserve">“FUSE: Ensembling verifiers with zero labeled data,”</w:t>
      </w:r>
      <w:r>
        <w:t xml:space="preserve"> </w:t>
      </w:r>
      <w:r>
        <w:t xml:space="preserve">arXiv:2604.18547, 2026. </w:t>
      </w:r>
      <w:hyperlink r:id="rId113">
        <w:r>
          <w:rPr>
            <w:rStyle w:val="Hyperlink"/>
          </w:rPr>
          <w:t xml:space="preserve">https://arxiv.org/pdf/2604.18547</w:t>
        </w:r>
      </w:hyperlink>
    </w:p>
    <w:p>
      <w:pPr>
        <w:pStyle w:val="BodyText"/>
      </w:pPr>
      <w:bookmarkStart w:id="114" w:name="bib:beyondmajority2025"/>
      <w:bookmarkEnd w:id="114"/>
      <w:r>
        <w:t xml:space="preserve"> </w:t>
      </w: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 </w:t>
      </w:r>
      <w:hyperlink r:id="rId115">
        <w:r>
          <w:rPr>
            <w:rStyle w:val="Hyperlink"/>
          </w:rPr>
          <w:t xml:space="preserve">https://arxiv.org/pdf/2510.01499</w:t>
        </w:r>
      </w:hyperlink>
    </w:p>
    <w:p>
      <w:pPr>
        <w:pStyle w:val="BodyText"/>
      </w:pPr>
      <w:bookmarkStart w:id="116" w:name="bib:vanelteren1960"/>
      <w:bookmarkEnd w:id="116"/>
      <w:r>
        <w:t xml:space="preserve"> </w:t>
      </w: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 </w:t>
      </w:r>
      <w:hyperlink r:id="rId117">
        <w:r>
          <w:rPr>
            <w:rStyle w:val="Hyperlink"/>
          </w:rPr>
          <w:t xml:space="preserve">https://catalog.hathitrust.org/Record/008896012</w:t>
        </w:r>
      </w:hyperlink>
    </w:p>
    <w:p>
      <w:pPr>
        <w:pStyle w:val="BodyText"/>
      </w:pPr>
      <w:bookmarkStart w:id="118" w:name="bib:james1961estimation"/>
      <w:bookmarkEnd w:id="118"/>
      <w:r>
        <w:t xml:space="preserve"> </w:t>
      </w: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 </w:t>
      </w:r>
      <w:hyperlink r:id="rId119">
        <w:r>
          <w:rPr>
            <w:rStyle w:val="Hyperlink"/>
          </w:rPr>
          <w:t xml:space="preserve">https://digitalassets.lib.berkeley.edu/math/ucb/text/math_s4_v1_article-19.pdf</w:t>
        </w:r>
      </w:hyperlink>
    </w:p>
    <w:p>
      <w:pPr>
        <w:pStyle w:val="BodyText"/>
      </w:pPr>
      <w:bookmarkStart w:id="120" w:name="bib:kish1965"/>
      <w:bookmarkEnd w:id="120"/>
      <w:r>
        <w:t xml:space="preserve"> </w:t>
      </w:r>
      <w:r>
        <w:t xml:space="preserve">L. Kish,</w:t>
      </w:r>
      <w:r>
        <w:t xml:space="preserve"> </w:t>
      </w:r>
      <w:r>
        <w:rPr>
          <w:i/>
          <w:iCs/>
        </w:rPr>
        <w:t xml:space="preserve">Survey Sampling</w:t>
      </w:r>
      <w:r>
        <w:t xml:space="preserve">. New York, NY, USA: Wiley, 1965. </w:t>
      </w:r>
      <w:hyperlink r:id="rId121">
        <w:r>
          <w:rPr>
            <w:rStyle w:val="Hyperlink"/>
          </w:rPr>
          <w:t xml:space="preserve">https://www.wiley.com/en-us/Survey+Sampling-p-9780471109495</w:t>
        </w:r>
      </w:hyperlink>
    </w:p>
    <w:p>
      <w:pPr>
        <w:pStyle w:val="BodyText"/>
      </w:pPr>
      <w:bookmarkStart w:id="122" w:name="bib:rao1981analysis"/>
      <w:bookmarkEnd w:id="122"/>
      <w:r>
        <w:t xml:space="preserve"> </w:t>
      </w: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 </w:t>
      </w:r>
      <w:hyperlink r:id="rId123">
        <w:r>
          <w:rPr>
            <w:rStyle w:val="Hyperlink"/>
          </w:rPr>
          <w:t xml:space="preserve">https://doi.org/10.1080/01621459.1981.10477633</w:t>
        </w:r>
      </w:hyperlink>
    </w:p>
    <w:p>
      <w:pPr>
        <w:pStyle w:val="BodyText"/>
      </w:pPr>
      <w:bookmarkStart w:id="124" w:name="bib:gsm8k2021"/>
      <w:bookmarkEnd w:id="124"/>
      <w:r>
        <w:t xml:space="preserve"> </w:t>
      </w: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bookmarkStart w:id="125" w:name="bib:math500"/>
      <w:bookmarkEnd w:id="125"/>
      <w:r>
        <w:t xml:space="preserve"> </w:t>
      </w:r>
      <w:r>
        <w:t xml:space="preserve">D. Hendrycks</w:t>
      </w:r>
      <w:r>
        <w:t xml:space="preserve"> </w:t>
      </w:r>
      <w:r>
        <w:rPr>
          <w:i/>
          <w:iCs/>
        </w:rPr>
        <w:t xml:space="preserve">et al.</w:t>
      </w:r>
      <w:r>
        <w:t xml:space="preserve">,</w:t>
      </w:r>
      <w:r>
        <w:t xml:space="preserve"> </w:t>
      </w:r>
      <w:r>
        <w:t xml:space="preserve">“Measuring mathematical problem solving with the MATH dataset,”</w:t>
      </w:r>
      <w:r>
        <w:t xml:space="preserve"> </w:t>
      </w:r>
      <w:r>
        <w:t xml:space="preserve">in</w:t>
      </w:r>
      <w:r>
        <w:t xml:space="preserve"> </w:t>
      </w:r>
      <w:r>
        <w:rPr>
          <w:i/>
          <w:iCs/>
        </w:rPr>
        <w:t xml:space="preserve">Proc. NeurIPS Datasets and Benchmarks</w:t>
      </w:r>
      <w:r>
        <w:t xml:space="preserve">, 2021. </w:t>
      </w:r>
      <w:hyperlink r:id="rId126">
        <w:r>
          <w:rPr>
            <w:rStyle w:val="Hyperlink"/>
          </w:rPr>
          <w:t xml:space="preserve">https://datasets-benchmarks-proceedings.neurips.cc/paper/2021/file/be83ab3ecd0db773eb2dc1b0a17836a1-Paper-round2.pdf</w:t>
        </w:r>
      </w:hyperlink>
    </w:p>
    <w:p>
      <w:pPr>
        <w:pStyle w:val="BodyText"/>
      </w:pPr>
      <w:bookmarkStart w:id="127" w:name="bib:lightman2024verify"/>
      <w:bookmarkEnd w:id="127"/>
      <w:r>
        <w:t xml:space="preserve"> </w:t>
      </w:r>
      <w:r>
        <w:t xml:space="preserve">H. Lightman</w:t>
      </w:r>
      <w:r>
        <w:t xml:space="preserve"> </w:t>
      </w:r>
      <w:r>
        <w:rPr>
          <w:i/>
          <w:iCs/>
        </w:rPr>
        <w:t xml:space="preserve">et al.</w:t>
      </w:r>
      <w:r>
        <w:t xml:space="preserve">,</w:t>
      </w:r>
      <w:r>
        <w:t xml:space="preserve"> </w:t>
      </w:r>
      <w:r>
        <w:t xml:space="preserve">“Let’s verify step by step,”</w:t>
      </w:r>
      <w:r>
        <w:t xml:space="preserve"> </w:t>
      </w:r>
      <w:r>
        <w:t xml:space="preserve">in</w:t>
      </w:r>
      <w:r>
        <w:t xml:space="preserve"> </w:t>
      </w:r>
      <w:r>
        <w:rPr>
          <w:i/>
          <w:iCs/>
        </w:rPr>
        <w:t xml:space="preserve">Proc. ICLR</w:t>
      </w:r>
      <w:r>
        <w:t xml:space="preserve">, 2024. (MATH-500 test subset.)</w:t>
      </w:r>
    </w:p>
    <w:p>
      <w:pPr>
        <w:pStyle w:val="BodyText"/>
      </w:pPr>
      <w:bookmarkStart w:id="128" w:name="bib:leetcodedataset"/>
      <w:bookmarkEnd w:id="128"/>
      <w:r>
        <w:t xml:space="preserve"> </w:t>
      </w:r>
      <w:r>
        <w:t xml:space="preserve">Y. Xia</w:t>
      </w:r>
      <w:r>
        <w:t xml:space="preserve"> </w:t>
      </w:r>
      <w:r>
        <w:rPr>
          <w:i/>
          <w:iCs/>
        </w:rPr>
        <w:t xml:space="preserve">et al.</w:t>
      </w:r>
      <w:r>
        <w:t xml:space="preserve">,</w:t>
      </w:r>
      <w:r>
        <w:t xml:space="preserve"> </w:t>
      </w:r>
      <w:r>
        <w:t xml:space="preserve">“LeetCodeDataset: A temporal dataset for robust evaluation and efficient training of code LLMs,”</w:t>
      </w:r>
      <w:r>
        <w:t xml:space="preserve"> </w:t>
      </w:r>
      <w:r>
        <w:t xml:space="preserve">arXiv:2504.14655, 2025. </w:t>
      </w:r>
      <w:hyperlink r:id="rId129">
        <w:r>
          <w:rPr>
            <w:rStyle w:val="Hyperlink"/>
          </w:rPr>
          <w:t xml:space="preserve">https://arxiv.org/pdf/2504.14655</w:t>
        </w:r>
      </w:hyperlink>
    </w:p>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101" Target="https://aclanthology.org/2023.acl-long.291.pdf" TargetMode="External" /><Relationship Type="http://schemas.openxmlformats.org/officeDocument/2006/relationships/hyperlink" Id="rId83" Target="https://aclanthology.org/2023.emnlp-main.330.pdf" TargetMode="External" /><Relationship Type="http://schemas.openxmlformats.org/officeDocument/2006/relationships/hyperlink" Id="rId105" Target="https://aclanthology.org/2023.emnlp-main.761.pdf" TargetMode="External" /><Relationship Type="http://schemas.openxmlformats.org/officeDocument/2006/relationships/hyperlink" Id="rId95" Target="https://aclanthology.org/2024.emnlp-main.18.pdf" TargetMode="External" /><Relationship Type="http://schemas.openxmlformats.org/officeDocument/2006/relationships/hyperlink" Id="rId89" Target="https://aclanthology.org/2025.findings-acl.1030.pdf" TargetMode="External" /><Relationship Type="http://schemas.openxmlformats.org/officeDocument/2006/relationships/hyperlink" Id="rId91" Target="https://aclanthology.org/2026.findings-acl.1085.pdf" TargetMode="External" /><Relationship Type="http://schemas.openxmlformats.org/officeDocument/2006/relationships/hyperlink" Id="rId81" Target="https://arxiv.org/pdf/2203.11171" TargetMode="External" /><Relationship Type="http://schemas.openxmlformats.org/officeDocument/2006/relationships/hyperlink" Id="rId87" Target="https://arxiv.org/pdf/2207.05221" TargetMode="External" /><Relationship Type="http://schemas.openxmlformats.org/officeDocument/2006/relationships/hyperlink" Id="rId107" Target="https://arxiv.org/pdf/2401.10480" TargetMode="External" /><Relationship Type="http://schemas.openxmlformats.org/officeDocument/2006/relationships/hyperlink" Id="rId129" Target="https://arxiv.org/pdf/2504.14655" TargetMode="External" /><Relationship Type="http://schemas.openxmlformats.org/officeDocument/2006/relationships/hyperlink" Id="rId93" Target="https://arxiv.org/pdf/2508.15260" TargetMode="External" /><Relationship Type="http://schemas.openxmlformats.org/officeDocument/2006/relationships/hyperlink" Id="rId115" Target="https://arxiv.org/pdf/2510.01499" TargetMode="External" /><Relationship Type="http://schemas.openxmlformats.org/officeDocument/2006/relationships/hyperlink" Id="rId113" Target="https://arxiv.org/pdf/2604.18547" TargetMode="External" /><Relationship Type="http://schemas.openxmlformats.org/officeDocument/2006/relationships/hyperlink" Id="rId117" Target="https://catalog.hathitrust.org/Record/008896012" TargetMode="External" /><Relationship Type="http://schemas.openxmlformats.org/officeDocument/2006/relationships/hyperlink" Id="rId126" Target="https://datasets-benchmarks-proceedings.neurips.cc/paper/2021/file/be83ab3ecd0db773eb2dc1b0a17836a1-Paper-round2.pdf" TargetMode="External" /><Relationship Type="http://schemas.openxmlformats.org/officeDocument/2006/relationships/hyperlink" Id="rId119" Target="https://digitalassets.lib.berkeley.edu/math/ucb/text/math_s4_v1_article-19.pdf" TargetMode="External" /><Relationship Type="http://schemas.openxmlformats.org/officeDocument/2006/relationships/hyperlink" Id="rId123" Target="https://doi.org/10.1080/01621459.1981.10477633" TargetMode="External" /><Relationship Type="http://schemas.openxmlformats.org/officeDocument/2006/relationships/hyperlink" Id="rId97" Target="https://doi.org/10.2307/2346806" TargetMode="External" /><Relationship Type="http://schemas.openxmlformats.org/officeDocument/2006/relationships/hyperlink" Id="rId78" Target="https://github.com/vito1317/adaptive-reasoning-consensus" TargetMode="External" /><Relationship Type="http://schemas.openxmlformats.org/officeDocument/2006/relationships/hyperlink" Id="rId85" Target="https://openreview.net/pdf?id=gjeQKFxFpZ" TargetMode="External" /><Relationship Type="http://schemas.openxmlformats.org/officeDocument/2006/relationships/hyperlink" Id="rId99" Target="https://pmc.ncbi.nlm.nih.gov/articles/PMC3910607/pdf/pnas.201219097.pdf" TargetMode="External" /><Relationship Type="http://schemas.openxmlformats.org/officeDocument/2006/relationships/hyperlink" Id="rId109" Target="https://proceedings.neurips.cc/paper_files/paper/2009/file/f899139df5e1059396431415e770c6dd-Paper.pdf" TargetMode="External" /><Relationship Type="http://schemas.openxmlformats.org/officeDocument/2006/relationships/hyperlink" Id="rId111" Target="https://proceedings.neurips.cc/paper_files/paper/2011/file/c667d53acd899a97a85de0c201ba99be-Paper.pdf" TargetMode="External" /><Relationship Type="http://schemas.openxmlformats.org/officeDocument/2006/relationships/hyperlink" Id="rId103" Target="https://proceedings.neurips.cc/paper_files/paper/2025/file/1c7eff166a8e345f664f0faa8f4e4d2e-Paper-Conference.pdf" TargetMode="External" /><Relationship Type="http://schemas.openxmlformats.org/officeDocument/2006/relationships/hyperlink" Id="rId121" Target="https://www.wiley.com/en-us/Survey+Sampling-p-9780471109495" TargetMode="External" /></Relationships>
</file>

<file path=word/_rels/footnotes.xml.rels><?xml version="1.0" encoding="UTF-8"?><Relationships xmlns="http://schemas.openxmlformats.org/package/2006/relationships"><Relationship Type="http://schemas.openxmlformats.org/officeDocument/2006/relationships/hyperlink" Id="rId101" Target="https://aclanthology.org/2023.acl-long.291.pdf" TargetMode="External" /><Relationship Type="http://schemas.openxmlformats.org/officeDocument/2006/relationships/hyperlink" Id="rId83" Target="https://aclanthology.org/2023.emnlp-main.330.pdf" TargetMode="External" /><Relationship Type="http://schemas.openxmlformats.org/officeDocument/2006/relationships/hyperlink" Id="rId105" Target="https://aclanthology.org/2023.emnlp-main.761.pdf" TargetMode="External" /><Relationship Type="http://schemas.openxmlformats.org/officeDocument/2006/relationships/hyperlink" Id="rId95" Target="https://aclanthology.org/2024.emnlp-main.18.pdf" TargetMode="External" /><Relationship Type="http://schemas.openxmlformats.org/officeDocument/2006/relationships/hyperlink" Id="rId89" Target="https://aclanthology.org/2025.findings-acl.1030.pdf" TargetMode="External" /><Relationship Type="http://schemas.openxmlformats.org/officeDocument/2006/relationships/hyperlink" Id="rId91" Target="https://aclanthology.org/2026.findings-acl.1085.pdf" TargetMode="External" /><Relationship Type="http://schemas.openxmlformats.org/officeDocument/2006/relationships/hyperlink" Id="rId81" Target="https://arxiv.org/pdf/2203.11171" TargetMode="External" /><Relationship Type="http://schemas.openxmlformats.org/officeDocument/2006/relationships/hyperlink" Id="rId87" Target="https://arxiv.org/pdf/2207.05221" TargetMode="External" /><Relationship Type="http://schemas.openxmlformats.org/officeDocument/2006/relationships/hyperlink" Id="rId107" Target="https://arxiv.org/pdf/2401.10480" TargetMode="External" /><Relationship Type="http://schemas.openxmlformats.org/officeDocument/2006/relationships/hyperlink" Id="rId129" Target="https://arxiv.org/pdf/2504.14655" TargetMode="External" /><Relationship Type="http://schemas.openxmlformats.org/officeDocument/2006/relationships/hyperlink" Id="rId93" Target="https://arxiv.org/pdf/2508.15260" TargetMode="External" /><Relationship Type="http://schemas.openxmlformats.org/officeDocument/2006/relationships/hyperlink" Id="rId115" Target="https://arxiv.org/pdf/2510.01499" TargetMode="External" /><Relationship Type="http://schemas.openxmlformats.org/officeDocument/2006/relationships/hyperlink" Id="rId113" Target="https://arxiv.org/pdf/2604.18547" TargetMode="External" /><Relationship Type="http://schemas.openxmlformats.org/officeDocument/2006/relationships/hyperlink" Id="rId117" Target="https://catalog.hathitrust.org/Record/008896012" TargetMode="External" /><Relationship Type="http://schemas.openxmlformats.org/officeDocument/2006/relationships/hyperlink" Id="rId126" Target="https://datasets-benchmarks-proceedings.neurips.cc/paper/2021/file/be83ab3ecd0db773eb2dc1b0a17836a1-Paper-round2.pdf" TargetMode="External" /><Relationship Type="http://schemas.openxmlformats.org/officeDocument/2006/relationships/hyperlink" Id="rId119" Target="https://digitalassets.lib.berkeley.edu/math/ucb/text/math_s4_v1_article-19.pdf" TargetMode="External" /><Relationship Type="http://schemas.openxmlformats.org/officeDocument/2006/relationships/hyperlink" Id="rId123" Target="https://doi.org/10.1080/01621459.1981.10477633" TargetMode="External" /><Relationship Type="http://schemas.openxmlformats.org/officeDocument/2006/relationships/hyperlink" Id="rId97" Target="https://doi.org/10.2307/2346806" TargetMode="External" /><Relationship Type="http://schemas.openxmlformats.org/officeDocument/2006/relationships/hyperlink" Id="rId78" Target="https://github.com/vito1317/adaptive-reasoning-consensus" TargetMode="External" /><Relationship Type="http://schemas.openxmlformats.org/officeDocument/2006/relationships/hyperlink" Id="rId85" Target="https://openreview.net/pdf?id=gjeQKFxFpZ" TargetMode="External" /><Relationship Type="http://schemas.openxmlformats.org/officeDocument/2006/relationships/hyperlink" Id="rId99" Target="https://pmc.ncbi.nlm.nih.gov/articles/PMC3910607/pdf/pnas.201219097.pdf" TargetMode="External" /><Relationship Type="http://schemas.openxmlformats.org/officeDocument/2006/relationships/hyperlink" Id="rId109" Target="https://proceedings.neurips.cc/paper_files/paper/2009/file/f899139df5e1059396431415e770c6dd-Paper.pdf" TargetMode="External" /><Relationship Type="http://schemas.openxmlformats.org/officeDocument/2006/relationships/hyperlink" Id="rId111" Target="https://proceedings.neurips.cc/paper_files/paper/2011/file/c667d53acd899a97a85de0c201ba99be-Paper.pdf" TargetMode="External" /><Relationship Type="http://schemas.openxmlformats.org/officeDocument/2006/relationships/hyperlink" Id="rId103" Target="https://proceedings.neurips.cc/paper_files/paper/2025/file/1c7eff166a8e345f664f0faa8f4e4d2e-Paper-Conference.pdf" TargetMode="External" /><Relationship Type="http://schemas.openxmlformats.org/officeDocument/2006/relationships/hyperlink" Id="rId121" Target="https://www.wiley.com/en-us/Survey+Sampling-p-97804711094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2026-08-01T17:19:35Z</dcterms:created>
  <dcterms:modified xsi:type="dcterms:W3CDTF">2026-08-01T17:19:35Z</dcterms:modified>
</cp:coreProperties>
</file>

<file path=docProps/custom.xml><?xml version="1.0" encoding="utf-8"?>
<Properties xmlns="http://schemas.openxmlformats.org/officeDocument/2006/custom-properties" xmlns:vt="http://schemas.openxmlformats.org/officeDocument/2006/docPropsVTypes"/>
</file>