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61"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Start w:id="5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76 tests for</w:t>
      </w:r>
      <w:r>
        <w:t xml:space="preserve"> </w:t>
      </w:r>
      <w:r>
        <w:rPr>
          <w:smallCaps/>
        </w:rPr>
        <w:t xml:space="preserve">tact</w:t>
      </w:r>
      <w:r>
        <w:t xml:space="preserve"> </w:t>
      </w:r>
      <w:r>
        <w:t xml:space="preserve">(84</w:t>
      </w:r>
      <w:r>
        <w:t xml:space="preserve"> </w:t>
      </w:r>
      <w:r>
        <w:t xml:space="preserve">including the follow-on work) and runs in 14 seconds. Table </w:t>
      </w:r>
      <w:hyperlink w:anchor="tab:tests">
        <w:r>
          <w:rPr>
            <w:rStyle w:val="Hyperlink"/>
          </w:rPr>
          <w:t xml:space="preserve">4</w:t>
        </w:r>
      </w:hyperlink>
      <w:r>
        <w:t xml:space="preserve"> </w:t>
      </w:r>
      <w:r>
        <w:t xml:space="preserve">maps propositions to the tests that would fail if they stopped holding.</w:t>
      </w:r>
    </w:p>
    <w:bookmarkStart w:id="5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5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59"/>
    <w:bookmarkStart w:id="6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rPr>
          <w:i/>
          <w:iCs/>
        </w:rPr>
        <w:t xml:space="preserve">(e) A second campaign on harder items confirms the prediction of (c).</w:t>
      </w:r>
      <w:r>
        <w:t xml:space="preserve"> </w:t>
      </w:r>
      <w:r>
        <w:t xml:space="preserve">A pre-registered follow-up collected</w:t>
      </w:r>
      <w:r>
        <w:t xml:space="preserve"> </w:t>
      </w:r>
      <m:oMath>
        <m:r>
          <m:t>119</m:t>
        </m:r>
      </m:oMath>
      <w:r>
        <w:t xml:space="preserve"> </w:t>
      </w:r>
      <w:r>
        <w:t xml:space="preserve">MATH level-5 items</w:t>
      </w:r>
      <w:r>
        <w:t xml:space="preserve"> </w:t>
      </w:r>
      <w:r>
        <w:t xml:space="preserve"> </w:t>
      </w:r>
      <m:oMath>
        <m:r>
          <m:rPr>
            <m:sty m:val="p"/>
          </m:rPr>
          <m:t>×</m:t>
        </m:r>
      </m:oMath>
      <w:r>
        <w:t xml:space="preserve"> </w:t>
      </w:r>
      <m:oMath>
        <m:r>
          <m:t>16</m:t>
        </m:r>
      </m:oMath>
      <w:r>
        <w:t xml:space="preserve"> </w:t>
      </w:r>
      <w:r>
        <w:t xml:space="preserve">traces from the same frozen model (sign set</w:t>
      </w:r>
      <w:r>
        <w:t xml:space="preserve"> </w:t>
      </w:r>
      <m:oMath>
        <m:r>
          <m:t>30</m:t>
        </m:r>
      </m:oMath>
      <w:r>
        <w:t xml:space="preserve">, evaluation set</w:t>
      </w:r>
      <w:r>
        <w:t xml:space="preserve"> </w:t>
      </w:r>
      <m:oMath>
        <m:r>
          <m:t>89</m:t>
        </m:r>
      </m:oMath>
      <w:r>
        <w:t xml:space="preserve">). The channel prediction came true: pooled</w:t>
      </w:r>
      <w:r>
        <w:t xml:space="preserve"> </w:t>
      </w:r>
      <m:oMath>
        <m:acc>
          <m:accPr>
            <m:chr m:val="̂"/>
          </m:accPr>
          <m:e>
            <m:r>
              <m:t>D</m:t>
            </m:r>
          </m:e>
        </m:acc>
        <m:r>
          <m:rPr>
            <m:sty m:val="p"/>
          </m:rPr>
          <m:t>=</m:t>
        </m:r>
        <m:r>
          <m:rPr>
            <m:sty m:val="p"/>
          </m:rPr>
          <m:t>+</m:t>
        </m:r>
        <m:r>
          <m:t>0.250</m:t>
        </m:r>
      </m:oMath>
      <w:r>
        <w:t xml:space="preserve">,</w:t>
      </w:r>
      <w:r>
        <w:t xml:space="preserve"> </w:t>
      </w:r>
      <m:oMath>
        <m:r>
          <m:rPr>
            <m:sty m:val="p"/>
          </m:rPr>
          <m:t>S</m:t>
        </m:r>
        <m:r>
          <m:rPr>
            <m:sty m:val="p"/>
          </m:rPr>
          <m:t>E</m:t>
        </m:r>
        <m:r>
          <m:rPr>
            <m:sty m:val="p"/>
          </m:rPr>
          <m:t>=</m:t>
        </m:r>
        <m:r>
          <m:t>0.098</m:t>
        </m:r>
      </m:oMath>
      <w:r>
        <w:t xml:space="preserve"> </w:t>
      </w:r>
      <w:r>
        <w:t xml:space="preserve">(</w:t>
      </w:r>
      <m:oMath>
        <m:r>
          <m:t>z</m:t>
        </m:r>
        <m:r>
          <m:rPr>
            <m:sty m:val="p"/>
          </m:rPr>
          <m:t>=</m:t>
        </m:r>
        <m:r>
          <m:rPr>
            <m:sty m:val="p"/>
          </m:rPr>
          <m:t>+</m:t>
        </m:r>
        <m:r>
          <m:t>2.54</m:t>
        </m:r>
      </m:oMath>
      <w:r>
        <w:t xml:space="preserve">) — the first real-trace confirmation that the</w:t>
      </w:r>
      <w:r>
        <w:t xml:space="preserve"> </w:t>
      </w:r>
      <w:r>
        <w:t xml:space="preserve">verbalized-confidence channel carries positive within-item discrimination.</w:t>
      </w:r>
      <w:r>
        <w:t xml:space="preserve"> </w:t>
      </w:r>
      <w:r>
        <w:t xml:space="preserve">Saturation, however, still forecloses the aggregation endpoint: per-trace</w:t>
      </w:r>
      <w:r>
        <w:t xml:space="preserve"> </w:t>
      </w:r>
      <w:r>
        <w:t xml:space="preserve">accuracy is</w:t>
      </w:r>
      <w:r>
        <w:t xml:space="preserve"> </w:t>
      </w:r>
      <m:oMath>
        <m:r>
          <m:t>0.819</m:t>
        </m:r>
      </m:oMath>
      <w:r>
        <w:t xml:space="preserve">,</w:t>
      </w:r>
      <w:r>
        <w:t xml:space="preserve"> </w:t>
      </w:r>
      <w:r>
        <w:rPr>
          <w:smallCaps/>
        </w:rPr>
        <w:t xml:space="preserve">sc</w:t>
      </w:r>
      <w:r>
        <w:t xml:space="preserve"> </w:t>
      </w:r>
      <w:r>
        <w:t xml:space="preserve">scores</w:t>
      </w:r>
      <w:r>
        <w:t xml:space="preserve"> </w:t>
      </w:r>
      <m:oMath>
        <m:r>
          <m:t>0.888</m:t>
        </m:r>
      </m:oMath>
      <w:r>
        <w:t xml:space="preserve">, the decisive stratum is</w:t>
      </w:r>
      <w:r>
        <w:t xml:space="preserve"> </w:t>
      </w:r>
      <m:oMath>
        <m:r>
          <m:t>10</m:t>
        </m:r>
      </m:oMath>
      <w:r>
        <w:t xml:space="preserve"> </w:t>
      </w:r>
      <w:r>
        <w:t xml:space="preserve">of</w:t>
      </w:r>
      <w:r>
        <w:t xml:space="preserve"> </w:t>
      </w:r>
      <m:oMath>
        <m:r>
          <m:t>89</m:t>
        </m:r>
      </m:oMath>
      <w:r>
        <w:t xml:space="preserve"> </w:t>
      </w:r>
      <w:r>
        <w:t xml:space="preserve">items, and the correct answer is present in the pool on only</w:t>
      </w:r>
      <w:r>
        <w:t xml:space="preserve"> </w:t>
      </w:r>
      <m:oMath>
        <m:r>
          <m:t>4</m:t>
        </m:r>
      </m:oMath>
      <w:r>
        <w:t xml:space="preserve"> </w:t>
      </w:r>
      <w:r>
        <w:t xml:space="preserve">of those –</w:t>
      </w:r>
      <w:r>
        <w:t xml:space="preserve"> </w:t>
      </w:r>
      <w:r>
        <w:t xml:space="preserve">so the in-pool</w:t>
      </w:r>
      <w:r>
        <w:t xml:space="preserve"> </w:t>
      </w:r>
      <w:r>
        <w:rPr>
          <w:i/>
          <w:iCs/>
        </w:rPr>
        <w:t xml:space="preserve">oracle</w:t>
      </w:r>
      <w:r>
        <w:t xml:space="preserve"> </w:t>
      </w:r>
      <w:r>
        <w:t xml:space="preserve">tops out at</w:t>
      </w:r>
      <w:r>
        <w:t xml:space="preserve"> </w:t>
      </w:r>
      <m:oMath>
        <m:r>
          <m:rPr>
            <m:sty m:val="p"/>
          </m:rPr>
          <m:t>+</m:t>
        </m:r>
        <m:r>
          <m:t>4</m:t>
        </m:r>
        <m:r>
          <m:rPr>
            <m:sty m:val="p"/>
          </m:rPr>
          <m:t>/</m:t>
        </m:r>
        <m:r>
          <m:rPr>
            <m:sty m:val="p"/>
          </m:rPr>
          <m:t>−</m:t>
        </m:r>
        <m:r>
          <m:t>0</m:t>
        </m:r>
      </m:oMath>
      <w:r>
        <w:t xml:space="preserve">, exact one-sided</w:t>
      </w:r>
      <w:r>
        <w:t xml:space="preserve"> </w:t>
      </w:r>
      <m:oMath>
        <m:r>
          <m:t>p</m:t>
        </m:r>
        <m:r>
          <m:rPr>
            <m:sty m:val="p"/>
          </m:rPr>
          <m:t>=</m:t>
        </m:r>
        <m:r>
          <m:t>0.0625</m:t>
        </m:r>
        <m:r>
          <m:rPr>
            <m:sty m:val="p"/>
          </m:rPr>
          <m:t>&gt;</m:t>
        </m:r>
        <m:r>
          <m:t>0.05</m:t>
        </m:r>
      </m:oMath>
      <w:r>
        <w:t xml:space="preserve">: the registered endpoint was unpassable for</w:t>
      </w:r>
      <w:r>
        <w:t xml:space="preserve"> </w:t>
      </w:r>
      <w:r>
        <w:rPr>
          <w:i/>
          <w:iCs/>
        </w:rPr>
        <w:t xml:space="preserve">any</w:t>
      </w:r>
      <w:r>
        <w:t xml:space="preserve"> </w:t>
      </w:r>
      <w:r>
        <w:t xml:space="preserve">aggregation method on the realized substrate.</w:t>
      </w:r>
      <w:r>
        <w:t xml:space="preserve"> </w:t>
      </w:r>
      <w:r>
        <w:rPr>
          <w:smallCaps/>
        </w:rPr>
        <w:t xml:space="preserve">tact</w:t>
      </w:r>
      <w:r>
        <w:t xml:space="preserve"> </w:t>
      </w:r>
      <w:r>
        <w:t xml:space="preserve">again abstained</w:t>
      </w:r>
      <w:r>
        <w:t xml:space="preserve"> </w:t>
      </w:r>
      <w:r>
        <w:t xml:space="preserve">correctly (</w:t>
      </w:r>
      <m:oMath>
        <m:r>
          <m:t>γ</m:t>
        </m:r>
        <m:r>
          <m:rPr>
            <m:sty m:val="p"/>
          </m:rPr>
          <m:t>=</m:t>
        </m:r>
        <m:r>
          <m:t>0</m:t>
        </m:r>
      </m:oMath>
      <w:r>
        <w:t xml:space="preserve">; alarms E4 and E2 both fired on the label-free path,</w:t>
      </w:r>
      <w:r>
        <w:t xml:space="preserve"> </w:t>
      </w:r>
      <w:r>
        <w:t xml:space="preserve">and the</w:t>
      </w:r>
      <w:r>
        <w:t xml:space="preserve"> </w:t>
      </w:r>
      <m:oMath>
        <m:r>
          <m:t>30</m:t>
        </m:r>
      </m:oMath>
      <w:r>
        <w:t xml:space="preserve">-item sign set contained too few informative items for the</w:t>
      </w:r>
      <w:r>
        <w:t xml:space="preserve"> </w:t>
      </w:r>
      <w:r>
        <w:t xml:space="preserve">semi-label-free sign), remaining bit-identical to</w:t>
      </w:r>
      <w:r>
        <w:t xml:space="preserve"> </w:t>
      </w:r>
      <w:r>
        <w:rPr>
          <w:smallCaps/>
        </w:rPr>
        <w:t xml:space="preserve">sc</w:t>
      </w:r>
      <w:r>
        <w:t xml:space="preserve"> </w:t>
      </w:r>
      <w:r>
        <w:t xml:space="preserve">while the</w:t>
      </w:r>
      <w:r>
        <w:t xml:space="preserve"> </w:t>
      </w:r>
      <w:r>
        <w:t xml:space="preserve">best-single-confidence baseline lost</w:t>
      </w:r>
      <w:r>
        <w:t xml:space="preserve"> </w:t>
      </w:r>
      <m:oMath>
        <m:r>
          <m:t>4.5</m:t>
        </m:r>
      </m:oMath>
      <w:r>
        <w:t xml:space="preserve"> </w:t>
      </w:r>
      <w:r>
        <w:t xml:space="preserve">points by acting (</w:t>
      </w:r>
      <m:oMath>
        <m:r>
          <m:t>0.843</m:t>
        </m:r>
      </m:oMath>
      <w:r>
        <w:t xml:space="preserve">).</w:t>
      </w:r>
      <w:r>
        <w:t xml:space="preserve"> </w:t>
      </w:r>
      <w:r>
        <w:t xml:space="preserve">One methodological caveat from this campaign transfers beyond</w:t>
      </w:r>
      <w:r>
        <w:t xml:space="preserve"> </w:t>
      </w:r>
      <w:r>
        <w:rPr>
          <w:smallCaps/>
        </w:rPr>
        <w:t xml:space="preserve">tact</w:t>
      </w:r>
      <w:r>
        <w:t xml:space="preserve">:</w:t>
      </w:r>
      <w:r>
        <w:t xml:space="preserve"> </w:t>
      </w:r>
      <w:r>
        <w:t xml:space="preserve">measured difficulty depended strongly on the collection protocol — a</w:t>
      </w:r>
      <w:r>
        <w:t xml:space="preserve"> </w:t>
      </w:r>
      <m:oMath>
        <m:r>
          <m:t>30</m:t>
        </m:r>
      </m:oMath>
      <w:r>
        <w:t xml:space="preserve">-problem-per-call probe put level-5 plurality accuracy at</w:t>
      </w:r>
      <w:r>
        <w:t xml:space="preserve"> </w:t>
      </w:r>
      <m:oMath>
        <m:r>
          <m:t>0.40</m:t>
        </m:r>
      </m:oMath>
      <w:r>
        <w:t xml:space="preserve">, while</w:t>
      </w:r>
      <w:r>
        <w:t xml:space="preserve"> </w:t>
      </w:r>
      <w:r>
        <w:t xml:space="preserve">the</w:t>
      </w:r>
      <w:r>
        <w:t xml:space="preserve"> </w:t>
      </w:r>
      <m:oMath>
        <m:r>
          <m:t>15</m:t>
        </m:r>
      </m:oMath>
      <w:r>
        <w:t xml:space="preserve">-problem-per-call confirmatory run yielded</w:t>
      </w:r>
      <w:r>
        <w:t xml:space="preserve"> </w:t>
      </w:r>
      <m:oMath>
        <m:r>
          <m:t>0.888</m:t>
        </m:r>
      </m:oMath>
      <w:r>
        <w:t xml:space="preserve"> </w:t>
      </w:r>
      <w:r>
        <w:t xml:space="preserve">on the same</w:t>
      </w:r>
      <w:r>
        <w:t xml:space="preserve"> </w:t>
      </w:r>
      <w:r>
        <w:t xml:space="preserve">stratum — so batch size must be reported as an experimental parameter</w:t>
      </w:r>
      <w:r>
        <w:t xml:space="preserve"> </w:t>
      </w:r>
      <w:r>
        <w:t xml:space="preserve">whenever traces are collected in batches.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60"/>
    <w:bookmarkEnd w:id="61"/>
    <w:bookmarkStart w:id="62"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cell—a dominant</w:t>
      </w:r>
      <w:r>
        <w:t xml:space="preserve"> </w:t>
      </w:r>
      <w:r>
        <w:t xml:space="preserve">wrong cluster that is semantically tight but carries no verbatim signature, so</w:t>
      </w:r>
      <w:r>
        <w:t xml:space="preserve"> </w:t>
      </w:r>
      <w:r>
        <w:t xml:space="preserve">deduplication has nothing to collapse—the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Measurements across three substrates (GSM8K/CSQA,</w:t>
      </w:r>
      <w:r>
        <w:t xml:space="preserve"> </w:t>
      </w:r>
      <w:r>
        <w:t xml:space="preserve">MATH level-5, AIME/AMC;</w:t>
      </w:r>
      <w:r>
        <w:t xml:space="preserve"> </w:t>
      </w:r>
      <m:oMath>
        <m:r>
          <m:t>268</m:t>
        </m:r>
      </m:oMath>
      <w:r>
        <w:t xml:space="preserve"> </w:t>
      </w:r>
      <w:r>
        <w:t xml:space="preserve">items with pools) place a structural bound on</w:t>
      </w:r>
      <w:r>
        <w:t xml:space="preserve"> </w:t>
      </w:r>
      <w:r>
        <w:t xml:space="preserve">this entire family of methods. The stratum any label-free aggregation method</w:t>
      </w:r>
      <w:r>
        <w:t xml:space="preserve"> </w:t>
      </w:r>
      <w:r>
        <w:t xml:space="preserve">can act on — plurality wrong</w:t>
      </w:r>
      <w:r>
        <w:t xml:space="preserve"> </w:t>
      </w:r>
      <w:r>
        <w:rPr>
          <w:i/>
          <w:iCs/>
        </w:rPr>
        <w:t xml:space="preserve">and</w:t>
      </w:r>
      <w:r>
        <w:t xml:space="preserve"> </w:t>
      </w:r>
      <w:r>
        <w:t xml:space="preserve">the correct answer present in the</w:t>
      </w:r>
      <w:r>
        <w:t xml:space="preserve"> </w:t>
      </w:r>
      <w:r>
        <w:t xml:space="preserve">pool</w:t>
      </w:r>
      <w:r>
        <w:t xml:space="preserve"> </w:t>
      </w:r>
      <w:r>
        <w:rPr>
          <w:i/>
          <w:iCs/>
        </w:rPr>
        <w:t xml:space="preserve">and</w:t>
      </w:r>
      <w:r>
        <w:t xml:space="preserve"> </w:t>
      </w:r>
      <w:r>
        <w:t xml:space="preserve">the signal separable — occupied</w:t>
      </w:r>
      <w:r>
        <w:t xml:space="preserve"> </w:t>
      </w:r>
      <m:oMath>
        <m:r>
          <m:t>2</m:t>
        </m:r>
      </m:oMath>
      <w:r>
        <w:t xml:space="preserve">–</w:t>
      </w:r>
      <m:oMath>
        <m:r>
          <m:t>5</m:t>
        </m:r>
        <m:r>
          <m:rPr>
            <m:sty m:val="p"/>
          </m:rPr>
          <m:t>%</m:t>
        </m:r>
      </m:oMath>
      <w:r>
        <w:t xml:space="preserve"> </w:t>
      </w:r>
      <w:r>
        <w:t xml:space="preserve">of items at</w:t>
      </w:r>
      <w:r>
        <w:t xml:space="preserve"> </w:t>
      </w:r>
      <w:r>
        <w:rPr>
          <w:i/>
          <w:iCs/>
        </w:rPr>
        <w:t xml:space="preserve">every</w:t>
      </w:r>
      <w:r>
        <w:t xml:space="preserve"> </w:t>
      </w:r>
      <w:r>
        <w:t xml:space="preserve">difficulty level: as items harden, they pass directly from</w:t>
      </w:r>
      <w:r>
        <w:t xml:space="preserve"> </w:t>
      </w:r>
      <w:r>
        <w:t xml:space="preserve">saturated (plurality right) to capability-limited (the correct answer never</w:t>
      </w:r>
      <w:r>
        <w:t xml:space="preserve"> </w:t>
      </w:r>
      <w:r>
        <w:t xml:space="preserve">sampled:</w:t>
      </w:r>
      <w:r>
        <w:t xml:space="preserve"> </w:t>
      </w:r>
      <m:oMath>
        <m:r>
          <m:t>0</m:t>
        </m:r>
      </m:oMath>
      <w:r>
        <w:t xml:space="preserve"> </w:t>
      </w:r>
      <w:r>
        <w:t xml:space="preserve">of</w:t>
      </w:r>
      <w:r>
        <w:t xml:space="preserve"> </w:t>
      </w:r>
      <m:oMath>
        <m:r>
          <m:t>6</m:t>
        </m:r>
      </m:oMath>
      <w:r>
        <w:t xml:space="preserve"> </w:t>
      </w:r>
      <w:r>
        <w:t xml:space="preserve">plurality-wrong AIME items had it in</w:t>
      </w:r>
      <w:r>
        <w:t xml:space="preserve"> </w:t>
      </w:r>
      <m:oMath>
        <m:r>
          <m:t>16</m:t>
        </m:r>
      </m:oMath>
      <w:r>
        <w:t xml:space="preserve"> </w:t>
      </w:r>
      <w:r>
        <w:t xml:space="preserve">draws), and the</w:t>
      </w:r>
      <w:r>
        <w:t xml:space="preserve"> </w:t>
      </w:r>
      <w:r>
        <w:t xml:space="preserve">addressable band between the two regimes does not widen. Classifying all</w:t>
      </w:r>
      <w:r>
        <w:t xml:space="preserve"> </w:t>
      </w:r>
      <m:oMath>
        <m:r>
          <m:t>16</m:t>
        </m:r>
      </m:oMath>
      <w:r>
        <w:t xml:space="preserve"> </w:t>
      </w:r>
      <w:r>
        <w:t xml:space="preserve">decisive items by error shape,</w:t>
      </w:r>
      <w:r>
        <w:t xml:space="preserve"> </w:t>
      </w:r>
      <m:oMath>
        <m:r>
          <m:t>7</m:t>
        </m:r>
      </m:oMath>
      <w:r>
        <w:t xml:space="preserve"> </w:t>
      </w:r>
      <w:r>
        <w:t xml:space="preserve">were stable-wrong (tight wrong cluster —</w:t>
      </w:r>
      <w:r>
        <w:t xml:space="preserve"> </w:t>
      </w:r>
      <w:r>
        <w:t xml:space="preserve">the two-world regime where no label-free signal can help) and</w:t>
      </w:r>
      <w:r>
        <w:t xml:space="preserve"> </w:t>
      </w:r>
      <m:oMath>
        <m:r>
          <m:t>9</m:t>
        </m:r>
      </m:oMath>
      <w:r>
        <w:t xml:space="preserve"> </w:t>
      </w:r>
      <w:r>
        <w:t xml:space="preserve">were</w:t>
      </w:r>
      <w:r>
        <w:t xml:space="preserve"> </w:t>
      </w:r>
      <w:r>
        <w:t xml:space="preserve">scattered (</w:t>
      </w:r>
      <m:oMath>
        <m:r>
          <m:t>6</m:t>
        </m:r>
      </m:oMath>
      <w:r>
        <w:t xml:space="preserve">–</w:t>
      </w:r>
      <m:oMath>
        <m:r>
          <m:t>8</m:t>
        </m:r>
      </m:oMath>
      <w:r>
        <w:t xml:space="preserve"> </w:t>
      </w:r>
      <w:r>
        <w:t xml:space="preserve">distinct answers — a capability wall that diversity</w:t>
      </w:r>
      <w:r>
        <w:t xml:space="preserve"> </w:t>
      </w:r>
      <w:r>
        <w:t xml:space="preserve">interventions cannot cross, since diversity is already maximal). Under this</w:t>
      </w:r>
      <w:r>
        <w:t xml:space="preserve"> </w:t>
      </w:r>
      <w:r>
        <w:t xml:space="preserve">accounting, abstention is not a conservative compromise but the</w:t>
      </w:r>
      <w:r>
        <w:t xml:space="preserve"> </w:t>
      </w:r>
      <w:r>
        <w:rPr>
          <w:i/>
          <w:iCs/>
        </w:rPr>
        <w:t xml:space="preserve">only</w:t>
      </w:r>
      <w:r>
        <w:t xml:space="preserve"> </w:t>
      </w:r>
      <w:r>
        <w:t xml:space="preserve">correct default: on the confirmatory substrate the largest measured effect of</w:t>
      </w:r>
      <w:r>
        <w:t xml:space="preserve"> </w:t>
      </w:r>
      <w:r>
        <w:t xml:space="preserve">acting anyway was negative (the best-single-confidence baseline loses</w:t>
      </w:r>
      <w:r>
        <w:t xml:space="preserve"> </w:t>
      </w:r>
      <m:oMath>
        <m:r>
          <m:t>4.5</m:t>
        </m:r>
      </m:oMath>
      <w:r>
        <w:t xml:space="preserve"> </w:t>
      </w:r>
      <w:r>
        <w:t xml:space="preserve">points where</w:t>
      </w:r>
      <w:r>
        <w:t xml:space="preserve"> </w:t>
      </w:r>
      <w:r>
        <w:rPr>
          <w:smallCaps/>
        </w:rPr>
        <w:t xml:space="preserve">tact</w:t>
      </w:r>
      <w:r>
        <w:t xml:space="preserve">’s dead zone holds it exactly at the</w:t>
      </w:r>
      <w:r>
        <w:t xml:space="preserve"> </w:t>
      </w:r>
      <w:r>
        <w:rPr>
          <w:smallCaps/>
        </w:rPr>
        <w:t xml:space="preserve">sc</w:t>
      </w:r>
      <w:r>
        <w:t xml:space="preserve"> </w:t>
      </w:r>
      <w:r>
        <w:t xml:space="preserve">floor).</w:t>
      </w:r>
    </w:p>
    <w:p>
      <w:pPr>
        <w:pStyle w:val="BodyText"/>
      </w:pPr>
      <w:r>
        <w:t xml:space="preserve">The natural hypothesis is that the window widens wherever an external anchor</w:t>
      </w:r>
      <w:r>
        <w:t xml:space="preserve"> </w:t>
      </w:r>
      <w:r>
        <w:t xml:space="preserve">is cheap, since a passing test is a real per-sample signal rather than a</w:t>
      </w:r>
      <w:r>
        <w:t xml:space="preserve"> </w:t>
      </w:r>
      <w:r>
        <w:t xml:space="preserve">model-relative one. That hypothesis was tested and does not hold. On</w:t>
      </w:r>
      <w:r>
        <w:t xml:space="preserve"> </w:t>
      </w:r>
      <m:oMath>
        <m:r>
          <m:t>40</m:t>
        </m:r>
      </m:oMath>
      <w:r>
        <w:t xml:space="preserve"> </w:t>
      </w:r>
      <w:r>
        <w:t xml:space="preserve">LeetCode Medium/Hard problems</w:t>
      </w:r>
      <w:r>
        <w:t xml:space="preserve"> </w:t>
      </w:r>
      <w:r>
        <w:t xml:space="preserve"> </w:t>
      </w:r>
      <w:r>
        <w:t xml:space="preserve">with</w:t>
      </w:r>
      <w:r>
        <w:t xml:space="preserve"> </w:t>
      </w:r>
      <m:oMath>
        <m:r>
          <m:t>8</m:t>
        </m:r>
      </m:oMath>
      <w:r>
        <w:t xml:space="preserve"> </w:t>
      </w:r>
      <w:r>
        <w:t xml:space="preserve">candidate</w:t>
      </w:r>
      <w:r>
        <w:t xml:space="preserve"> </w:t>
      </w:r>
      <w:r>
        <w:t xml:space="preserve">solutions each, graded against the benchmark’s own hidden suites, the window</w:t>
      </w:r>
      <w:r>
        <w:t xml:space="preserve"> </w:t>
      </w:r>
      <w:r>
        <w:t xml:space="preserve">— oracle minus the largest-behavioural-cluster baseline — measures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against</w:t>
      </w:r>
      <w:r>
        <w:t xml:space="preserve"> </w:t>
      </w:r>
      <m:oMath>
        <m:r>
          <m:t>3.56</m:t>
        </m:r>
        <m:r>
          <m:rPr>
            <m:sty m:val="p"/>
          </m:rPr>
          <m:t>%</m:t>
        </m:r>
      </m:oMath>
      <w:r>
        <w:t xml:space="preserve"> </w:t>
      </w:r>
      <w:r>
        <w:t xml:space="preserve">recomputed from</w:t>
      </w:r>
      <w:r>
        <w:t xml:space="preserve"> </w:t>
      </w:r>
      <w:r>
        <w:t xml:space="preserve">published HumanEval+/MBPP+ tables and</w:t>
      </w:r>
      <w:r>
        <w:t xml:space="preserve"> </w:t>
      </w:r>
      <m:oMath>
        <m:r>
          <m:t>2</m:t>
        </m:r>
      </m:oMath>
      <w:r>
        <w:t xml:space="preserve">–</w:t>
      </w:r>
      <m:oMath>
        <m:r>
          <m:t>5</m:t>
        </m:r>
        <m:r>
          <m:rPr>
            <m:sty m:val="p"/>
          </m:rPr>
          <m:t>%</m:t>
        </m:r>
      </m:oMath>
      <w:r>
        <w:t xml:space="preserve"> </w:t>
      </w:r>
      <w:r>
        <w:t xml:space="preserve">for label-free QA. The</w:t>
      </w:r>
      <w:r>
        <w:t xml:space="preserve"> </w:t>
      </w:r>
      <w:r>
        <w:t xml:space="preserve">composition is the same shape as well:</w:t>
      </w:r>
      <w:r>
        <w:t xml:space="preserve"> </w:t>
      </w:r>
      <m:oMath>
        <m:r>
          <m:t>75</m:t>
        </m:r>
        <m:r>
          <m:rPr>
            <m:sty m:val="p"/>
          </m:rPr>
          <m:t>%</m:t>
        </m:r>
      </m:oMath>
      <w:r>
        <w:t xml:space="preserve"> </w:t>
      </w:r>
      <w:r>
        <w:t xml:space="preserve">saturated,</w:t>
      </w:r>
      <w:r>
        <w:t xml:space="preserve"> </w:t>
      </w:r>
      <m:oMath>
        <m:r>
          <m:t>18</m:t>
        </m:r>
        <m:r>
          <m:rPr>
            <m:sty m:val="p"/>
          </m:rPr>
          <m:t>%</m:t>
        </m:r>
      </m:oMath>
      <w:r>
        <w:t xml:space="preserve"> </w:t>
      </w:r>
      <w:r>
        <w:t xml:space="preserve">capability</w:t>
      </w:r>
      <w:r>
        <w:t xml:space="preserve"> </w:t>
      </w:r>
      <w:r>
        <w:t xml:space="preserve">wall,</w:t>
      </w:r>
      <w:r>
        <w:t xml:space="preserve"> </w:t>
      </w:r>
      <m:oMath>
        <m:r>
          <m:t>8</m:t>
        </m:r>
        <m:r>
          <m:rPr>
            <m:sty m:val="p"/>
          </m:rPr>
          <m:t>%</m:t>
        </m:r>
      </m:oMath>
      <w:r>
        <w:t xml:space="preserve"> </w:t>
      </w:r>
      <w:r>
        <w:t xml:space="preserve">rescuable. Raising the candidate budget does not open it — the</w:t>
      </w:r>
      <w:r>
        <w:t xml:space="preserve"> </w:t>
      </w:r>
      <w:r>
        <w:t xml:space="preserve">seven capability-wall problems 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w:t>
      </w:r>
      <w:r>
        <w:t xml:space="preserve"> </w:t>
      </w:r>
      <w:r>
        <w:t xml:space="preserve">and extrapolating oracle@</w:t>
      </w:r>
      <m:oMath>
        <m:r>
          <m:t>N</m:t>
        </m:r>
      </m:oMath>
      <w:r>
        <w:t xml:space="preserve"> </w:t>
      </w:r>
      <w:r>
        <w:t xml:space="preserve">shows the window saturating by</w:t>
      </w:r>
      <w:r>
        <w:t xml:space="preserve"> </w:t>
      </w:r>
      <m:oMath>
        <m:r>
          <m:t>N</m:t>
        </m:r>
        <m:r>
          <m:rPr>
            <m:sty m:val="p"/>
          </m:rPr>
          <m:t>=</m:t>
        </m:r>
        <m:r>
          <m:t>32</m:t>
        </m:r>
      </m:oMath>
      <w:r>
        <w:t xml:space="preserve">.</w:t>
      </w:r>
      <w:r>
        <w:t xml:space="preserve"> </w:t>
      </w:r>
      <w:r>
        <w:t xml:space="preserve">Executable ground truth buys a slightly wider window, not a different regime.</w:t>
      </w:r>
    </w:p>
    <w:bookmarkEnd w:id="62"/>
    <w:bookmarkStart w:id="63"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3"/>
    <w:bookmarkStart w:id="64"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2026-08-01T12:33:46Z</dcterms:created>
  <dcterms:modified xsi:type="dcterms:W3CDTF">2026-08-01T12:33:46Z</dcterms:modified>
</cp:coreProperties>
</file>

<file path=docProps/custom.xml><?xml version="1.0" encoding="utf-8"?>
<Properties xmlns="http://schemas.openxmlformats.org/officeDocument/2006/custom-properties" xmlns:vt="http://schemas.openxmlformats.org/officeDocument/2006/docPropsVTypes"/>
</file>