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685F2" w14:textId="77777777" w:rsidR="00C16569" w:rsidRPr="00773FD2" w:rsidRDefault="00202EB5">
      <w:pPr>
        <w:spacing w:after="480"/>
        <w:ind w:firstLine="0"/>
        <w:jc w:val="center"/>
        <w:rPr>
          <w:lang w:val="pt-BR"/>
        </w:rPr>
      </w:pPr>
      <w:r w:rsidRPr="00773FD2">
        <w:rPr>
          <w:b/>
          <w:color w:val="000000"/>
          <w:lang w:val="pt-BR"/>
        </w:rPr>
        <w:t>MODELO PREDITIVO PARA ESTIMATIVA DO ESTADO DE SAÚDE E FIM DA VIDA ÚTIL DE BATERIAS EM SISTEMAS FOTOVOLTAICOS</w:t>
      </w:r>
    </w:p>
    <w:p w14:paraId="791D4A2F" w14:textId="77777777" w:rsidR="00C16569" w:rsidRDefault="00202EB5">
      <w:pPr>
        <w:spacing w:before="360" w:after="720"/>
        <w:ind w:firstLine="0"/>
        <w:jc w:val="center"/>
      </w:pPr>
      <w:r>
        <w:rPr>
          <w:b/>
          <w:i/>
          <w:color w:val="000000"/>
        </w:rPr>
        <w:t>PREDICTIVE MODEL FOR ESTIMATING BATTERY STATE OF HEALTH AND END OF LIFE IN PHOTOVOLTAIC SYSTEMS</w:t>
      </w:r>
    </w:p>
    <w:p w14:paraId="73B3F2E5" w14:textId="77777777" w:rsidR="00C16569" w:rsidRPr="00773FD2" w:rsidRDefault="00202EB5">
      <w:pPr>
        <w:spacing w:before="320" w:after="40" w:line="276" w:lineRule="auto"/>
        <w:ind w:firstLine="0"/>
        <w:jc w:val="right"/>
        <w:rPr>
          <w:lang w:val="pt-BR"/>
        </w:rPr>
      </w:pPr>
      <w:r w:rsidRPr="00773FD2">
        <w:rPr>
          <w:color w:val="000000"/>
          <w:sz w:val="22"/>
          <w:lang w:val="pt-BR"/>
        </w:rPr>
        <w:t>NICOLAS LIMA ROSÁRIO</w:t>
      </w:r>
    </w:p>
    <w:p w14:paraId="597A24EA" w14:textId="77777777" w:rsidR="00C16569" w:rsidRPr="00773FD2" w:rsidRDefault="00202EB5">
      <w:pPr>
        <w:spacing w:after="40" w:line="276" w:lineRule="auto"/>
        <w:ind w:firstLine="0"/>
        <w:jc w:val="right"/>
        <w:rPr>
          <w:lang w:val="pt-BR"/>
        </w:rPr>
      </w:pPr>
      <w:r w:rsidRPr="00773FD2">
        <w:rPr>
          <w:color w:val="000000"/>
          <w:sz w:val="22"/>
          <w:lang w:val="pt-BR"/>
        </w:rPr>
        <w:t>Graduando em Sistemas de Informação</w:t>
      </w:r>
    </w:p>
    <w:p w14:paraId="3DE70A3D" w14:textId="77777777" w:rsidR="00C16569" w:rsidRPr="00773FD2" w:rsidRDefault="00202EB5">
      <w:pPr>
        <w:spacing w:after="160" w:line="276" w:lineRule="auto"/>
        <w:ind w:firstLine="0"/>
        <w:jc w:val="right"/>
        <w:rPr>
          <w:lang w:val="pt-BR"/>
        </w:rPr>
      </w:pPr>
      <w:r w:rsidRPr="00773FD2">
        <w:rPr>
          <w:color w:val="000000"/>
          <w:sz w:val="22"/>
          <w:u w:val="single"/>
          <w:lang w:val="pt-BR"/>
        </w:rPr>
        <w:t>[e-mail do autor]</w:t>
      </w:r>
    </w:p>
    <w:p w14:paraId="638088D8" w14:textId="77777777" w:rsidR="00C16569" w:rsidRPr="00773FD2" w:rsidRDefault="00202EB5">
      <w:pPr>
        <w:spacing w:before="320" w:after="40" w:line="276" w:lineRule="auto"/>
        <w:ind w:firstLine="0"/>
        <w:jc w:val="right"/>
        <w:rPr>
          <w:lang w:val="pt-BR"/>
        </w:rPr>
      </w:pPr>
      <w:r w:rsidRPr="00773FD2">
        <w:rPr>
          <w:color w:val="000000"/>
          <w:sz w:val="22"/>
          <w:lang w:val="pt-BR"/>
        </w:rPr>
        <w:t>VITOR DORNELA MASCARENHAS</w:t>
      </w:r>
    </w:p>
    <w:p w14:paraId="550EB9A2" w14:textId="77777777" w:rsidR="00C16569" w:rsidRPr="00773FD2" w:rsidRDefault="00202EB5">
      <w:pPr>
        <w:spacing w:after="40" w:line="276" w:lineRule="auto"/>
        <w:ind w:firstLine="0"/>
        <w:jc w:val="right"/>
        <w:rPr>
          <w:lang w:val="pt-BR"/>
        </w:rPr>
      </w:pPr>
      <w:r w:rsidRPr="00773FD2">
        <w:rPr>
          <w:color w:val="000000"/>
          <w:sz w:val="22"/>
          <w:lang w:val="pt-BR"/>
        </w:rPr>
        <w:t>Graduando em Ciência da Computação</w:t>
      </w:r>
    </w:p>
    <w:p w14:paraId="30F45CA9" w14:textId="77777777" w:rsidR="00C16569" w:rsidRPr="00773FD2" w:rsidRDefault="00202EB5">
      <w:pPr>
        <w:spacing w:after="160" w:line="276" w:lineRule="auto"/>
        <w:ind w:firstLine="0"/>
        <w:jc w:val="right"/>
        <w:rPr>
          <w:lang w:val="pt-BR"/>
        </w:rPr>
      </w:pPr>
      <w:r w:rsidRPr="00773FD2">
        <w:rPr>
          <w:color w:val="000000"/>
          <w:sz w:val="22"/>
          <w:u w:val="single"/>
          <w:lang w:val="pt-BR"/>
        </w:rPr>
        <w:t>[e-mail do autor]</w:t>
      </w:r>
    </w:p>
    <w:p w14:paraId="29938CF2" w14:textId="77777777" w:rsidR="00C16569" w:rsidRPr="00773FD2" w:rsidRDefault="00202EB5">
      <w:pPr>
        <w:spacing w:before="320" w:after="40" w:line="276" w:lineRule="auto"/>
        <w:ind w:firstLine="0"/>
        <w:jc w:val="right"/>
        <w:rPr>
          <w:lang w:val="pt-BR"/>
        </w:rPr>
      </w:pPr>
      <w:r w:rsidRPr="00773FD2">
        <w:rPr>
          <w:color w:val="000000"/>
          <w:sz w:val="22"/>
          <w:lang w:val="pt-BR"/>
        </w:rPr>
        <w:t>WESLEY PEREIRA DA SILVA</w:t>
      </w:r>
    </w:p>
    <w:p w14:paraId="1C92F9AE" w14:textId="77777777" w:rsidR="00C16569" w:rsidRPr="00773FD2" w:rsidRDefault="00202EB5">
      <w:pPr>
        <w:spacing w:after="40" w:line="276" w:lineRule="auto"/>
        <w:ind w:firstLine="0"/>
        <w:jc w:val="right"/>
        <w:rPr>
          <w:lang w:val="pt-BR"/>
        </w:rPr>
      </w:pPr>
      <w:r w:rsidRPr="00773FD2">
        <w:rPr>
          <w:color w:val="000000"/>
          <w:sz w:val="22"/>
          <w:lang w:val="pt-BR"/>
        </w:rPr>
        <w:t>Prof. Orientador. Centro Universitário Espírito-santense</w:t>
      </w:r>
    </w:p>
    <w:p w14:paraId="4D8152EA" w14:textId="77777777" w:rsidR="00C16569" w:rsidRPr="00773FD2" w:rsidRDefault="00202EB5">
      <w:pPr>
        <w:spacing w:after="160" w:line="276" w:lineRule="auto"/>
        <w:ind w:firstLine="0"/>
        <w:jc w:val="right"/>
        <w:rPr>
          <w:lang w:val="pt-BR"/>
        </w:rPr>
      </w:pPr>
      <w:r w:rsidRPr="00773FD2">
        <w:rPr>
          <w:color w:val="000000"/>
          <w:sz w:val="22"/>
          <w:u w:val="single"/>
          <w:lang w:val="pt-BR"/>
        </w:rPr>
        <w:t>[e-mail institucional]</w:t>
      </w:r>
    </w:p>
    <w:p w14:paraId="7556B884" w14:textId="77777777" w:rsidR="00C16569" w:rsidRPr="00773FD2" w:rsidRDefault="00202EB5" w:rsidP="00773FD2">
      <w:pPr>
        <w:spacing w:before="320" w:line="276" w:lineRule="auto"/>
        <w:ind w:firstLine="0"/>
        <w:jc w:val="left"/>
        <w:rPr>
          <w:lang w:val="pt-BR"/>
        </w:rPr>
      </w:pPr>
      <w:r w:rsidRPr="00773FD2">
        <w:rPr>
          <w:b/>
          <w:color w:val="000000"/>
          <w:lang w:val="pt-BR"/>
        </w:rPr>
        <w:t>RESUMO</w:t>
      </w:r>
    </w:p>
    <w:p w14:paraId="1AF1942B" w14:textId="77777777" w:rsidR="00C16569" w:rsidRPr="00773FD2" w:rsidRDefault="00202EB5">
      <w:pPr>
        <w:pStyle w:val="ResumoTCC"/>
        <w:rPr>
          <w:lang w:val="pt-BR"/>
        </w:rPr>
      </w:pPr>
      <w:r w:rsidRPr="00773FD2">
        <w:rPr>
          <w:color w:val="000000"/>
          <w:lang w:val="pt-BR"/>
        </w:rPr>
        <w:t xml:space="preserve">Este artigo propõe o desenvolvimento de um modelo preditivo para estimar o estado de saúde e o fim da vida útil de baterias aplicadas a sistemas fotovoltaicos. A proposta parte da necessidade de reduzir falhas inesperadas, substituições prematuras e custos decorrentes da adoção predominante de práticas de manutenção corretiva. Para isso, prevê-se a utilização de variáveis operacionais como tensão, corrente, temperatura, estado de carga, número de ciclos, resistência interna e capacidade estimada, permitindo a construção de modelos de aprendizado de máquina voltados à previsão do </w:t>
      </w:r>
      <w:proofErr w:type="spellStart"/>
      <w:r w:rsidRPr="00773FD2">
        <w:rPr>
          <w:color w:val="000000"/>
          <w:lang w:val="pt-BR"/>
        </w:rPr>
        <w:t>State</w:t>
      </w:r>
      <w:proofErr w:type="spellEnd"/>
      <w:r w:rsidRPr="00773FD2">
        <w:rPr>
          <w:color w:val="000000"/>
          <w:lang w:val="pt-BR"/>
        </w:rPr>
        <w:t xml:space="preserve"> </w:t>
      </w:r>
      <w:proofErr w:type="spellStart"/>
      <w:r w:rsidRPr="00773FD2">
        <w:rPr>
          <w:color w:val="000000"/>
          <w:lang w:val="pt-BR"/>
        </w:rPr>
        <w:t>of</w:t>
      </w:r>
      <w:proofErr w:type="spellEnd"/>
      <w:r w:rsidRPr="00773FD2">
        <w:rPr>
          <w:color w:val="000000"/>
          <w:lang w:val="pt-BR"/>
        </w:rPr>
        <w:t xml:space="preserve"> Health e à classificação da condição operacional da bateria. A metodologia contempla a preparação dos dados, o treinamento de modelos supervisionados, a avaliação por métricas estatísticas e a geração de gráficos para análise dos resultados. Espera-se que a abordagem contribua para o planejamento da manutenção preditiva em sistemas fotovoltaicos, ampliando a confiabilidade operacional e a vida útil dos ativos.</w:t>
      </w:r>
    </w:p>
    <w:p w14:paraId="40CE04F8" w14:textId="77777777" w:rsidR="00C16569" w:rsidRDefault="00202EB5">
      <w:pPr>
        <w:pStyle w:val="ResumoTCC"/>
        <w:spacing w:before="40" w:after="200"/>
        <w:jc w:val="left"/>
      </w:pPr>
      <w:r w:rsidRPr="00773FD2">
        <w:rPr>
          <w:color w:val="000000"/>
          <w:lang w:val="pt-BR"/>
        </w:rPr>
        <w:t xml:space="preserve">Palavras-chave: Sistemas fotovoltaicos. Baterias. Manutenção preditiva. Aprendizado de máquina. </w:t>
      </w:r>
      <w:r>
        <w:rPr>
          <w:color w:val="000000"/>
        </w:rPr>
        <w:t>State of Health.</w:t>
      </w:r>
    </w:p>
    <w:p w14:paraId="3AA185A5" w14:textId="77777777" w:rsidR="00C16569" w:rsidRDefault="00202EB5" w:rsidP="00773FD2">
      <w:pPr>
        <w:spacing w:before="200" w:line="276" w:lineRule="auto"/>
        <w:ind w:firstLine="0"/>
        <w:jc w:val="left"/>
      </w:pPr>
      <w:r>
        <w:rPr>
          <w:b/>
          <w:color w:val="000000"/>
        </w:rPr>
        <w:t>ABSTRACT</w:t>
      </w:r>
    </w:p>
    <w:p w14:paraId="6190E5D4" w14:textId="77777777" w:rsidR="00C16569" w:rsidRDefault="00202EB5">
      <w:pPr>
        <w:pStyle w:val="ResumoTCC"/>
      </w:pPr>
      <w:r>
        <w:rPr>
          <w:color w:val="000000"/>
        </w:rPr>
        <w:t xml:space="preserve">This article proposes the development of a predictive model to estimate the state of health and end of life of batteries applied to photovoltaic systems. The proposal arises from the need to reduce unexpected failures, premature replacements and costs resulting from the predominant adoption of corrective maintenance practices. For this purpose, operational variables such as voltage, current, temperature, state of charge, </w:t>
      </w:r>
      <w:r>
        <w:rPr>
          <w:color w:val="000000"/>
        </w:rPr>
        <w:lastRenderedPageBreak/>
        <w:t>number of cycles, internal resistance and estimated capacity are considered, enabling the construction of machine learning models aimed at State of Health prediction and battery operational condition classification. The methodology includes data preparation, supervised model training, evaluation through statistical metrics and generation of graphs for result analysis. The expected contribution is to support predictive maintenance planning in photovoltaic systems, increasing operational reliability and asset lifetime.</w:t>
      </w:r>
    </w:p>
    <w:p w14:paraId="0ECDDC85" w14:textId="77777777" w:rsidR="00C16569" w:rsidRPr="00773FD2" w:rsidRDefault="00202EB5">
      <w:pPr>
        <w:pStyle w:val="ResumoTCC"/>
        <w:spacing w:before="40" w:after="200"/>
        <w:jc w:val="left"/>
        <w:rPr>
          <w:lang w:val="pt-BR"/>
        </w:rPr>
      </w:pPr>
      <w:r>
        <w:rPr>
          <w:color w:val="000000"/>
        </w:rPr>
        <w:t xml:space="preserve">Keywords: Photovoltaic systems. Batteries. Predictive maintenance. </w:t>
      </w:r>
      <w:r w:rsidRPr="00773FD2">
        <w:rPr>
          <w:color w:val="000000"/>
          <w:lang w:val="pt-BR"/>
        </w:rPr>
        <w:t xml:space="preserve">Machine learning. </w:t>
      </w:r>
      <w:proofErr w:type="spellStart"/>
      <w:r w:rsidRPr="00773FD2">
        <w:rPr>
          <w:color w:val="000000"/>
          <w:lang w:val="pt-BR"/>
        </w:rPr>
        <w:t>State</w:t>
      </w:r>
      <w:proofErr w:type="spellEnd"/>
      <w:r w:rsidRPr="00773FD2">
        <w:rPr>
          <w:color w:val="000000"/>
          <w:lang w:val="pt-BR"/>
        </w:rPr>
        <w:t xml:space="preserve"> </w:t>
      </w:r>
      <w:proofErr w:type="spellStart"/>
      <w:r w:rsidRPr="00773FD2">
        <w:rPr>
          <w:color w:val="000000"/>
          <w:lang w:val="pt-BR"/>
        </w:rPr>
        <w:t>of</w:t>
      </w:r>
      <w:proofErr w:type="spellEnd"/>
      <w:r w:rsidRPr="00773FD2">
        <w:rPr>
          <w:color w:val="000000"/>
          <w:lang w:val="pt-BR"/>
        </w:rPr>
        <w:t xml:space="preserve"> Health.</w:t>
      </w:r>
    </w:p>
    <w:p w14:paraId="0A91A061" w14:textId="77777777" w:rsidR="00C16569" w:rsidRPr="00773FD2" w:rsidRDefault="00202EB5">
      <w:pPr>
        <w:pStyle w:val="Ttulo1"/>
        <w:rPr>
          <w:lang w:val="pt-BR"/>
        </w:rPr>
      </w:pPr>
      <w:r w:rsidRPr="00773FD2">
        <w:rPr>
          <w:rFonts w:ascii="Arial" w:eastAsia="Arial" w:hAnsi="Arial"/>
          <w:lang w:val="pt-BR"/>
        </w:rPr>
        <w:t>INTRODUÇÃO</w:t>
      </w:r>
    </w:p>
    <w:p w14:paraId="0FC25659" w14:textId="77777777" w:rsidR="00C16569" w:rsidRPr="00773FD2" w:rsidRDefault="00202EB5">
      <w:pPr>
        <w:rPr>
          <w:lang w:val="pt-BR"/>
        </w:rPr>
      </w:pPr>
      <w:r w:rsidRPr="00773FD2">
        <w:rPr>
          <w:color w:val="000000"/>
          <w:lang w:val="pt-BR"/>
        </w:rPr>
        <w:t>A geração solar fotovoltaica vem se consolidando como uma alternativa relevante para a diversificação da matriz elétrica, principalmente em razão da redução dos custos de implantação e da possibilidade de aproveitamento de uma fonte renovável em sistemas residenciais, comerciais e isolados. Nesse contexto, os sistemas de armazenamento por baterias tornam-se componentes estratégicos, pois permitem maior aproveitamento da energia produzida localmente e contribuem para a continuidade do fornecimento em períodos de baixa geração ou indisponibilidade da rede elétrica (SILVA, 2018; LUQUE et al., 2025).</w:t>
      </w:r>
    </w:p>
    <w:p w14:paraId="2D775525" w14:textId="77777777" w:rsidR="00C16569" w:rsidRPr="00773FD2" w:rsidRDefault="00202EB5">
      <w:pPr>
        <w:rPr>
          <w:lang w:val="pt-BR"/>
        </w:rPr>
      </w:pPr>
      <w:r w:rsidRPr="00773FD2">
        <w:rPr>
          <w:color w:val="000000"/>
          <w:lang w:val="pt-BR"/>
        </w:rPr>
        <w:t>Apesar dos benefícios associados à utilização de baterias em sistemas fotovoltaicos, a degradação desses componentes representa um dos principais desafios técnicos e econômicos para a operação de longo prazo. A perda gradual de capacidade, o aumento da resistência interna e a influência de fatores como temperatura, estado de carga, profundidade de descarga e número de ciclos podem comprometer a confiabilidade operacional e elevar os custos de substituição dos equipamentos (AITIO; HOWEY, 2021; LUQUE et al., 2025).</w:t>
      </w:r>
    </w:p>
    <w:p w14:paraId="560A4ADA" w14:textId="77777777" w:rsidR="00C16569" w:rsidRPr="00773FD2" w:rsidRDefault="00202EB5">
      <w:pPr>
        <w:rPr>
          <w:lang w:val="pt-BR"/>
        </w:rPr>
      </w:pPr>
      <w:r w:rsidRPr="00773FD2">
        <w:rPr>
          <w:color w:val="000000"/>
          <w:lang w:val="pt-BR"/>
        </w:rPr>
        <w:t>A manutenção corretiva, aplicada apenas após a ocorrência de falhas, tende a gerar maior indisponibilidade do sistema e maior custo operacional, principalmente quando a bateria está localizada em ambientes remotos ou integra sistemas críticos de fornecimento de energia. Dessa forma, torna-se necessário investigar soluções capazes de antecipar a tendência de falha, permitindo que a manutenção seja planejada com base em dados operacionais e não apenas em intervalos fixos ou na ocorrência do defeito (AITIO; HOWEY, 2021).</w:t>
      </w:r>
    </w:p>
    <w:p w14:paraId="63E661F0" w14:textId="77777777" w:rsidR="00C16569" w:rsidRPr="00773FD2" w:rsidRDefault="00202EB5">
      <w:pPr>
        <w:rPr>
          <w:lang w:val="pt-BR"/>
        </w:rPr>
      </w:pPr>
      <w:r w:rsidRPr="00773FD2">
        <w:rPr>
          <w:color w:val="000000"/>
          <w:lang w:val="pt-BR"/>
        </w:rPr>
        <w:t xml:space="preserve">Diante desse cenário, este artigo busca responder à seguinte questão: de que maneira técnicas de aprendizado de máquina podem ser utilizadas para estimar o </w:t>
      </w:r>
      <w:r w:rsidRPr="00773FD2">
        <w:rPr>
          <w:color w:val="000000"/>
          <w:lang w:val="pt-BR"/>
        </w:rPr>
        <w:lastRenderedPageBreak/>
        <w:t>estado de saúde e prever o fim da vida útil de baterias em sistemas fotovoltaicos, contribuindo para a manutenção preditiva e para a redução de falhas operacionais? Parte-se da hipótese de que modelos supervisionados, treinados a partir de variáveis operacionais da bateria, podem identificar padrões de degradação e auxiliar na tomada de decisão sobre substituição ou manutenção do equipamento (BREIMAN, 2001; PEDREGOSA et al., 2011).</w:t>
      </w:r>
    </w:p>
    <w:p w14:paraId="18481EBD" w14:textId="77777777" w:rsidR="00C16569" w:rsidRPr="00773FD2" w:rsidRDefault="00202EB5">
      <w:pPr>
        <w:rPr>
          <w:lang w:val="pt-BR"/>
        </w:rPr>
      </w:pPr>
      <w:r w:rsidRPr="00773FD2">
        <w:rPr>
          <w:color w:val="000000"/>
          <w:lang w:val="pt-BR"/>
        </w:rPr>
        <w:t>O objetivo geral deste trabalho é desenvolver e avaliar um modelo preditivo baseado em aprendizado de máquina para estimar o estado de saúde e o fim da vida útil de baterias aplicadas a sistemas fotovoltaicos. Para alcançar esse propósito, propõe-se identificar os fatores de degradação, definir variáveis de entrada, preparar a base de dados, implementar modelos de regressão e classificação, avaliar métricas de desempenho e discutir a aplicabilidade da abordagem no contexto da manutenção preditiva (AITIO; HOWEY, 2021; LUQUE et al., 2025).</w:t>
      </w:r>
    </w:p>
    <w:p w14:paraId="21CFF761" w14:textId="77777777" w:rsidR="00C16569" w:rsidRPr="00773FD2" w:rsidRDefault="00202EB5">
      <w:pPr>
        <w:pStyle w:val="Ttulo1"/>
        <w:rPr>
          <w:lang w:val="pt-BR"/>
        </w:rPr>
      </w:pPr>
      <w:r w:rsidRPr="00773FD2">
        <w:rPr>
          <w:rFonts w:ascii="Arial" w:eastAsia="Arial" w:hAnsi="Arial"/>
          <w:lang w:val="pt-BR"/>
        </w:rPr>
        <w:t>FUNDAMENTAÇÃO TEÓRICA</w:t>
      </w:r>
    </w:p>
    <w:p w14:paraId="4251F8FD" w14:textId="77777777" w:rsidR="00C16569" w:rsidRPr="00773FD2" w:rsidRDefault="00202EB5">
      <w:pPr>
        <w:pStyle w:val="Ttulo2"/>
        <w:jc w:val="left"/>
        <w:rPr>
          <w:lang w:val="pt-BR"/>
        </w:rPr>
      </w:pPr>
      <w:r w:rsidRPr="00773FD2">
        <w:rPr>
          <w:rFonts w:ascii="Arial" w:eastAsia="Arial" w:hAnsi="Arial"/>
          <w:lang w:val="pt-BR"/>
        </w:rPr>
        <w:t>Sistemas fotovoltaicos com armazenamento de energia</w:t>
      </w:r>
    </w:p>
    <w:p w14:paraId="5DC9D6F4" w14:textId="77777777" w:rsidR="00C16569" w:rsidRPr="00773FD2" w:rsidRDefault="00202EB5">
      <w:pPr>
        <w:rPr>
          <w:lang w:val="pt-BR"/>
        </w:rPr>
      </w:pPr>
      <w:r w:rsidRPr="00773FD2">
        <w:rPr>
          <w:color w:val="000000"/>
          <w:lang w:val="pt-BR"/>
        </w:rPr>
        <w:t>Os sistemas fotovoltaicos com armazenamento de energia combinam a geração elétrica proveniente dos módulos solares com baterias estacionárias capazes de armazenar excedentes de produção. Essa configuração favorece o autoconsumo, reduz a dependência da rede elétrica e permite maior flexibilidade no atendimento da demanda, especialmente quando há diferença temporal entre os períodos de maior geração e maior consumo (SILVA, 2018).</w:t>
      </w:r>
    </w:p>
    <w:p w14:paraId="23482EB3" w14:textId="77777777" w:rsidR="00C16569" w:rsidRPr="00773FD2" w:rsidRDefault="00202EB5">
      <w:pPr>
        <w:rPr>
          <w:lang w:val="pt-BR"/>
        </w:rPr>
      </w:pPr>
      <w:r w:rsidRPr="00773FD2">
        <w:rPr>
          <w:color w:val="000000"/>
          <w:lang w:val="pt-BR"/>
        </w:rPr>
        <w:t>Em aplicações residenciais, comerciais e isoladas, o armazenamento por baterias pode contribuir para a continuidade do fornecimento e para a viabilidade econômica do sistema. Entretanto, sua contribuição depende diretamente da forma como a bateria é operada, uma vez que estratégias de carga e descarga, limites de estado de carga e condições ambientais influenciam sua degradação ao longo do tempo (LUQUE et al., 2025).</w:t>
      </w:r>
    </w:p>
    <w:p w14:paraId="23345DA0" w14:textId="77777777" w:rsidR="00C16569" w:rsidRPr="00773FD2" w:rsidRDefault="00202EB5">
      <w:pPr>
        <w:pStyle w:val="Ttulo2"/>
        <w:jc w:val="left"/>
        <w:rPr>
          <w:lang w:val="pt-BR"/>
        </w:rPr>
      </w:pPr>
      <w:r w:rsidRPr="00773FD2">
        <w:rPr>
          <w:rFonts w:ascii="Arial" w:eastAsia="Arial" w:hAnsi="Arial"/>
          <w:lang w:val="pt-BR"/>
        </w:rPr>
        <w:t>Baterias aplicadas a sistemas fotovoltaicos</w:t>
      </w:r>
    </w:p>
    <w:p w14:paraId="2AF87960" w14:textId="77777777" w:rsidR="00C16569" w:rsidRPr="00773FD2" w:rsidRDefault="00202EB5">
      <w:pPr>
        <w:rPr>
          <w:lang w:val="pt-BR"/>
        </w:rPr>
      </w:pPr>
      <w:r w:rsidRPr="00773FD2">
        <w:rPr>
          <w:color w:val="000000"/>
          <w:lang w:val="pt-BR"/>
        </w:rPr>
        <w:t xml:space="preserve">As baterias utilizadas em sistemas fotovoltaicos podem empregar diferentes tecnologias eletroquímicas, como chumbo-ácido e íon-lítio. A escolha da tecnologia depende de fatores como custo, densidade de energia, vida útil, segurança, </w:t>
      </w:r>
      <w:r w:rsidRPr="00773FD2">
        <w:rPr>
          <w:color w:val="000000"/>
          <w:lang w:val="pt-BR"/>
        </w:rPr>
        <w:lastRenderedPageBreak/>
        <w:t>profundidade de descarga admissível, eficiência e adequação à aplicação prevista (SILVA, 2018).</w:t>
      </w:r>
    </w:p>
    <w:p w14:paraId="19551ED6" w14:textId="77777777" w:rsidR="00C16569" w:rsidRPr="00773FD2" w:rsidRDefault="00202EB5">
      <w:pPr>
        <w:rPr>
          <w:lang w:val="pt-BR"/>
        </w:rPr>
      </w:pPr>
      <w:r w:rsidRPr="00773FD2">
        <w:rPr>
          <w:color w:val="000000"/>
          <w:lang w:val="pt-BR"/>
        </w:rPr>
        <w:t>Em sistemas fotovoltaicos residenciais e estacionários, as baterias de íon-lítio vêm ganhando destaque por apresentarem maior eficiência e maior densidade de energia quando comparadas a tecnologias tradicionais. Ainda assim, a degradação permanece como um aspecto crítico, pois a perda de capacidade afeta o retorno financeiro, a confiabilidade e o planejamento de substituição do sistema de armazenamento (LUQUE et al., 2025).</w:t>
      </w:r>
    </w:p>
    <w:p w14:paraId="718CABBD" w14:textId="77777777" w:rsidR="00C16569" w:rsidRPr="00773FD2" w:rsidRDefault="00202EB5">
      <w:pPr>
        <w:pStyle w:val="Ttulo2"/>
        <w:jc w:val="left"/>
        <w:rPr>
          <w:lang w:val="pt-BR"/>
        </w:rPr>
      </w:pPr>
      <w:r w:rsidRPr="00773FD2">
        <w:rPr>
          <w:rFonts w:ascii="Arial" w:eastAsia="Arial" w:hAnsi="Arial"/>
          <w:lang w:val="pt-BR"/>
        </w:rPr>
        <w:t>Degradação e envelhecimento de baterias</w:t>
      </w:r>
    </w:p>
    <w:p w14:paraId="3CA5741C" w14:textId="77777777" w:rsidR="00C16569" w:rsidRPr="00773FD2" w:rsidRDefault="00202EB5">
      <w:pPr>
        <w:rPr>
          <w:lang w:val="pt-BR"/>
        </w:rPr>
      </w:pPr>
      <w:r w:rsidRPr="00773FD2">
        <w:rPr>
          <w:color w:val="000000"/>
          <w:lang w:val="pt-BR"/>
        </w:rPr>
        <w:t>O envelhecimento das baterias pode ser compreendido por meio de dois processos principais: o envelhecimento por calendário e o envelhecimento por ciclo. O envelhecimento por calendário ocorre mesmo quando a bateria não está submetida a ciclos intensos de carga e descarga, sendo influenciado principalmente pela temperatura e pelo estado de carga, enquanto o envelhecimento por ciclo está associado ao uso efetivo da bateria (LUQUE et al., 2025).</w:t>
      </w:r>
    </w:p>
    <w:p w14:paraId="32643927" w14:textId="77777777" w:rsidR="00C16569" w:rsidRPr="00773FD2" w:rsidRDefault="00202EB5">
      <w:pPr>
        <w:rPr>
          <w:lang w:val="pt-BR"/>
        </w:rPr>
      </w:pPr>
      <w:r w:rsidRPr="00773FD2">
        <w:rPr>
          <w:color w:val="000000"/>
          <w:lang w:val="pt-BR"/>
        </w:rPr>
        <w:t>O envelhecimento por ciclo está relacionado a fatores como número de ciclos equivalentes completos, profundidade de descarga, taxa de corrente e temperatura de operação. Dessa forma, uma bateria submetida a ciclos mais profundos, temperaturas elevadas ou correntes mais intensas tende a apresentar degradação mais acelerada, comprometendo sua capacidade de armazenamento e sua resistência interna ao longo do tempo (AITIO; HOWEY, 2021; LUQUE et al., 2025).</w:t>
      </w:r>
    </w:p>
    <w:p w14:paraId="49F164FC" w14:textId="77777777" w:rsidR="00C16569" w:rsidRPr="00773FD2" w:rsidRDefault="00202EB5">
      <w:pPr>
        <w:pStyle w:val="Ttulo2"/>
        <w:jc w:val="left"/>
        <w:rPr>
          <w:lang w:val="pt-BR"/>
        </w:rPr>
      </w:pPr>
      <w:r w:rsidRPr="00773FD2">
        <w:rPr>
          <w:rFonts w:ascii="Arial" w:eastAsia="Arial" w:hAnsi="Arial"/>
          <w:lang w:val="pt-BR"/>
        </w:rPr>
        <w:t>Indicadores de operação e saúde da bateria</w:t>
      </w:r>
    </w:p>
    <w:p w14:paraId="4CBBECE4" w14:textId="77777777" w:rsidR="00C16569" w:rsidRPr="00773FD2" w:rsidRDefault="00202EB5">
      <w:pPr>
        <w:rPr>
          <w:lang w:val="pt-BR"/>
        </w:rPr>
      </w:pPr>
      <w:r w:rsidRPr="00773FD2">
        <w:rPr>
          <w:color w:val="000000"/>
          <w:lang w:val="pt-BR"/>
        </w:rPr>
        <w:t xml:space="preserve">O </w:t>
      </w:r>
      <w:proofErr w:type="spellStart"/>
      <w:r w:rsidRPr="00773FD2">
        <w:rPr>
          <w:color w:val="000000"/>
          <w:lang w:val="pt-BR"/>
        </w:rPr>
        <w:t>State</w:t>
      </w:r>
      <w:proofErr w:type="spellEnd"/>
      <w:r w:rsidRPr="00773FD2">
        <w:rPr>
          <w:color w:val="000000"/>
          <w:lang w:val="pt-BR"/>
        </w:rPr>
        <w:t xml:space="preserve"> </w:t>
      </w:r>
      <w:proofErr w:type="spellStart"/>
      <w:r w:rsidRPr="00773FD2">
        <w:rPr>
          <w:color w:val="000000"/>
          <w:lang w:val="pt-BR"/>
        </w:rPr>
        <w:t>of</w:t>
      </w:r>
      <w:proofErr w:type="spellEnd"/>
      <w:r w:rsidRPr="00773FD2">
        <w:rPr>
          <w:color w:val="000000"/>
          <w:lang w:val="pt-BR"/>
        </w:rPr>
        <w:t xml:space="preserve"> Charge (SOC) representa o estado de carga da bateria em determinado instante, indicando a fração de energia ainda disponível em relação à sua capacidade nominal ou estimada. Esse indicador é fundamental para o controle operacional do sistema, pois auxilia na definição dos limites de carga e descarga e evita condições de operação que possam acelerar a degradação (SILVA, 2018).</w:t>
      </w:r>
    </w:p>
    <w:p w14:paraId="607BBC65" w14:textId="77777777" w:rsidR="00C16569" w:rsidRPr="00773FD2" w:rsidRDefault="00202EB5">
      <w:pPr>
        <w:rPr>
          <w:lang w:val="pt-BR"/>
        </w:rPr>
      </w:pPr>
      <w:r w:rsidRPr="00773FD2">
        <w:rPr>
          <w:color w:val="000000"/>
          <w:lang w:val="pt-BR"/>
        </w:rPr>
        <w:t xml:space="preserve">O </w:t>
      </w:r>
      <w:proofErr w:type="spellStart"/>
      <w:r w:rsidRPr="00773FD2">
        <w:rPr>
          <w:color w:val="000000"/>
          <w:lang w:val="pt-BR"/>
        </w:rPr>
        <w:t>State</w:t>
      </w:r>
      <w:proofErr w:type="spellEnd"/>
      <w:r w:rsidRPr="00773FD2">
        <w:rPr>
          <w:color w:val="000000"/>
          <w:lang w:val="pt-BR"/>
        </w:rPr>
        <w:t xml:space="preserve"> </w:t>
      </w:r>
      <w:proofErr w:type="spellStart"/>
      <w:r w:rsidRPr="00773FD2">
        <w:rPr>
          <w:color w:val="000000"/>
          <w:lang w:val="pt-BR"/>
        </w:rPr>
        <w:t>of</w:t>
      </w:r>
      <w:proofErr w:type="spellEnd"/>
      <w:r w:rsidRPr="00773FD2">
        <w:rPr>
          <w:color w:val="000000"/>
          <w:lang w:val="pt-BR"/>
        </w:rPr>
        <w:t xml:space="preserve"> Health (SOH) representa o estado de saúde da bateria e costuma ser associado à capacidade remanescente ou ao aumento da resistência interna em relação à condição inicial. Já o </w:t>
      </w:r>
      <w:proofErr w:type="spellStart"/>
      <w:r w:rsidRPr="00773FD2">
        <w:rPr>
          <w:color w:val="000000"/>
          <w:lang w:val="pt-BR"/>
        </w:rPr>
        <w:t>Remaining</w:t>
      </w:r>
      <w:proofErr w:type="spellEnd"/>
      <w:r w:rsidRPr="00773FD2">
        <w:rPr>
          <w:color w:val="000000"/>
          <w:lang w:val="pt-BR"/>
        </w:rPr>
        <w:t xml:space="preserve"> </w:t>
      </w:r>
      <w:proofErr w:type="spellStart"/>
      <w:r w:rsidRPr="00773FD2">
        <w:rPr>
          <w:color w:val="000000"/>
          <w:lang w:val="pt-BR"/>
        </w:rPr>
        <w:t>Useful</w:t>
      </w:r>
      <w:proofErr w:type="spellEnd"/>
      <w:r w:rsidRPr="00773FD2">
        <w:rPr>
          <w:color w:val="000000"/>
          <w:lang w:val="pt-BR"/>
        </w:rPr>
        <w:t xml:space="preserve"> Life (RUL) indica a vida útil remanescente até que a bateria atinja o </w:t>
      </w:r>
      <w:proofErr w:type="spellStart"/>
      <w:r w:rsidRPr="00773FD2">
        <w:rPr>
          <w:color w:val="000000"/>
          <w:lang w:val="pt-BR"/>
        </w:rPr>
        <w:t>End</w:t>
      </w:r>
      <w:proofErr w:type="spellEnd"/>
      <w:r w:rsidRPr="00773FD2">
        <w:rPr>
          <w:color w:val="000000"/>
          <w:lang w:val="pt-BR"/>
        </w:rPr>
        <w:t xml:space="preserve"> </w:t>
      </w:r>
      <w:proofErr w:type="spellStart"/>
      <w:r w:rsidRPr="00773FD2">
        <w:rPr>
          <w:color w:val="000000"/>
          <w:lang w:val="pt-BR"/>
        </w:rPr>
        <w:t>of</w:t>
      </w:r>
      <w:proofErr w:type="spellEnd"/>
      <w:r w:rsidRPr="00773FD2">
        <w:rPr>
          <w:color w:val="000000"/>
          <w:lang w:val="pt-BR"/>
        </w:rPr>
        <w:t xml:space="preserve"> Life (EOL), normalmente definido por </w:t>
      </w:r>
      <w:r w:rsidRPr="00773FD2">
        <w:rPr>
          <w:color w:val="000000"/>
          <w:lang w:val="pt-BR"/>
        </w:rPr>
        <w:lastRenderedPageBreak/>
        <w:t>um limite mínimo aceitável de capacidade ou desempenho operacional (AITIO; HOWEY, 2021; LUQUE et al., 2025).</w:t>
      </w:r>
    </w:p>
    <w:p w14:paraId="05F7592B" w14:textId="77777777" w:rsidR="00C16569" w:rsidRPr="00773FD2" w:rsidRDefault="00202EB5">
      <w:pPr>
        <w:pStyle w:val="Ttulo2"/>
        <w:jc w:val="left"/>
        <w:rPr>
          <w:lang w:val="pt-BR"/>
        </w:rPr>
      </w:pPr>
      <w:r w:rsidRPr="00773FD2">
        <w:rPr>
          <w:rFonts w:ascii="Arial" w:eastAsia="Arial" w:hAnsi="Arial"/>
          <w:lang w:val="pt-BR"/>
        </w:rPr>
        <w:t>Manutenção preditiva em baterias</w:t>
      </w:r>
    </w:p>
    <w:p w14:paraId="7D247E5D" w14:textId="77777777" w:rsidR="00C16569" w:rsidRPr="00773FD2" w:rsidRDefault="00202EB5">
      <w:pPr>
        <w:rPr>
          <w:lang w:val="pt-BR"/>
        </w:rPr>
      </w:pPr>
      <w:r w:rsidRPr="00773FD2">
        <w:rPr>
          <w:color w:val="000000"/>
          <w:lang w:val="pt-BR"/>
        </w:rPr>
        <w:t>A manutenção preditiva busca antecipar falhas a partir do acompanhamento de dados operacionais e da identificação de tendências de degradação. Diferentemente da manutenção corretiva, que ocorre apenas após a falha, e da manutenção preventiva, que se baseia em intervalos previamente definidos, a abordagem preditiva utiliza evidências extraídas do próprio comportamento do equipamento (AITIO; HOWEY, 2021).</w:t>
      </w:r>
    </w:p>
    <w:p w14:paraId="7C10BB61" w14:textId="77777777" w:rsidR="00C16569" w:rsidRPr="00773FD2" w:rsidRDefault="00202EB5">
      <w:pPr>
        <w:rPr>
          <w:lang w:val="pt-BR"/>
        </w:rPr>
      </w:pPr>
      <w:r w:rsidRPr="00773FD2">
        <w:rPr>
          <w:color w:val="000000"/>
          <w:lang w:val="pt-BR"/>
        </w:rPr>
        <w:t>No caso de baterias aplicadas a sistemas fotovoltaicos, a manutenção preditiva permite estimar quando o desempenho tende a se tornar insuficiente para a operação esperada. Com isso, torna-se possível planejar substituições, reduzir indisponibilidades, evitar trocas prematuras e melhorar a confiabilidade do sistema, principalmente em aplicações isoladas ou de difícil acesso (AITIO; HOWEY, 2021; LUQUE et al., 2025).</w:t>
      </w:r>
    </w:p>
    <w:p w14:paraId="28F17359" w14:textId="77777777" w:rsidR="00C16569" w:rsidRPr="00773FD2" w:rsidRDefault="00202EB5">
      <w:pPr>
        <w:pStyle w:val="Ttulo2"/>
        <w:jc w:val="left"/>
        <w:rPr>
          <w:lang w:val="pt-BR"/>
        </w:rPr>
      </w:pPr>
      <w:r w:rsidRPr="00773FD2">
        <w:rPr>
          <w:rFonts w:ascii="Arial" w:eastAsia="Arial" w:hAnsi="Arial"/>
          <w:lang w:val="pt-BR"/>
        </w:rPr>
        <w:t>Aprendizado de máquina</w:t>
      </w:r>
    </w:p>
    <w:p w14:paraId="51E2E197" w14:textId="77777777" w:rsidR="00C16569" w:rsidRPr="00773FD2" w:rsidRDefault="00202EB5">
      <w:pPr>
        <w:rPr>
          <w:lang w:val="pt-BR"/>
        </w:rPr>
      </w:pPr>
      <w:r w:rsidRPr="00773FD2">
        <w:rPr>
          <w:color w:val="000000"/>
          <w:lang w:val="pt-BR"/>
        </w:rPr>
        <w:t>O aprendizado de máquina é uma área da inteligência artificial voltada à construção de modelos capazes de aprender padrões a partir de dados. Em problemas supervisionados, os modelos são treinados com exemplos de entrada e saída, permitindo que novas entradas sejam associadas a uma estimativa ou classificação com base no padrão aprendido durante o treinamento (RUSSELL; NORVIG, 2020).</w:t>
      </w:r>
    </w:p>
    <w:p w14:paraId="07F549E8" w14:textId="77777777" w:rsidR="00C16569" w:rsidRPr="00773FD2" w:rsidRDefault="00202EB5">
      <w:pPr>
        <w:rPr>
          <w:lang w:val="pt-BR"/>
        </w:rPr>
      </w:pPr>
      <w:r w:rsidRPr="00773FD2">
        <w:rPr>
          <w:color w:val="000000"/>
          <w:lang w:val="pt-BR"/>
        </w:rPr>
        <w:t>Em aplicações de regressão, o objetivo é estimar uma variável contínua, como o valor percentual do SOH. Em aplicações de classificação, o objetivo é associar a observação a uma categoria, como bateria saudável, bateria em atenção ou bateria em fim de vida útil. A escolha entre regressão e classificação depende da pergunta de pesquisa e do tipo de resposta esperada para apoiar a tomada de decisão (PEDREGOSA et al., 2011).</w:t>
      </w:r>
    </w:p>
    <w:p w14:paraId="6820F9E8" w14:textId="77777777" w:rsidR="00C16569" w:rsidRPr="00773FD2" w:rsidRDefault="00202EB5">
      <w:pPr>
        <w:pStyle w:val="Ttulo2"/>
        <w:jc w:val="left"/>
        <w:rPr>
          <w:lang w:val="pt-BR"/>
        </w:rPr>
      </w:pPr>
      <w:r w:rsidRPr="00773FD2">
        <w:rPr>
          <w:rFonts w:ascii="Arial" w:eastAsia="Arial" w:hAnsi="Arial"/>
          <w:lang w:val="pt-BR"/>
        </w:rPr>
        <w:t>Modelos preditivos para SOH e fim de vida útil</w:t>
      </w:r>
    </w:p>
    <w:p w14:paraId="54203510" w14:textId="77777777" w:rsidR="00C16569" w:rsidRPr="00773FD2" w:rsidRDefault="00202EB5">
      <w:pPr>
        <w:rPr>
          <w:lang w:val="pt-BR"/>
        </w:rPr>
      </w:pPr>
      <w:r w:rsidRPr="00773FD2">
        <w:rPr>
          <w:color w:val="000000"/>
          <w:lang w:val="pt-BR"/>
        </w:rPr>
        <w:t xml:space="preserve">A estimativa do SOH e do fim da vida útil pode ser realizada por métodos baseados em modelo, métodos orientados a dados ou métodos híbridos. Métodos </w:t>
      </w:r>
      <w:r w:rsidRPr="00773FD2">
        <w:rPr>
          <w:color w:val="000000"/>
          <w:lang w:val="pt-BR"/>
        </w:rPr>
        <w:lastRenderedPageBreak/>
        <w:t>baseados em modelo dependem de conhecimento físico e eletroquímico do sistema, enquanto métodos orientados a dados utilizam registros históricos de operação para identificar relações entre variáveis medidas e indicadores de degradação (AITIO; HOWEY, 2021; LUQUE et al., 2025).</w:t>
      </w:r>
    </w:p>
    <w:p w14:paraId="72A08359" w14:textId="77777777" w:rsidR="00C16569" w:rsidRPr="00773FD2" w:rsidRDefault="00202EB5">
      <w:pPr>
        <w:rPr>
          <w:lang w:val="pt-BR"/>
        </w:rPr>
      </w:pPr>
      <w:r w:rsidRPr="00773FD2">
        <w:rPr>
          <w:color w:val="000000"/>
          <w:lang w:val="pt-BR"/>
        </w:rPr>
        <w:t xml:space="preserve">Modelos como Random Forest, </w:t>
      </w:r>
      <w:proofErr w:type="spellStart"/>
      <w:r w:rsidRPr="00773FD2">
        <w:rPr>
          <w:color w:val="000000"/>
          <w:lang w:val="pt-BR"/>
        </w:rPr>
        <w:t>Gradient</w:t>
      </w:r>
      <w:proofErr w:type="spellEnd"/>
      <w:r w:rsidRPr="00773FD2">
        <w:rPr>
          <w:color w:val="000000"/>
          <w:lang w:val="pt-BR"/>
        </w:rPr>
        <w:t xml:space="preserve"> </w:t>
      </w:r>
      <w:proofErr w:type="spellStart"/>
      <w:r w:rsidRPr="00773FD2">
        <w:rPr>
          <w:color w:val="000000"/>
          <w:lang w:val="pt-BR"/>
        </w:rPr>
        <w:t>Boosting</w:t>
      </w:r>
      <w:proofErr w:type="spellEnd"/>
      <w:r w:rsidRPr="00773FD2">
        <w:rPr>
          <w:color w:val="000000"/>
          <w:lang w:val="pt-BR"/>
        </w:rPr>
        <w:t xml:space="preserve">, </w:t>
      </w:r>
      <w:proofErr w:type="spellStart"/>
      <w:r w:rsidRPr="00773FD2">
        <w:rPr>
          <w:color w:val="000000"/>
          <w:lang w:val="pt-BR"/>
        </w:rPr>
        <w:t>Support</w:t>
      </w:r>
      <w:proofErr w:type="spellEnd"/>
      <w:r w:rsidRPr="00773FD2">
        <w:rPr>
          <w:color w:val="000000"/>
          <w:lang w:val="pt-BR"/>
        </w:rPr>
        <w:t xml:space="preserve"> Vector </w:t>
      </w:r>
      <w:proofErr w:type="spellStart"/>
      <w:r w:rsidRPr="00773FD2">
        <w:rPr>
          <w:color w:val="000000"/>
          <w:lang w:val="pt-BR"/>
        </w:rPr>
        <w:t>Regression</w:t>
      </w:r>
      <w:proofErr w:type="spellEnd"/>
      <w:r w:rsidRPr="00773FD2">
        <w:rPr>
          <w:color w:val="000000"/>
          <w:lang w:val="pt-BR"/>
        </w:rPr>
        <w:t xml:space="preserve">, </w:t>
      </w:r>
      <w:proofErr w:type="spellStart"/>
      <w:r w:rsidRPr="00773FD2">
        <w:rPr>
          <w:color w:val="000000"/>
          <w:lang w:val="pt-BR"/>
        </w:rPr>
        <w:t>Gaussian</w:t>
      </w:r>
      <w:proofErr w:type="spellEnd"/>
      <w:r w:rsidRPr="00773FD2">
        <w:rPr>
          <w:color w:val="000000"/>
          <w:lang w:val="pt-BR"/>
        </w:rPr>
        <w:t xml:space="preserve"> </w:t>
      </w:r>
      <w:proofErr w:type="spellStart"/>
      <w:r w:rsidRPr="00773FD2">
        <w:rPr>
          <w:color w:val="000000"/>
          <w:lang w:val="pt-BR"/>
        </w:rPr>
        <w:t>Process</w:t>
      </w:r>
      <w:proofErr w:type="spellEnd"/>
      <w:r w:rsidRPr="00773FD2">
        <w:rPr>
          <w:color w:val="000000"/>
          <w:lang w:val="pt-BR"/>
        </w:rPr>
        <w:t xml:space="preserve"> </w:t>
      </w:r>
      <w:proofErr w:type="spellStart"/>
      <w:r w:rsidRPr="00773FD2">
        <w:rPr>
          <w:color w:val="000000"/>
          <w:lang w:val="pt-BR"/>
        </w:rPr>
        <w:t>Regression</w:t>
      </w:r>
      <w:proofErr w:type="spellEnd"/>
      <w:r w:rsidRPr="00773FD2">
        <w:rPr>
          <w:color w:val="000000"/>
          <w:lang w:val="pt-BR"/>
        </w:rPr>
        <w:t xml:space="preserve"> e redes neurais têm sido utilizados em estudos de previsão de saúde de baterias. Para este trabalho, a escolha inicial por modelos supervisionados de regressão e classificação permite equilibrar desempenho, simplicidade de implementação, geração de métricas e interpretação dos fatores que mais influenciam a degradação (BREIMAN, 2001; RASMUSSEN; WILLIAMS, 2006; LUQUE et al., 2025).</w:t>
      </w:r>
    </w:p>
    <w:p w14:paraId="12DBD3B0" w14:textId="77777777" w:rsidR="00C16569" w:rsidRPr="00773FD2" w:rsidRDefault="00202EB5">
      <w:pPr>
        <w:pStyle w:val="Ttulo1"/>
        <w:rPr>
          <w:lang w:val="pt-BR"/>
        </w:rPr>
      </w:pPr>
      <w:r w:rsidRPr="00773FD2">
        <w:rPr>
          <w:rFonts w:ascii="Arial" w:eastAsia="Arial" w:hAnsi="Arial"/>
          <w:lang w:val="pt-BR"/>
        </w:rPr>
        <w:t>METODOLOGIA</w:t>
      </w:r>
    </w:p>
    <w:p w14:paraId="1654BF36" w14:textId="77777777" w:rsidR="00C16569" w:rsidRPr="00773FD2" w:rsidRDefault="00202EB5">
      <w:pPr>
        <w:rPr>
          <w:lang w:val="pt-BR"/>
        </w:rPr>
      </w:pPr>
      <w:r w:rsidRPr="00773FD2">
        <w:rPr>
          <w:color w:val="000000"/>
          <w:lang w:val="pt-BR"/>
        </w:rPr>
        <w:t>Este artigo caracteriza-se como uma pesquisa aplicada, de abordagem quantitativa e procedimento experimental, pois propõe o desenvolvimento de uma solução computacional para apoiar a manutenção preditiva de baterias em sistemas fotovoltaicos. A pesquisa será conduzida por meio da preparação de dados, treinamento de modelos de aprendizado de máquina e avaliação do desempenho preditivo por métricas estatísticas (PEDREGOSA et al., 2011; LUQUE et al., 2025).</w:t>
      </w:r>
    </w:p>
    <w:p w14:paraId="4C383DE7" w14:textId="77777777" w:rsidR="00C16569" w:rsidRPr="00773FD2" w:rsidRDefault="00202EB5">
      <w:pPr>
        <w:rPr>
          <w:lang w:val="pt-BR"/>
        </w:rPr>
      </w:pPr>
      <w:r w:rsidRPr="00773FD2">
        <w:rPr>
          <w:color w:val="000000"/>
          <w:lang w:val="pt-BR"/>
        </w:rPr>
        <w:t>A base de dados poderá ser composta por registros públicos de degradação de baterias ou por dados simulados a partir de variáveis operacionais descritas na literatura. As variáveis de entrada previstas incluem tensão, corrente, temperatura, SOC, profundidade de descarga, número de ciclos, resistência interna e capacidade estimada, enquanto as variáveis de saída poderão representar o SOH em percentual ou uma classe operacional da bateria (AITIO; HOWEY, 2021; LUQUE et al., 2025).</w:t>
      </w:r>
    </w:p>
    <w:p w14:paraId="24ABA51B" w14:textId="77777777" w:rsidR="00C16569" w:rsidRPr="00773FD2" w:rsidRDefault="00202EB5">
      <w:pPr>
        <w:rPr>
          <w:lang w:val="pt-BR"/>
        </w:rPr>
      </w:pPr>
      <w:r w:rsidRPr="00773FD2">
        <w:rPr>
          <w:color w:val="000000"/>
          <w:lang w:val="pt-BR"/>
        </w:rPr>
        <w:t>O pré-processamento dos dados contemplará a verificação de valores ausentes, a remoção ou tratamento de outliers, a normalização das variáveis quando necessário, a criação de atributos derivados e a separação da base em conjuntos de treinamento e teste. Essa etapa é fundamental para reduzir distorções nos modelos e permitir uma avaliação mais consistente dos resultados obtidos (PEDREGOSA et al., 2011).</w:t>
      </w:r>
    </w:p>
    <w:p w14:paraId="67E9BCA5" w14:textId="77777777" w:rsidR="00C16569" w:rsidRPr="00773FD2" w:rsidRDefault="00202EB5">
      <w:pPr>
        <w:rPr>
          <w:lang w:val="pt-BR"/>
        </w:rPr>
      </w:pPr>
      <w:r w:rsidRPr="00773FD2">
        <w:rPr>
          <w:color w:val="000000"/>
          <w:lang w:val="pt-BR"/>
        </w:rPr>
        <w:t xml:space="preserve">Na etapa de modelagem, serão avaliados modelos de regressão para estimativa do SOH e modelos de classificação para identificação da condição </w:t>
      </w:r>
      <w:r w:rsidRPr="00773FD2">
        <w:rPr>
          <w:color w:val="000000"/>
          <w:lang w:val="pt-BR"/>
        </w:rPr>
        <w:lastRenderedPageBreak/>
        <w:t xml:space="preserve">operacional da bateria. Como referência inicial, propõe-se a comparação entre Regressão Linear, Random Forest </w:t>
      </w:r>
      <w:proofErr w:type="spellStart"/>
      <w:r w:rsidRPr="00773FD2">
        <w:rPr>
          <w:color w:val="000000"/>
          <w:lang w:val="pt-BR"/>
        </w:rPr>
        <w:t>Regressor</w:t>
      </w:r>
      <w:proofErr w:type="spellEnd"/>
      <w:r w:rsidRPr="00773FD2">
        <w:rPr>
          <w:color w:val="000000"/>
          <w:lang w:val="pt-BR"/>
        </w:rPr>
        <w:t xml:space="preserve"> e, caso aplicável, </w:t>
      </w:r>
      <w:proofErr w:type="spellStart"/>
      <w:r w:rsidRPr="00773FD2">
        <w:rPr>
          <w:color w:val="000000"/>
          <w:lang w:val="pt-BR"/>
        </w:rPr>
        <w:t>XGBoost</w:t>
      </w:r>
      <w:proofErr w:type="spellEnd"/>
      <w:r w:rsidRPr="00773FD2">
        <w:rPr>
          <w:color w:val="000000"/>
          <w:lang w:val="pt-BR"/>
        </w:rPr>
        <w:t xml:space="preserve"> </w:t>
      </w:r>
      <w:proofErr w:type="spellStart"/>
      <w:r w:rsidRPr="00773FD2">
        <w:rPr>
          <w:color w:val="000000"/>
          <w:lang w:val="pt-BR"/>
        </w:rPr>
        <w:t>Regressor</w:t>
      </w:r>
      <w:proofErr w:type="spellEnd"/>
      <w:r w:rsidRPr="00773FD2">
        <w:rPr>
          <w:color w:val="000000"/>
          <w:lang w:val="pt-BR"/>
        </w:rPr>
        <w:t>, além de um classificador baseado em Random Forest para indicar classes como saudável, atenção e fim de vida útil (BREIMAN, 2001; CHEN; GUESTRIN, 2016).</w:t>
      </w:r>
    </w:p>
    <w:p w14:paraId="0CF6FCDB" w14:textId="77777777" w:rsidR="00C16569" w:rsidRPr="00773FD2" w:rsidRDefault="00202EB5">
      <w:pPr>
        <w:rPr>
          <w:lang w:val="pt-BR"/>
        </w:rPr>
      </w:pPr>
      <w:r w:rsidRPr="00773FD2">
        <w:rPr>
          <w:color w:val="000000"/>
          <w:lang w:val="pt-BR"/>
        </w:rPr>
        <w:br w:type="page"/>
      </w:r>
    </w:p>
    <w:p w14:paraId="7A4F1B25" w14:textId="77777777" w:rsidR="00C16569" w:rsidRPr="00773FD2" w:rsidRDefault="00202EB5">
      <w:pPr>
        <w:pStyle w:val="LegendaTCC"/>
        <w:rPr>
          <w:lang w:val="pt-BR"/>
        </w:rPr>
      </w:pPr>
      <w:r w:rsidRPr="00773FD2">
        <w:rPr>
          <w:color w:val="000000"/>
          <w:lang w:val="pt-BR"/>
        </w:rPr>
        <w:lastRenderedPageBreak/>
        <w:t>Tabela 1 - Métricas previstas para avaliação dos modelos</w:t>
      </w:r>
    </w:p>
    <w:tbl>
      <w:tblPr>
        <w:tblW w:w="0" w:type="auto"/>
        <w:jc w:val="center"/>
        <w:tblLook w:val="04A0" w:firstRow="1" w:lastRow="0" w:firstColumn="1" w:lastColumn="0" w:noHBand="0" w:noVBand="1"/>
      </w:tblPr>
      <w:tblGrid>
        <w:gridCol w:w="2267"/>
        <w:gridCol w:w="2265"/>
        <w:gridCol w:w="2265"/>
        <w:gridCol w:w="2265"/>
      </w:tblGrid>
      <w:tr w:rsidR="00C16569" w14:paraId="3768EEE9"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9D9D9"/>
          </w:tcPr>
          <w:p w14:paraId="47D1667B" w14:textId="77777777" w:rsidR="00C16569" w:rsidRDefault="00202EB5">
            <w:pPr>
              <w:jc w:val="center"/>
            </w:pPr>
            <w:r>
              <w:rPr>
                <w:b/>
                <w:sz w:val="20"/>
              </w:rPr>
              <w:t xml:space="preserve">Tipo de </w:t>
            </w:r>
            <w:proofErr w:type="spellStart"/>
            <w:r>
              <w:rPr>
                <w:b/>
                <w:sz w:val="20"/>
              </w:rPr>
              <w:t>tarefa</w:t>
            </w:r>
            <w:proofErr w:type="spellEnd"/>
          </w:p>
        </w:tc>
        <w:tc>
          <w:tcPr>
            <w:tcW w:w="2268" w:type="dxa"/>
            <w:tcBorders>
              <w:top w:val="single" w:sz="4" w:space="0" w:color="000000"/>
              <w:left w:val="single" w:sz="4" w:space="0" w:color="000000"/>
              <w:bottom w:val="single" w:sz="4" w:space="0" w:color="000000"/>
              <w:right w:val="single" w:sz="4" w:space="0" w:color="000000"/>
            </w:tcBorders>
            <w:shd w:val="clear" w:color="auto" w:fill="D9D9D9"/>
          </w:tcPr>
          <w:p w14:paraId="47556941" w14:textId="77777777" w:rsidR="00C16569" w:rsidRDefault="00202EB5">
            <w:pPr>
              <w:jc w:val="center"/>
            </w:pPr>
            <w:r>
              <w:rPr>
                <w:b/>
                <w:sz w:val="20"/>
              </w:rPr>
              <w:t>Métrica</w:t>
            </w:r>
          </w:p>
        </w:tc>
        <w:tc>
          <w:tcPr>
            <w:tcW w:w="2268" w:type="dxa"/>
            <w:tcBorders>
              <w:top w:val="single" w:sz="4" w:space="0" w:color="000000"/>
              <w:left w:val="single" w:sz="4" w:space="0" w:color="000000"/>
              <w:bottom w:val="single" w:sz="4" w:space="0" w:color="000000"/>
              <w:right w:val="single" w:sz="4" w:space="0" w:color="000000"/>
            </w:tcBorders>
            <w:shd w:val="clear" w:color="auto" w:fill="D9D9D9"/>
          </w:tcPr>
          <w:p w14:paraId="32B3C405" w14:textId="77777777" w:rsidR="00C16569" w:rsidRDefault="00202EB5">
            <w:pPr>
              <w:jc w:val="center"/>
            </w:pPr>
            <w:r>
              <w:rPr>
                <w:b/>
                <w:sz w:val="20"/>
              </w:rPr>
              <w:t>Finalidade</w:t>
            </w:r>
          </w:p>
        </w:tc>
        <w:tc>
          <w:tcPr>
            <w:tcW w:w="2268" w:type="dxa"/>
            <w:tcBorders>
              <w:top w:val="single" w:sz="4" w:space="0" w:color="000000"/>
              <w:left w:val="single" w:sz="4" w:space="0" w:color="000000"/>
              <w:bottom w:val="single" w:sz="4" w:space="0" w:color="000000"/>
              <w:right w:val="single" w:sz="4" w:space="0" w:color="000000"/>
            </w:tcBorders>
            <w:shd w:val="clear" w:color="auto" w:fill="D9D9D9"/>
          </w:tcPr>
          <w:p w14:paraId="3573D2C0" w14:textId="77777777" w:rsidR="00C16569" w:rsidRDefault="00202EB5">
            <w:pPr>
              <w:jc w:val="center"/>
            </w:pPr>
            <w:r>
              <w:rPr>
                <w:b/>
                <w:sz w:val="20"/>
              </w:rPr>
              <w:t>Referência de apoio</w:t>
            </w:r>
          </w:p>
        </w:tc>
      </w:tr>
      <w:tr w:rsidR="00C16569" w14:paraId="6505A827"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4FA22E58" w14:textId="77777777" w:rsidR="00C16569" w:rsidRDefault="00202EB5">
            <w:pPr>
              <w:spacing w:after="0" w:line="240" w:lineRule="auto"/>
              <w:jc w:val="left"/>
            </w:pPr>
            <w:r>
              <w:rPr>
                <w:sz w:val="20"/>
              </w:rPr>
              <w:t>Regressão</w:t>
            </w:r>
          </w:p>
        </w:tc>
        <w:tc>
          <w:tcPr>
            <w:tcW w:w="2268" w:type="dxa"/>
            <w:tcBorders>
              <w:top w:val="single" w:sz="4" w:space="0" w:color="000000"/>
              <w:left w:val="single" w:sz="4" w:space="0" w:color="000000"/>
              <w:bottom w:val="single" w:sz="4" w:space="0" w:color="000000"/>
              <w:right w:val="single" w:sz="4" w:space="0" w:color="000000"/>
            </w:tcBorders>
          </w:tcPr>
          <w:p w14:paraId="1BD8CDAC" w14:textId="77777777" w:rsidR="00C16569" w:rsidRDefault="00202EB5">
            <w:pPr>
              <w:spacing w:after="0" w:line="240" w:lineRule="auto"/>
              <w:jc w:val="center"/>
            </w:pPr>
            <w:r>
              <w:rPr>
                <w:sz w:val="20"/>
              </w:rPr>
              <w:t>MAE, RMSE e R²</w:t>
            </w:r>
          </w:p>
        </w:tc>
        <w:tc>
          <w:tcPr>
            <w:tcW w:w="2268" w:type="dxa"/>
            <w:tcBorders>
              <w:top w:val="single" w:sz="4" w:space="0" w:color="000000"/>
              <w:left w:val="single" w:sz="4" w:space="0" w:color="000000"/>
              <w:bottom w:val="single" w:sz="4" w:space="0" w:color="000000"/>
              <w:right w:val="single" w:sz="4" w:space="0" w:color="000000"/>
            </w:tcBorders>
          </w:tcPr>
          <w:p w14:paraId="675701F2" w14:textId="77777777" w:rsidR="00C16569" w:rsidRPr="00773FD2" w:rsidRDefault="00202EB5">
            <w:pPr>
              <w:spacing w:after="0" w:line="240" w:lineRule="auto"/>
              <w:jc w:val="left"/>
              <w:rPr>
                <w:lang w:val="pt-BR"/>
              </w:rPr>
            </w:pPr>
            <w:r w:rsidRPr="00773FD2">
              <w:rPr>
                <w:sz w:val="20"/>
                <w:lang w:val="pt-BR"/>
              </w:rPr>
              <w:t>Avaliar o erro de estimativa do SOH</w:t>
            </w:r>
          </w:p>
        </w:tc>
        <w:tc>
          <w:tcPr>
            <w:tcW w:w="2268" w:type="dxa"/>
            <w:tcBorders>
              <w:top w:val="single" w:sz="4" w:space="0" w:color="000000"/>
              <w:left w:val="single" w:sz="4" w:space="0" w:color="000000"/>
              <w:bottom w:val="single" w:sz="4" w:space="0" w:color="000000"/>
              <w:right w:val="single" w:sz="4" w:space="0" w:color="000000"/>
            </w:tcBorders>
          </w:tcPr>
          <w:p w14:paraId="0FF27F2D" w14:textId="77777777" w:rsidR="00C16569" w:rsidRDefault="00202EB5">
            <w:pPr>
              <w:spacing w:after="0" w:line="240" w:lineRule="auto"/>
              <w:jc w:val="left"/>
            </w:pPr>
            <w:r>
              <w:rPr>
                <w:sz w:val="20"/>
              </w:rPr>
              <w:t>Luque et al. (2025)</w:t>
            </w:r>
          </w:p>
        </w:tc>
      </w:tr>
      <w:tr w:rsidR="00C16569" w14:paraId="2E4B1E35"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2510D2F6" w14:textId="77777777" w:rsidR="00C16569" w:rsidRDefault="00202EB5">
            <w:pPr>
              <w:spacing w:after="0" w:line="240" w:lineRule="auto"/>
              <w:jc w:val="left"/>
            </w:pPr>
            <w:r>
              <w:rPr>
                <w:sz w:val="20"/>
              </w:rPr>
              <w:t>Classificação</w:t>
            </w:r>
          </w:p>
        </w:tc>
        <w:tc>
          <w:tcPr>
            <w:tcW w:w="2268" w:type="dxa"/>
            <w:tcBorders>
              <w:top w:val="single" w:sz="4" w:space="0" w:color="000000"/>
              <w:left w:val="single" w:sz="4" w:space="0" w:color="000000"/>
              <w:bottom w:val="single" w:sz="4" w:space="0" w:color="000000"/>
              <w:right w:val="single" w:sz="4" w:space="0" w:color="000000"/>
            </w:tcBorders>
          </w:tcPr>
          <w:p w14:paraId="1179E556" w14:textId="77777777" w:rsidR="00C16569" w:rsidRPr="00773FD2" w:rsidRDefault="00202EB5">
            <w:pPr>
              <w:spacing w:after="0" w:line="240" w:lineRule="auto"/>
              <w:jc w:val="center"/>
              <w:rPr>
                <w:lang w:val="pt-BR"/>
              </w:rPr>
            </w:pPr>
            <w:r w:rsidRPr="00773FD2">
              <w:rPr>
                <w:sz w:val="20"/>
                <w:lang w:val="pt-BR"/>
              </w:rPr>
              <w:t>Acurácia, precisão, recall e F1-score</w:t>
            </w:r>
          </w:p>
        </w:tc>
        <w:tc>
          <w:tcPr>
            <w:tcW w:w="2268" w:type="dxa"/>
            <w:tcBorders>
              <w:top w:val="single" w:sz="4" w:space="0" w:color="000000"/>
              <w:left w:val="single" w:sz="4" w:space="0" w:color="000000"/>
              <w:bottom w:val="single" w:sz="4" w:space="0" w:color="000000"/>
              <w:right w:val="single" w:sz="4" w:space="0" w:color="000000"/>
            </w:tcBorders>
          </w:tcPr>
          <w:p w14:paraId="0C5FD00A" w14:textId="77777777" w:rsidR="00C16569" w:rsidRPr="00773FD2" w:rsidRDefault="00202EB5">
            <w:pPr>
              <w:spacing w:after="0" w:line="240" w:lineRule="auto"/>
              <w:jc w:val="left"/>
              <w:rPr>
                <w:lang w:val="pt-BR"/>
              </w:rPr>
            </w:pPr>
            <w:r w:rsidRPr="00773FD2">
              <w:rPr>
                <w:sz w:val="20"/>
                <w:lang w:val="pt-BR"/>
              </w:rPr>
              <w:t>Avaliar a identificação de condição saudável ou fim de vida</w:t>
            </w:r>
          </w:p>
        </w:tc>
        <w:tc>
          <w:tcPr>
            <w:tcW w:w="2268" w:type="dxa"/>
            <w:tcBorders>
              <w:top w:val="single" w:sz="4" w:space="0" w:color="000000"/>
              <w:left w:val="single" w:sz="4" w:space="0" w:color="000000"/>
              <w:bottom w:val="single" w:sz="4" w:space="0" w:color="000000"/>
              <w:right w:val="single" w:sz="4" w:space="0" w:color="000000"/>
            </w:tcBorders>
          </w:tcPr>
          <w:p w14:paraId="52BCC129" w14:textId="77777777" w:rsidR="00C16569" w:rsidRDefault="00202EB5">
            <w:pPr>
              <w:spacing w:after="0" w:line="240" w:lineRule="auto"/>
              <w:jc w:val="left"/>
            </w:pPr>
            <w:proofErr w:type="spellStart"/>
            <w:r>
              <w:rPr>
                <w:sz w:val="20"/>
              </w:rPr>
              <w:t>Aitio</w:t>
            </w:r>
            <w:proofErr w:type="spellEnd"/>
            <w:r>
              <w:rPr>
                <w:sz w:val="20"/>
              </w:rPr>
              <w:t xml:space="preserve"> e Howey (2021)</w:t>
            </w:r>
          </w:p>
        </w:tc>
      </w:tr>
      <w:tr w:rsidR="00C16569" w14:paraId="4C3951F7"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12D2A8B4" w14:textId="77777777" w:rsidR="00C16569" w:rsidRDefault="00202EB5">
            <w:pPr>
              <w:spacing w:after="0" w:line="240" w:lineRule="auto"/>
              <w:jc w:val="left"/>
            </w:pPr>
            <w:r>
              <w:rPr>
                <w:sz w:val="20"/>
              </w:rPr>
              <w:t>Interpretação</w:t>
            </w:r>
          </w:p>
        </w:tc>
        <w:tc>
          <w:tcPr>
            <w:tcW w:w="2268" w:type="dxa"/>
            <w:tcBorders>
              <w:top w:val="single" w:sz="4" w:space="0" w:color="000000"/>
              <w:left w:val="single" w:sz="4" w:space="0" w:color="000000"/>
              <w:bottom w:val="single" w:sz="4" w:space="0" w:color="000000"/>
              <w:right w:val="single" w:sz="4" w:space="0" w:color="000000"/>
            </w:tcBorders>
          </w:tcPr>
          <w:p w14:paraId="369EC5E0" w14:textId="77777777" w:rsidR="00C16569" w:rsidRDefault="00202EB5">
            <w:pPr>
              <w:spacing w:after="0" w:line="240" w:lineRule="auto"/>
              <w:jc w:val="center"/>
            </w:pPr>
            <w:r>
              <w:rPr>
                <w:sz w:val="20"/>
              </w:rPr>
              <w:t>Importância das variáveis</w:t>
            </w:r>
          </w:p>
        </w:tc>
        <w:tc>
          <w:tcPr>
            <w:tcW w:w="2268" w:type="dxa"/>
            <w:tcBorders>
              <w:top w:val="single" w:sz="4" w:space="0" w:color="000000"/>
              <w:left w:val="single" w:sz="4" w:space="0" w:color="000000"/>
              <w:bottom w:val="single" w:sz="4" w:space="0" w:color="000000"/>
              <w:right w:val="single" w:sz="4" w:space="0" w:color="000000"/>
            </w:tcBorders>
          </w:tcPr>
          <w:p w14:paraId="0419FCF8" w14:textId="77777777" w:rsidR="00C16569" w:rsidRPr="00773FD2" w:rsidRDefault="00202EB5">
            <w:pPr>
              <w:spacing w:after="0" w:line="240" w:lineRule="auto"/>
              <w:jc w:val="left"/>
              <w:rPr>
                <w:lang w:val="pt-BR"/>
              </w:rPr>
            </w:pPr>
            <w:r w:rsidRPr="00773FD2">
              <w:rPr>
                <w:sz w:val="20"/>
                <w:lang w:val="pt-BR"/>
              </w:rPr>
              <w:t>Indicar os fatores mais associados à degradação</w:t>
            </w:r>
          </w:p>
        </w:tc>
        <w:tc>
          <w:tcPr>
            <w:tcW w:w="2268" w:type="dxa"/>
            <w:tcBorders>
              <w:top w:val="single" w:sz="4" w:space="0" w:color="000000"/>
              <w:left w:val="single" w:sz="4" w:space="0" w:color="000000"/>
              <w:bottom w:val="single" w:sz="4" w:space="0" w:color="000000"/>
              <w:right w:val="single" w:sz="4" w:space="0" w:color="000000"/>
            </w:tcBorders>
          </w:tcPr>
          <w:p w14:paraId="740A5A5B" w14:textId="77777777" w:rsidR="00C16569" w:rsidRDefault="00202EB5">
            <w:pPr>
              <w:spacing w:after="0" w:line="240" w:lineRule="auto"/>
              <w:jc w:val="left"/>
            </w:pPr>
            <w:proofErr w:type="spellStart"/>
            <w:r>
              <w:rPr>
                <w:sz w:val="20"/>
              </w:rPr>
              <w:t>Breiman</w:t>
            </w:r>
            <w:proofErr w:type="spellEnd"/>
            <w:r>
              <w:rPr>
                <w:sz w:val="20"/>
              </w:rPr>
              <w:t xml:space="preserve"> (2001)</w:t>
            </w:r>
          </w:p>
        </w:tc>
      </w:tr>
    </w:tbl>
    <w:p w14:paraId="4E0A42C7" w14:textId="77777777" w:rsidR="00C16569" w:rsidRDefault="00202EB5">
      <w:pPr>
        <w:pStyle w:val="LegendaTCC"/>
        <w:spacing w:before="60" w:after="160"/>
      </w:pPr>
      <w:r>
        <w:rPr>
          <w:color w:val="000000"/>
        </w:rPr>
        <w:t>Fonte: Produzido pelos autores.</w:t>
      </w:r>
    </w:p>
    <w:p w14:paraId="7AB0A228" w14:textId="77777777" w:rsidR="00C16569" w:rsidRPr="00773FD2" w:rsidRDefault="00202EB5">
      <w:pPr>
        <w:rPr>
          <w:lang w:val="pt-BR"/>
        </w:rPr>
      </w:pPr>
      <w:r w:rsidRPr="00773FD2">
        <w:rPr>
          <w:color w:val="000000"/>
          <w:lang w:val="pt-BR"/>
        </w:rPr>
        <w:t>A implementação será realizada em linguagem Python, com uso de bibliotecas para manipulação de dados, treinamento dos modelos e geração de gráficos. O código deverá produzir saídas visuais adequadas para inclusão no artigo, tais como distribuição do SOH, evolução da degradação ao longo dos ciclos, matriz de correlação, comparação entre valores reais e previstos, curva de erro, importância das variáveis e matriz de confusão (PEDREGOSA et al., 2011).</w:t>
      </w:r>
    </w:p>
    <w:p w14:paraId="6549DEE0" w14:textId="77777777" w:rsidR="00C16569" w:rsidRPr="00773FD2" w:rsidRDefault="00202EB5">
      <w:pPr>
        <w:pStyle w:val="LegendaTCC"/>
        <w:rPr>
          <w:lang w:val="pt-BR"/>
        </w:rPr>
      </w:pPr>
      <w:r w:rsidRPr="00773FD2">
        <w:rPr>
          <w:color w:val="000000"/>
          <w:lang w:val="pt-BR"/>
        </w:rPr>
        <w:t>Figura 1 - Fluxo metodológico previsto para o desenvolvimento do modelo preditivo</w:t>
      </w:r>
    </w:p>
    <w:tbl>
      <w:tblPr>
        <w:tblW w:w="0" w:type="auto"/>
        <w:jc w:val="center"/>
        <w:tblLook w:val="04A0" w:firstRow="1" w:lastRow="0" w:firstColumn="1" w:lastColumn="0" w:noHBand="0" w:noVBand="1"/>
      </w:tblPr>
      <w:tblGrid>
        <w:gridCol w:w="7937"/>
      </w:tblGrid>
      <w:tr w:rsidR="00C16569" w:rsidRPr="007C1791" w14:paraId="2EDF81EB" w14:textId="77777777">
        <w:trPr>
          <w:jc w:val="center"/>
        </w:trPr>
        <w:tc>
          <w:tcPr>
            <w:tcW w:w="7937" w:type="dxa"/>
            <w:tcBorders>
              <w:top w:val="single" w:sz="8" w:space="0" w:color="808080"/>
              <w:left w:val="single" w:sz="8" w:space="0" w:color="808080"/>
              <w:bottom w:val="single" w:sz="8" w:space="0" w:color="808080"/>
              <w:right w:val="single" w:sz="8" w:space="0" w:color="808080"/>
            </w:tcBorders>
            <w:vAlign w:val="center"/>
          </w:tcPr>
          <w:p w14:paraId="5DF82B70" w14:textId="77777777" w:rsidR="00C16569" w:rsidRPr="00773FD2" w:rsidRDefault="00202EB5">
            <w:pPr>
              <w:jc w:val="center"/>
              <w:rPr>
                <w:lang w:val="pt-BR"/>
              </w:rPr>
            </w:pPr>
            <w:r w:rsidRPr="00773FD2">
              <w:rPr>
                <w:i/>
                <w:sz w:val="20"/>
                <w:lang w:val="pt-BR"/>
              </w:rPr>
              <w:t>[Espaço reservado para figura/gráfico gerado pelo código Python]</w:t>
            </w:r>
          </w:p>
          <w:p w14:paraId="14A74F64" w14:textId="77777777" w:rsidR="00C16569" w:rsidRPr="00773FD2" w:rsidRDefault="00C16569">
            <w:pPr>
              <w:rPr>
                <w:lang w:val="pt-BR"/>
              </w:rPr>
            </w:pPr>
          </w:p>
          <w:p w14:paraId="719D71C9" w14:textId="77777777" w:rsidR="00C16569" w:rsidRPr="00773FD2" w:rsidRDefault="00C16569">
            <w:pPr>
              <w:rPr>
                <w:lang w:val="pt-BR"/>
              </w:rPr>
            </w:pPr>
          </w:p>
          <w:p w14:paraId="402330A5" w14:textId="77777777" w:rsidR="00C16569" w:rsidRPr="00773FD2" w:rsidRDefault="00C16569">
            <w:pPr>
              <w:rPr>
                <w:lang w:val="pt-BR"/>
              </w:rPr>
            </w:pPr>
          </w:p>
          <w:p w14:paraId="210DF0E7" w14:textId="77777777" w:rsidR="00C16569" w:rsidRPr="00773FD2" w:rsidRDefault="00C16569">
            <w:pPr>
              <w:rPr>
                <w:lang w:val="pt-BR"/>
              </w:rPr>
            </w:pPr>
          </w:p>
        </w:tc>
      </w:tr>
    </w:tbl>
    <w:p w14:paraId="4F87F075" w14:textId="77777777" w:rsidR="00C16569" w:rsidRPr="00773FD2" w:rsidRDefault="00202EB5">
      <w:pPr>
        <w:pStyle w:val="LegendaTCC"/>
        <w:spacing w:before="60" w:after="120"/>
        <w:rPr>
          <w:lang w:val="pt-BR"/>
        </w:rPr>
      </w:pPr>
      <w:r w:rsidRPr="00773FD2">
        <w:rPr>
          <w:color w:val="000000"/>
          <w:lang w:val="pt-BR"/>
        </w:rPr>
        <w:t>Fonte: Produzido pelos autores.</w:t>
      </w:r>
    </w:p>
    <w:p w14:paraId="2D209B69" w14:textId="77777777" w:rsidR="00C16569" w:rsidRPr="00773FD2" w:rsidRDefault="00202EB5">
      <w:pPr>
        <w:pStyle w:val="Ttulo1"/>
        <w:rPr>
          <w:lang w:val="pt-BR"/>
        </w:rPr>
      </w:pPr>
      <w:r w:rsidRPr="00773FD2">
        <w:rPr>
          <w:rFonts w:ascii="Arial" w:eastAsia="Arial" w:hAnsi="Arial"/>
          <w:lang w:val="pt-BR"/>
        </w:rPr>
        <w:t>RESULTADOS E DISCUSSÃO</w:t>
      </w:r>
    </w:p>
    <w:p w14:paraId="56F6DBFE" w14:textId="77777777" w:rsidR="00C16569" w:rsidRPr="00773FD2" w:rsidRDefault="00202EB5">
      <w:pPr>
        <w:rPr>
          <w:lang w:val="pt-BR"/>
        </w:rPr>
      </w:pPr>
      <w:r w:rsidRPr="00773FD2">
        <w:rPr>
          <w:color w:val="000000"/>
          <w:lang w:val="pt-BR"/>
        </w:rPr>
        <w:t>A seção de resultados deverá apresentar inicialmente a análise exploratória dos dados, com a descrição das variáveis utilizadas e a identificação de padrões relacionados à degradação da bateria. Espera-se observar a redução gradual do SOH ao longo dos ciclos de operação, bem como a influência de variáveis como temperatura, resistência interna e profundidade de descarga sobre a perda de desempenho (AITIO; HOWEY, 2021; LUQUE et al., 2025).</w:t>
      </w:r>
    </w:p>
    <w:p w14:paraId="576278BD" w14:textId="77777777" w:rsidR="00C16569" w:rsidRPr="00773FD2" w:rsidRDefault="00202EB5">
      <w:pPr>
        <w:rPr>
          <w:lang w:val="pt-BR"/>
        </w:rPr>
      </w:pPr>
      <w:r w:rsidRPr="00773FD2">
        <w:rPr>
          <w:color w:val="000000"/>
          <w:lang w:val="pt-BR"/>
        </w:rPr>
        <w:t xml:space="preserve">Na avaliação dos modelos de regressão, os resultados deverão ser discutidos a partir das métricas MAE, RMSE e R², permitindo comparar a proximidade entre o </w:t>
      </w:r>
      <w:r w:rsidRPr="00773FD2">
        <w:rPr>
          <w:color w:val="000000"/>
          <w:lang w:val="pt-BR"/>
        </w:rPr>
        <w:lastRenderedPageBreak/>
        <w:t>SOH previsto e o SOH de referência. O modelo com menor erro e maior capacidade de generalização deverá ser analisado de forma crítica, considerando não apenas o desempenho numérico, mas também sua aplicabilidade prática em um cenário de manutenção preditiva (PEDREGOSA et al., 2011; LUQUE et al., 2025).</w:t>
      </w:r>
    </w:p>
    <w:p w14:paraId="77BEBFDA" w14:textId="77777777" w:rsidR="00C16569" w:rsidRPr="00773FD2" w:rsidRDefault="00202EB5">
      <w:pPr>
        <w:rPr>
          <w:lang w:val="pt-BR"/>
        </w:rPr>
      </w:pPr>
      <w:r w:rsidRPr="00773FD2">
        <w:rPr>
          <w:color w:val="000000"/>
          <w:lang w:val="pt-BR"/>
        </w:rPr>
        <w:t>Na avaliação dos modelos de classificação, deverão ser apresentadas métricas como acurácia, precisão, recall e F1-score, além da matriz de confusão. Essa análise permitirá verificar se o modelo é capaz de distinguir adequadamente baterias saudáveis daquelas em condição de atenção ou próximas ao fim de vida útil, aspecto essencial para reduzir atrasos na identificação de falhas (AITIO; HOWEY, 2021).</w:t>
      </w:r>
    </w:p>
    <w:p w14:paraId="6BD2FC30" w14:textId="77777777" w:rsidR="00C16569" w:rsidRPr="00773FD2" w:rsidRDefault="00202EB5">
      <w:pPr>
        <w:pStyle w:val="LegendaTCC"/>
        <w:rPr>
          <w:lang w:val="pt-BR"/>
        </w:rPr>
      </w:pPr>
      <w:r w:rsidRPr="00773FD2">
        <w:rPr>
          <w:color w:val="000000"/>
          <w:lang w:val="pt-BR"/>
        </w:rPr>
        <w:t>Gráfico 1 - Comparação entre SOH real e SOH previsto pelo modelo</w:t>
      </w:r>
    </w:p>
    <w:tbl>
      <w:tblPr>
        <w:tblW w:w="0" w:type="auto"/>
        <w:jc w:val="center"/>
        <w:tblLook w:val="04A0" w:firstRow="1" w:lastRow="0" w:firstColumn="1" w:lastColumn="0" w:noHBand="0" w:noVBand="1"/>
      </w:tblPr>
      <w:tblGrid>
        <w:gridCol w:w="7937"/>
      </w:tblGrid>
      <w:tr w:rsidR="00C16569" w:rsidRPr="007C1791" w14:paraId="240EC20B" w14:textId="77777777">
        <w:trPr>
          <w:jc w:val="center"/>
        </w:trPr>
        <w:tc>
          <w:tcPr>
            <w:tcW w:w="7937" w:type="dxa"/>
            <w:tcBorders>
              <w:top w:val="single" w:sz="8" w:space="0" w:color="808080"/>
              <w:left w:val="single" w:sz="8" w:space="0" w:color="808080"/>
              <w:bottom w:val="single" w:sz="8" w:space="0" w:color="808080"/>
              <w:right w:val="single" w:sz="8" w:space="0" w:color="808080"/>
            </w:tcBorders>
            <w:vAlign w:val="center"/>
          </w:tcPr>
          <w:p w14:paraId="1821B028" w14:textId="77777777" w:rsidR="00C16569" w:rsidRPr="00773FD2" w:rsidRDefault="00202EB5">
            <w:pPr>
              <w:jc w:val="center"/>
              <w:rPr>
                <w:lang w:val="pt-BR"/>
              </w:rPr>
            </w:pPr>
            <w:r w:rsidRPr="00773FD2">
              <w:rPr>
                <w:i/>
                <w:sz w:val="20"/>
                <w:lang w:val="pt-BR"/>
              </w:rPr>
              <w:t>[Espaço reservado para figura/gráfico gerado pelo código Python]</w:t>
            </w:r>
          </w:p>
          <w:p w14:paraId="5F6FA59A" w14:textId="77777777" w:rsidR="00C16569" w:rsidRPr="00773FD2" w:rsidRDefault="00C16569">
            <w:pPr>
              <w:rPr>
                <w:lang w:val="pt-BR"/>
              </w:rPr>
            </w:pPr>
          </w:p>
          <w:p w14:paraId="5930F231" w14:textId="77777777" w:rsidR="00C16569" w:rsidRPr="00773FD2" w:rsidRDefault="00C16569">
            <w:pPr>
              <w:rPr>
                <w:lang w:val="pt-BR"/>
              </w:rPr>
            </w:pPr>
          </w:p>
          <w:p w14:paraId="45C81532" w14:textId="77777777" w:rsidR="00C16569" w:rsidRPr="00773FD2" w:rsidRDefault="00C16569">
            <w:pPr>
              <w:rPr>
                <w:lang w:val="pt-BR"/>
              </w:rPr>
            </w:pPr>
          </w:p>
          <w:p w14:paraId="27E1FF60" w14:textId="77777777" w:rsidR="00C16569" w:rsidRPr="00773FD2" w:rsidRDefault="00C16569">
            <w:pPr>
              <w:rPr>
                <w:lang w:val="pt-BR"/>
              </w:rPr>
            </w:pPr>
          </w:p>
        </w:tc>
      </w:tr>
    </w:tbl>
    <w:p w14:paraId="6536F45D" w14:textId="77777777" w:rsidR="00C16569" w:rsidRPr="00773FD2" w:rsidRDefault="00202EB5">
      <w:pPr>
        <w:pStyle w:val="LegendaTCC"/>
        <w:spacing w:before="60" w:after="120"/>
        <w:rPr>
          <w:lang w:val="pt-BR"/>
        </w:rPr>
      </w:pPr>
      <w:r w:rsidRPr="00773FD2">
        <w:rPr>
          <w:color w:val="000000"/>
          <w:lang w:val="pt-BR"/>
        </w:rPr>
        <w:t>Fonte: Produzido pelos autores.</w:t>
      </w:r>
    </w:p>
    <w:p w14:paraId="084981DC" w14:textId="77777777" w:rsidR="00C16569" w:rsidRPr="00773FD2" w:rsidRDefault="00202EB5">
      <w:pPr>
        <w:pStyle w:val="LegendaTCC"/>
        <w:rPr>
          <w:lang w:val="pt-BR"/>
        </w:rPr>
      </w:pPr>
      <w:r w:rsidRPr="00773FD2">
        <w:rPr>
          <w:color w:val="000000"/>
          <w:lang w:val="pt-BR"/>
        </w:rPr>
        <w:t>Figura 2 - Matriz de confusão prevista para a classificação da condição da bateria</w:t>
      </w:r>
    </w:p>
    <w:tbl>
      <w:tblPr>
        <w:tblW w:w="0" w:type="auto"/>
        <w:jc w:val="center"/>
        <w:tblLook w:val="04A0" w:firstRow="1" w:lastRow="0" w:firstColumn="1" w:lastColumn="0" w:noHBand="0" w:noVBand="1"/>
      </w:tblPr>
      <w:tblGrid>
        <w:gridCol w:w="7937"/>
      </w:tblGrid>
      <w:tr w:rsidR="00C16569" w:rsidRPr="007C1791" w14:paraId="68136692" w14:textId="77777777">
        <w:trPr>
          <w:jc w:val="center"/>
        </w:trPr>
        <w:tc>
          <w:tcPr>
            <w:tcW w:w="7937" w:type="dxa"/>
            <w:tcBorders>
              <w:top w:val="single" w:sz="8" w:space="0" w:color="808080"/>
              <w:left w:val="single" w:sz="8" w:space="0" w:color="808080"/>
              <w:bottom w:val="single" w:sz="8" w:space="0" w:color="808080"/>
              <w:right w:val="single" w:sz="8" w:space="0" w:color="808080"/>
            </w:tcBorders>
            <w:vAlign w:val="center"/>
          </w:tcPr>
          <w:p w14:paraId="070781E2" w14:textId="77777777" w:rsidR="00C16569" w:rsidRPr="00773FD2" w:rsidRDefault="00202EB5">
            <w:pPr>
              <w:jc w:val="center"/>
              <w:rPr>
                <w:lang w:val="pt-BR"/>
              </w:rPr>
            </w:pPr>
            <w:r w:rsidRPr="00773FD2">
              <w:rPr>
                <w:i/>
                <w:sz w:val="20"/>
                <w:lang w:val="pt-BR"/>
              </w:rPr>
              <w:t>[Espaço reservado para figura/gráfico gerado pelo código Python]</w:t>
            </w:r>
          </w:p>
          <w:p w14:paraId="460E6DFA" w14:textId="77777777" w:rsidR="00C16569" w:rsidRPr="00773FD2" w:rsidRDefault="00C16569">
            <w:pPr>
              <w:rPr>
                <w:lang w:val="pt-BR"/>
              </w:rPr>
            </w:pPr>
          </w:p>
          <w:p w14:paraId="329DF679" w14:textId="77777777" w:rsidR="00C16569" w:rsidRPr="00773FD2" w:rsidRDefault="00C16569">
            <w:pPr>
              <w:rPr>
                <w:lang w:val="pt-BR"/>
              </w:rPr>
            </w:pPr>
          </w:p>
          <w:p w14:paraId="710553F3" w14:textId="77777777" w:rsidR="00C16569" w:rsidRPr="00773FD2" w:rsidRDefault="00C16569">
            <w:pPr>
              <w:rPr>
                <w:lang w:val="pt-BR"/>
              </w:rPr>
            </w:pPr>
          </w:p>
          <w:p w14:paraId="747282DE" w14:textId="77777777" w:rsidR="00C16569" w:rsidRPr="00773FD2" w:rsidRDefault="00C16569">
            <w:pPr>
              <w:rPr>
                <w:lang w:val="pt-BR"/>
              </w:rPr>
            </w:pPr>
          </w:p>
        </w:tc>
      </w:tr>
    </w:tbl>
    <w:p w14:paraId="4B52ECD8" w14:textId="77777777" w:rsidR="00C16569" w:rsidRPr="00773FD2" w:rsidRDefault="00202EB5">
      <w:pPr>
        <w:pStyle w:val="LegendaTCC"/>
        <w:spacing w:before="60" w:after="120"/>
        <w:rPr>
          <w:lang w:val="pt-BR"/>
        </w:rPr>
      </w:pPr>
      <w:r w:rsidRPr="00773FD2">
        <w:rPr>
          <w:color w:val="000000"/>
          <w:lang w:val="pt-BR"/>
        </w:rPr>
        <w:t>Fonte: Produzido pelos autores.</w:t>
      </w:r>
    </w:p>
    <w:p w14:paraId="4754F355" w14:textId="77777777" w:rsidR="00C16569" w:rsidRPr="00773FD2" w:rsidRDefault="00202EB5">
      <w:pPr>
        <w:rPr>
          <w:lang w:val="pt-BR"/>
        </w:rPr>
      </w:pPr>
      <w:r w:rsidRPr="00773FD2">
        <w:rPr>
          <w:color w:val="000000"/>
          <w:lang w:val="pt-BR"/>
        </w:rPr>
        <w:t>A discussão dos resultados deverá relacionar o desempenho obtido com os trabalhos correlatos, destacando semelhanças e limitações metodológicas. Em especial, deverá ser considerada a diferença entre aplicações com dados reais de campo e abordagens baseadas em simulação, uma vez que sistemas em operação real apresentam falhas de medição, lacunas temporais e variações ambientais que dificultam a estimativa precisa da saúde da bateria (AITIO; HOWEY, 2021; LUQUE et al., 2025).</w:t>
      </w:r>
    </w:p>
    <w:p w14:paraId="2107EE0E" w14:textId="77777777" w:rsidR="00C16569" w:rsidRPr="00773FD2" w:rsidRDefault="00202EB5">
      <w:pPr>
        <w:pStyle w:val="Ttulo1"/>
        <w:rPr>
          <w:lang w:val="pt-BR"/>
        </w:rPr>
      </w:pPr>
      <w:r w:rsidRPr="00773FD2">
        <w:rPr>
          <w:rFonts w:ascii="Arial" w:eastAsia="Arial" w:hAnsi="Arial"/>
          <w:lang w:val="pt-BR"/>
        </w:rPr>
        <w:lastRenderedPageBreak/>
        <w:t>CONSIDERAÇÕES FINAIS</w:t>
      </w:r>
    </w:p>
    <w:p w14:paraId="48445153" w14:textId="77777777" w:rsidR="00C16569" w:rsidRPr="00773FD2" w:rsidRDefault="00202EB5">
      <w:pPr>
        <w:rPr>
          <w:lang w:val="pt-BR"/>
        </w:rPr>
      </w:pPr>
      <w:r w:rsidRPr="00773FD2">
        <w:rPr>
          <w:color w:val="000000"/>
          <w:lang w:val="pt-BR"/>
        </w:rPr>
        <w:t>Este trabalho propõe o desenvolvimento de um modelo preditivo para estimar o estado de saúde e o fim da vida útil de baterias em sistemas fotovoltaicos, buscando contribuir para a adoção de práticas de manutenção preditiva. A abordagem permite relacionar variáveis operacionais da bateria com indicadores de degradação, favorecendo uma tomada de decisão mais fundamentada sobre manutenção, substituição e operação do sistema (AITIO; HOWEY, 2021; LUQUE et al., 2025).</w:t>
      </w:r>
    </w:p>
    <w:p w14:paraId="7FF0A681" w14:textId="77777777" w:rsidR="00C16569" w:rsidRPr="00773FD2" w:rsidRDefault="00202EB5">
      <w:pPr>
        <w:rPr>
          <w:lang w:val="pt-BR"/>
        </w:rPr>
      </w:pPr>
      <w:r w:rsidRPr="00773FD2">
        <w:rPr>
          <w:color w:val="000000"/>
          <w:lang w:val="pt-BR"/>
        </w:rPr>
        <w:t>Como limitação inicial, destaca-se a dependência da qualidade da base de dados utilizada, uma vez que modelos supervisionados exigem registros consistentes e representativos para alcançar desempenho adequado. Além disso, dados simulados podem não representar integralmente as condições de operação encontradas em sistemas reais, motivo pelo qual a validação futura com dados de campo é recomendada (AITIO; HOWEY, 2021; PEDREGOSA et al., 2011).</w:t>
      </w:r>
    </w:p>
    <w:p w14:paraId="4E309C65" w14:textId="77777777" w:rsidR="00C16569" w:rsidRPr="00773FD2" w:rsidRDefault="00202EB5">
      <w:pPr>
        <w:rPr>
          <w:lang w:val="pt-BR"/>
        </w:rPr>
      </w:pPr>
      <w:r w:rsidRPr="00773FD2">
        <w:rPr>
          <w:color w:val="000000"/>
          <w:lang w:val="pt-BR"/>
        </w:rPr>
        <w:t>Para trabalhos futuros, recomenda-se a integração do modelo com sistemas de monitoramento em tempo real, a avaliação de arquiteturas de aprendizado profundo para séries temporais e o desenvolvimento de dashboards voltados ao acompanhamento contínuo do SOH e da probabilidade de fim de vida útil. Essas melhorias podem aproximar a proposta de uma aplicação operacional em sistemas fotovoltaicos residenciais, comerciais ou isolados (SILVA, 2018; LUQUE et al., 2025).</w:t>
      </w:r>
    </w:p>
    <w:p w14:paraId="39ECC082" w14:textId="77777777" w:rsidR="00C16569" w:rsidRDefault="00202EB5">
      <w:pPr>
        <w:pStyle w:val="Ttulo1"/>
      </w:pPr>
      <w:r>
        <w:rPr>
          <w:rFonts w:ascii="Arial" w:eastAsia="Arial" w:hAnsi="Arial"/>
        </w:rPr>
        <w:t>REFERÊNCIAS</w:t>
      </w:r>
    </w:p>
    <w:p w14:paraId="4AA211B2" w14:textId="77777777" w:rsidR="00C16569" w:rsidRDefault="00202EB5">
      <w:pPr>
        <w:pStyle w:val="ReferenciaTCC"/>
      </w:pPr>
      <w:r>
        <w:rPr>
          <w:color w:val="000000"/>
        </w:rPr>
        <w:t>AITIO, Antti; HOWEY, David A. Predicting battery end of life from solar off-grid system field data using machine learning. Joule, v. 5, p. 3204-3220, 2021.</w:t>
      </w:r>
    </w:p>
    <w:p w14:paraId="468DA4AB" w14:textId="77777777" w:rsidR="00C16569" w:rsidRDefault="00202EB5">
      <w:pPr>
        <w:pStyle w:val="ReferenciaTCC"/>
      </w:pPr>
      <w:r>
        <w:rPr>
          <w:color w:val="000000"/>
        </w:rPr>
        <w:t>BREIMAN, Leo. Random forests. Machine Learning, v. 45, p. 5-32, 2001.</w:t>
      </w:r>
    </w:p>
    <w:p w14:paraId="42F30724" w14:textId="77777777" w:rsidR="00C16569" w:rsidRDefault="00202EB5">
      <w:pPr>
        <w:pStyle w:val="ReferenciaTCC"/>
      </w:pPr>
      <w:r>
        <w:rPr>
          <w:color w:val="000000"/>
        </w:rPr>
        <w:t>CHEN, Tianqi; GUESTRIN, Carlos. XGBoost: a scalable tree boosting system. In: Proceedings of the 22nd ACM SIGKDD International Conference on Knowledge Discovery and Data Mining. San Francisco: ACM, 2016.</w:t>
      </w:r>
    </w:p>
    <w:p w14:paraId="0065D3D0" w14:textId="77777777" w:rsidR="00C16569" w:rsidRDefault="00202EB5">
      <w:pPr>
        <w:pStyle w:val="ReferenciaTCC"/>
      </w:pPr>
      <w:r>
        <w:rPr>
          <w:color w:val="000000"/>
        </w:rPr>
        <w:t>LUQUE, Joaquin et al. Machine learning estimation of battery state of health in residential photovoltaic systems. Future Batteries, v. 5, 100039, 2025.</w:t>
      </w:r>
    </w:p>
    <w:p w14:paraId="5D7B7CF8" w14:textId="77777777" w:rsidR="00C16569" w:rsidRDefault="00202EB5">
      <w:pPr>
        <w:pStyle w:val="ReferenciaTCC"/>
      </w:pPr>
      <w:r>
        <w:rPr>
          <w:color w:val="000000"/>
        </w:rPr>
        <w:t>PEDREGOSA, Fabian et al. Scikit-learn: machine learning in Python. Journal of Machine Learning Research, v. 12, p. 2825-2830, 2011.</w:t>
      </w:r>
    </w:p>
    <w:p w14:paraId="65762EF4" w14:textId="77777777" w:rsidR="00C16569" w:rsidRDefault="00202EB5">
      <w:pPr>
        <w:pStyle w:val="ReferenciaTCC"/>
      </w:pPr>
      <w:r>
        <w:rPr>
          <w:color w:val="000000"/>
        </w:rPr>
        <w:t>RASMUSSEN, Carl Edward; WILLIAMS, Christopher K. I. Gaussian Processes for Machine Learning. Cambridge: MIT Press, 2006.</w:t>
      </w:r>
    </w:p>
    <w:p w14:paraId="01F42E58" w14:textId="77777777" w:rsidR="00C16569" w:rsidRPr="00773FD2" w:rsidRDefault="00202EB5">
      <w:pPr>
        <w:pStyle w:val="ReferenciaTCC"/>
        <w:rPr>
          <w:lang w:val="pt-BR"/>
        </w:rPr>
      </w:pPr>
      <w:r>
        <w:rPr>
          <w:color w:val="000000"/>
        </w:rPr>
        <w:t xml:space="preserve">SILVA, Ricardo Emanuel Gomes Fernandes da. Artificial intelligence techniques applied for the predictive control of stationary storage. </w:t>
      </w:r>
      <w:r w:rsidRPr="00773FD2">
        <w:rPr>
          <w:color w:val="000000"/>
          <w:lang w:val="pt-BR"/>
        </w:rPr>
        <w:t xml:space="preserve">2018. Dissertação (Mestrado </w:t>
      </w:r>
      <w:r w:rsidRPr="00773FD2">
        <w:rPr>
          <w:color w:val="000000"/>
          <w:lang w:val="pt-BR"/>
        </w:rPr>
        <w:lastRenderedPageBreak/>
        <w:t xml:space="preserve">Integrado em Engenharia Eletrotécnica e de Computadores) - </w:t>
      </w:r>
      <w:proofErr w:type="spellStart"/>
      <w:r w:rsidRPr="00773FD2">
        <w:rPr>
          <w:color w:val="000000"/>
          <w:lang w:val="pt-BR"/>
        </w:rPr>
        <w:t>Faculty</w:t>
      </w:r>
      <w:proofErr w:type="spellEnd"/>
      <w:r w:rsidRPr="00773FD2">
        <w:rPr>
          <w:color w:val="000000"/>
          <w:lang w:val="pt-BR"/>
        </w:rPr>
        <w:t xml:space="preserve"> </w:t>
      </w:r>
      <w:proofErr w:type="spellStart"/>
      <w:r w:rsidRPr="00773FD2">
        <w:rPr>
          <w:color w:val="000000"/>
          <w:lang w:val="pt-BR"/>
        </w:rPr>
        <w:t>of</w:t>
      </w:r>
      <w:proofErr w:type="spellEnd"/>
      <w:r w:rsidRPr="00773FD2">
        <w:rPr>
          <w:color w:val="000000"/>
          <w:lang w:val="pt-BR"/>
        </w:rPr>
        <w:t xml:space="preserve"> </w:t>
      </w:r>
      <w:proofErr w:type="spellStart"/>
      <w:r w:rsidRPr="00773FD2">
        <w:rPr>
          <w:color w:val="000000"/>
          <w:lang w:val="pt-BR"/>
        </w:rPr>
        <w:t>Engineering</w:t>
      </w:r>
      <w:proofErr w:type="spellEnd"/>
      <w:r w:rsidRPr="00773FD2">
        <w:rPr>
          <w:color w:val="000000"/>
          <w:lang w:val="pt-BR"/>
        </w:rPr>
        <w:t xml:space="preserve"> </w:t>
      </w:r>
      <w:proofErr w:type="spellStart"/>
      <w:r w:rsidRPr="00773FD2">
        <w:rPr>
          <w:color w:val="000000"/>
          <w:lang w:val="pt-BR"/>
        </w:rPr>
        <w:t>of</w:t>
      </w:r>
      <w:proofErr w:type="spellEnd"/>
      <w:r w:rsidRPr="00773FD2">
        <w:rPr>
          <w:color w:val="000000"/>
          <w:lang w:val="pt-BR"/>
        </w:rPr>
        <w:t xml:space="preserve"> </w:t>
      </w:r>
      <w:proofErr w:type="spellStart"/>
      <w:r w:rsidRPr="00773FD2">
        <w:rPr>
          <w:color w:val="000000"/>
          <w:lang w:val="pt-BR"/>
        </w:rPr>
        <w:t>the</w:t>
      </w:r>
      <w:proofErr w:type="spellEnd"/>
      <w:r w:rsidRPr="00773FD2">
        <w:rPr>
          <w:color w:val="000000"/>
          <w:lang w:val="pt-BR"/>
        </w:rPr>
        <w:t xml:space="preserve"> </w:t>
      </w:r>
      <w:proofErr w:type="spellStart"/>
      <w:r w:rsidRPr="00773FD2">
        <w:rPr>
          <w:color w:val="000000"/>
          <w:lang w:val="pt-BR"/>
        </w:rPr>
        <w:t>University</w:t>
      </w:r>
      <w:proofErr w:type="spellEnd"/>
      <w:r w:rsidRPr="00773FD2">
        <w:rPr>
          <w:color w:val="000000"/>
          <w:lang w:val="pt-BR"/>
        </w:rPr>
        <w:t xml:space="preserve"> </w:t>
      </w:r>
      <w:proofErr w:type="spellStart"/>
      <w:r w:rsidRPr="00773FD2">
        <w:rPr>
          <w:color w:val="000000"/>
          <w:lang w:val="pt-BR"/>
        </w:rPr>
        <w:t>of</w:t>
      </w:r>
      <w:proofErr w:type="spellEnd"/>
      <w:r w:rsidRPr="00773FD2">
        <w:rPr>
          <w:color w:val="000000"/>
          <w:lang w:val="pt-BR"/>
        </w:rPr>
        <w:t xml:space="preserve"> Porto, Porto, 2018.</w:t>
      </w:r>
    </w:p>
    <w:p w14:paraId="0FA2A86F" w14:textId="77777777" w:rsidR="00C16569" w:rsidRPr="00773FD2" w:rsidRDefault="00202EB5">
      <w:pPr>
        <w:rPr>
          <w:lang w:val="pt-BR"/>
        </w:rPr>
      </w:pPr>
      <w:r w:rsidRPr="00773FD2">
        <w:rPr>
          <w:color w:val="000000"/>
          <w:lang w:val="pt-BR"/>
        </w:rPr>
        <w:br w:type="page"/>
      </w:r>
    </w:p>
    <w:p w14:paraId="6E246238" w14:textId="77777777" w:rsidR="00C16569" w:rsidRPr="00773FD2" w:rsidRDefault="00202EB5">
      <w:pPr>
        <w:pStyle w:val="Ttulo1"/>
        <w:rPr>
          <w:lang w:val="pt-BR"/>
        </w:rPr>
      </w:pPr>
      <w:r w:rsidRPr="00773FD2">
        <w:rPr>
          <w:rFonts w:ascii="Arial" w:eastAsia="Arial" w:hAnsi="Arial"/>
          <w:lang w:val="pt-BR"/>
        </w:rPr>
        <w:lastRenderedPageBreak/>
        <w:t>CHECKLIST DE FORMATAÇÃO PARA REMOVER NA VERSÃO FINAL</w:t>
      </w:r>
    </w:p>
    <w:p w14:paraId="04D90285" w14:textId="77777777" w:rsidR="00C16569" w:rsidRPr="00773FD2" w:rsidRDefault="00202EB5">
      <w:pPr>
        <w:ind w:firstLine="0"/>
        <w:rPr>
          <w:lang w:val="pt-BR"/>
        </w:rPr>
      </w:pPr>
      <w:r w:rsidRPr="00773FD2">
        <w:rPr>
          <w:color w:val="000000"/>
          <w:lang w:val="pt-BR"/>
        </w:rPr>
        <w:t>• A primeira página deve manter títulos em fonte 12, bloco de autores em fonte 11, título em inglês em itálico e autores/e-mails alinhados à direita, conforme o padrão visual dos artigos de exemplo.</w:t>
      </w:r>
    </w:p>
    <w:p w14:paraId="14426BAE" w14:textId="77777777" w:rsidR="00C16569" w:rsidRPr="00773FD2" w:rsidRDefault="00202EB5">
      <w:pPr>
        <w:ind w:firstLine="0"/>
        <w:rPr>
          <w:lang w:val="pt-BR"/>
        </w:rPr>
      </w:pPr>
      <w:r w:rsidRPr="00773FD2">
        <w:rPr>
          <w:color w:val="000000"/>
          <w:lang w:val="pt-BR"/>
        </w:rPr>
        <w:t>• No corpo do artigo, todo parágrafo técnico deve apresentar citação direta ou indireta no padrão autor-data, evitando blocos explicativos sem fundamentação bibliográfica.</w:t>
      </w:r>
    </w:p>
    <w:p w14:paraId="5329B100" w14:textId="77777777" w:rsidR="00C16569" w:rsidRPr="00773FD2" w:rsidRDefault="00202EB5">
      <w:pPr>
        <w:ind w:firstLine="0"/>
        <w:rPr>
          <w:lang w:val="pt-BR"/>
        </w:rPr>
      </w:pPr>
      <w:r w:rsidRPr="00773FD2">
        <w:rPr>
          <w:b/>
          <w:color w:val="000000"/>
          <w:lang w:val="pt-BR"/>
        </w:rPr>
        <w:t xml:space="preserve">• </w:t>
      </w:r>
      <w:r w:rsidRPr="00773FD2">
        <w:rPr>
          <w:color w:val="000000"/>
          <w:lang w:val="pt-BR"/>
        </w:rPr>
        <w:t>As figuras, gráficos, quadros e tabelas devem possuir título e fonte, mesmo quando forem produzidos pelos autores.</w:t>
      </w:r>
    </w:p>
    <w:p w14:paraId="01782F16" w14:textId="77777777" w:rsidR="00C16569" w:rsidRPr="00773FD2" w:rsidRDefault="00202EB5">
      <w:pPr>
        <w:ind w:firstLine="0"/>
        <w:rPr>
          <w:lang w:val="pt-BR"/>
        </w:rPr>
      </w:pPr>
      <w:r w:rsidRPr="00773FD2">
        <w:rPr>
          <w:b/>
          <w:color w:val="000000"/>
          <w:lang w:val="pt-BR"/>
        </w:rPr>
        <w:t xml:space="preserve">• </w:t>
      </w:r>
      <w:r w:rsidRPr="00773FD2">
        <w:rPr>
          <w:color w:val="000000"/>
          <w:lang w:val="pt-BR"/>
        </w:rPr>
        <w:t>A extensão final do artigo deve permanecer entre 15 e 25 páginas, removendo este checklist antes da entrega.</w:t>
      </w:r>
    </w:p>
    <w:sectPr w:rsidR="00C16569" w:rsidRPr="00773FD2" w:rsidSect="00034616">
      <w:headerReference w:type="default" r:id="rId8"/>
      <w:pgSz w:w="11906" w:h="16838"/>
      <w:pgMar w:top="1417" w:right="1417" w:bottom="1134"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E317D" w14:textId="77777777" w:rsidR="008F2738" w:rsidRDefault="008F2738">
      <w:pPr>
        <w:spacing w:after="0" w:line="240" w:lineRule="auto"/>
      </w:pPr>
      <w:r>
        <w:separator/>
      </w:r>
    </w:p>
  </w:endnote>
  <w:endnote w:type="continuationSeparator" w:id="0">
    <w:p w14:paraId="025A52A6" w14:textId="77777777" w:rsidR="008F2738" w:rsidRDefault="008F27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7217C" w14:textId="77777777" w:rsidR="008F2738" w:rsidRDefault="008F2738">
      <w:pPr>
        <w:spacing w:after="0" w:line="240" w:lineRule="auto"/>
      </w:pPr>
      <w:r>
        <w:separator/>
      </w:r>
    </w:p>
  </w:footnote>
  <w:footnote w:type="continuationSeparator" w:id="0">
    <w:p w14:paraId="1D39495F" w14:textId="77777777" w:rsidR="008F2738" w:rsidRDefault="008F27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01726" w14:textId="77777777" w:rsidR="00C16569" w:rsidRDefault="00202EB5">
    <w:pPr>
      <w:pStyle w:val="Cabealho"/>
      <w:jc w:val="right"/>
    </w:pPr>
    <w:r>
      <w:rPr>
        <w:sz w:val="20"/>
      </w:rPr>
      <w:fldChar w:fldCharType="begin"/>
    </w:r>
    <w:r>
      <w:rPr>
        <w:sz w:val="20"/>
      </w:rPr>
      <w:instrText xml:space="preserve"> PAGE </w:instrText>
    </w:r>
    <w:r>
      <w:rPr>
        <w:sz w:val="20"/>
      </w:rPr>
      <w:fldChar w:fldCharType="separate"/>
    </w:r>
    <w:r w:rsidR="00773FD2">
      <w:rPr>
        <w:noProof/>
        <w:sz w:val="20"/>
      </w:rPr>
      <w:t>1</w:t>
    </w:r>
    <w:r>
      <w:rPr>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704286403">
    <w:abstractNumId w:val="8"/>
  </w:num>
  <w:num w:numId="2" w16cid:durableId="209806527">
    <w:abstractNumId w:val="6"/>
  </w:num>
  <w:num w:numId="3" w16cid:durableId="23487413">
    <w:abstractNumId w:val="5"/>
  </w:num>
  <w:num w:numId="4" w16cid:durableId="1926915783">
    <w:abstractNumId w:val="4"/>
  </w:num>
  <w:num w:numId="5" w16cid:durableId="1220438406">
    <w:abstractNumId w:val="7"/>
  </w:num>
  <w:num w:numId="6" w16cid:durableId="1428382594">
    <w:abstractNumId w:val="3"/>
  </w:num>
  <w:num w:numId="7" w16cid:durableId="529997765">
    <w:abstractNumId w:val="2"/>
  </w:num>
  <w:num w:numId="8" w16cid:durableId="439254333">
    <w:abstractNumId w:val="1"/>
  </w:num>
  <w:num w:numId="9" w16cid:durableId="1784111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8D7"/>
    <w:rsid w:val="00034616"/>
    <w:rsid w:val="0006063C"/>
    <w:rsid w:val="0015074B"/>
    <w:rsid w:val="00202EB5"/>
    <w:rsid w:val="0029639D"/>
    <w:rsid w:val="00326F90"/>
    <w:rsid w:val="00577FEB"/>
    <w:rsid w:val="006F10C5"/>
    <w:rsid w:val="00773FD2"/>
    <w:rsid w:val="007C1791"/>
    <w:rsid w:val="008F2738"/>
    <w:rsid w:val="00984F41"/>
    <w:rsid w:val="00AA1D8D"/>
    <w:rsid w:val="00B47730"/>
    <w:rsid w:val="00C1656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C5BB74"/>
  <w14:defaultImageDpi w14:val="300"/>
  <w15:docId w15:val="{917AF8EA-9A5D-44CC-8E92-F76630C5C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709"/>
      <w:jc w:val="both"/>
    </w:pPr>
    <w:rPr>
      <w:rFonts w:ascii="Arial" w:eastAsia="Arial" w:hAnsi="Arial"/>
      <w:sz w:val="24"/>
    </w:rPr>
  </w:style>
  <w:style w:type="paragraph" w:styleId="Ttulo1">
    <w:name w:val="heading 1"/>
    <w:basedOn w:val="Normal"/>
    <w:next w:val="Normal"/>
    <w:link w:val="Ttulo1Char"/>
    <w:uiPriority w:val="9"/>
    <w:qFormat/>
    <w:rsid w:val="00FC693F"/>
    <w:pPr>
      <w:keepNext/>
      <w:keepLines/>
      <w:spacing w:before="360" w:after="240"/>
      <w:ind w:firstLine="0"/>
      <w:jc w:val="left"/>
      <w:outlineLvl w:val="0"/>
    </w:pPr>
    <w:rPr>
      <w:rFonts w:asciiTheme="majorHAnsi" w:eastAsiaTheme="majorEastAsia" w:hAnsiTheme="majorHAnsi" w:cstheme="majorBidi"/>
      <w:b/>
      <w:bCs/>
      <w:caps/>
      <w:color w:val="000000"/>
      <w:szCs w:val="28"/>
    </w:rPr>
  </w:style>
  <w:style w:type="paragraph" w:styleId="Ttulo2">
    <w:name w:val="heading 2"/>
    <w:basedOn w:val="Normal"/>
    <w:next w:val="Normal"/>
    <w:link w:val="Ttulo2Char"/>
    <w:uiPriority w:val="9"/>
    <w:unhideWhenUsed/>
    <w:qFormat/>
    <w:rsid w:val="00FC693F"/>
    <w:pPr>
      <w:keepNext/>
      <w:keepLines/>
      <w:spacing w:before="240"/>
      <w:ind w:firstLine="0"/>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aTCC">
    <w:name w:val="Legenda TCC"/>
    <w:pPr>
      <w:spacing w:before="120" w:after="60" w:line="240" w:lineRule="auto"/>
      <w:jc w:val="center"/>
    </w:pPr>
    <w:rPr>
      <w:rFonts w:ascii="Arial" w:eastAsia="Arial" w:hAnsi="Arial"/>
      <w:sz w:val="20"/>
    </w:rPr>
  </w:style>
  <w:style w:type="paragraph" w:customStyle="1" w:styleId="ResumoTCC">
    <w:name w:val="Resumo TCC"/>
    <w:pPr>
      <w:spacing w:after="120"/>
      <w:jc w:val="both"/>
    </w:pPr>
    <w:rPr>
      <w:rFonts w:ascii="Arial" w:eastAsia="Arial" w:hAnsi="Arial"/>
      <w:sz w:val="24"/>
    </w:rPr>
  </w:style>
  <w:style w:type="paragraph" w:customStyle="1" w:styleId="ReferenciaTCC">
    <w:name w:val="Referencia TCC"/>
    <w:pPr>
      <w:spacing w:after="120" w:line="240" w:lineRule="auto"/>
    </w:pPr>
    <w:rPr>
      <w:rFonts w:ascii="Arial" w:eastAsia="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3107</Words>
  <Characters>16779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estrutural corrigido - TCC artigo científico</dc:title>
  <dc:subject/>
  <dc:creator>ChatGPT</dc:creator>
  <cp:keywords/>
  <dc:description>generated by python-docx</dc:description>
  <cp:lastModifiedBy>Vitor Dornela Mascarenhas</cp:lastModifiedBy>
  <cp:revision>3</cp:revision>
  <dcterms:created xsi:type="dcterms:W3CDTF">2026-05-27T02:37:00Z</dcterms:created>
  <dcterms:modified xsi:type="dcterms:W3CDTF">2026-05-28T12:13:00Z</dcterms:modified>
  <cp:category/>
</cp:coreProperties>
</file>