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2F97325D" w:rsidR="00C16569" w:rsidRPr="00773FD2" w:rsidRDefault="00202EB5" w:rsidP="004D3CD2">
      <w:pPr>
        <w:ind w:firstLine="0"/>
        <w:jc w:val="center"/>
        <w:rPr>
          <w:lang w:val="pt-BR"/>
        </w:rPr>
      </w:pPr>
      <w:r w:rsidRPr="00773FD2">
        <w:rPr>
          <w:b/>
          <w:color w:val="000000"/>
          <w:lang w:val="pt-BR"/>
        </w:rPr>
        <w:t>ESTIMATIVA DO ESTADO DE SAÚDE E FIM DA VIDA ÚTIL DE BATERIAS EM SISTEMAS FOTOVOLTAICOS</w:t>
      </w:r>
      <w:r w:rsidR="0096329E">
        <w:rPr>
          <w:b/>
          <w:color w:val="000000"/>
          <w:lang w:val="pt-BR"/>
        </w:rPr>
        <w:t xml:space="preserve"> USANDO MODELO PREDITIVO</w:t>
      </w:r>
    </w:p>
    <w:p w14:paraId="791D4A2F" w14:textId="359F5396" w:rsidR="00C16569" w:rsidRDefault="00202EB5" w:rsidP="004D3CD2">
      <w:pPr>
        <w:ind w:firstLine="0"/>
        <w:jc w:val="center"/>
      </w:pPr>
      <w:r>
        <w:rPr>
          <w:b/>
          <w:i/>
          <w:color w:val="000000"/>
        </w:rPr>
        <w:t>ESTIMATING BATTERY STATE OF HEALTH AND END OF LIFE IN PHOTOVOLTAIC SYSTEMS</w:t>
      </w:r>
      <w:r w:rsidR="0096329E">
        <w:rPr>
          <w:b/>
          <w:i/>
          <w:color w:val="000000"/>
        </w:rPr>
        <w:t xml:space="preserve"> USING </w:t>
      </w:r>
      <w:r w:rsidR="0096329E">
        <w:rPr>
          <w:b/>
          <w:i/>
          <w:color w:val="000000"/>
        </w:rPr>
        <w:t>PREDICTIVE MODEL</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77777777" w:rsidR="00C16569" w:rsidRPr="00773FD2" w:rsidRDefault="00202EB5">
      <w:pPr>
        <w:pStyle w:val="ResumoTCC"/>
        <w:rPr>
          <w:lang w:val="pt-BR"/>
        </w:rPr>
      </w:pPr>
      <w:r w:rsidRPr="00F0199F">
        <w:rPr>
          <w:lang w:val="pt-BR"/>
        </w:rPr>
        <w:t xml:space="preserve">Este artigo propõe o uso de um modelo preditivo baseado em aprendizado de máquina para estimar o estado de saúde (SOH) e o fim da vida útil (EOL) de baterias aplicadas a sistemas fotovoltaicos. A partir de perfis de potência residual (demanda menos 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 (LUQUE et al., 2025; AITIO; HOWEY, 2021).</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77777777"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 (LUQUE et al., 2025; AITIO; HOWEY, 2021).</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E36C01">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77777777" w:rsidR="00801080" w:rsidRPr="002B6CEA" w:rsidRDefault="00E36C01">
      <w:pPr>
        <w:rPr>
          <w:lang w:val="pt-BR"/>
        </w:rPr>
      </w:pPr>
      <w:r w:rsidRPr="002B6CEA">
        <w:rPr>
          <w:lang w:val="pt-BR"/>
        </w:rPr>
        <w:t>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w:t>
      </w:r>
      <w:r w:rsidRPr="002B6CEA">
        <w:rPr>
          <w:lang w:val="pt-BR"/>
        </w:rPr>
        <w:t>ão (AITIO; HOWEY, 2021; LUQUE et al., 2025).</w:t>
      </w:r>
    </w:p>
    <w:p w14:paraId="3BF9E244" w14:textId="5882A51C" w:rsidR="0096329E" w:rsidRDefault="00B2501A" w:rsidP="007E55BE">
      <w:pPr>
        <w:pStyle w:val="LegendaTCC"/>
        <w:rPr>
          <w:lang w:val="pt-BR"/>
        </w:rPr>
      </w:pPr>
      <w:r>
        <w:rPr>
          <w:lang w:val="pt-BR"/>
        </w:rPr>
        <w:t>Gráfico</w:t>
      </w:r>
      <w:r w:rsidR="00E36C01" w:rsidRPr="002B6CEA">
        <w:rPr>
          <w:lang w:val="pt-BR"/>
        </w:rPr>
        <w:t xml:space="preserve"> </w:t>
      </w:r>
      <w:r w:rsidR="00E15BD0">
        <w:rPr>
          <w:lang w:val="pt-BR"/>
        </w:rPr>
        <w:t>1</w:t>
      </w:r>
      <w:r w:rsidR="00E36C01" w:rsidRPr="002B6CEA">
        <w:rPr>
          <w:lang w:val="pt-BR"/>
        </w:rPr>
        <w:t xml:space="preserve"> - Perfil diário normalizado de consumo residencial, </w:t>
      </w:r>
    </w:p>
    <w:p w14:paraId="335B8E2A" w14:textId="18CAED2F" w:rsidR="00801080" w:rsidRPr="002B6CEA" w:rsidRDefault="00E36C01" w:rsidP="007E55BE">
      <w:pPr>
        <w:pStyle w:val="LegendaTCC"/>
        <w:rPr>
          <w:lang w:val="pt-BR"/>
        </w:rPr>
      </w:pPr>
      <w:r w:rsidRPr="002B6CEA">
        <w:rPr>
          <w:lang w:val="pt-BR"/>
        </w:rPr>
        <w:t>geração fotovoltaica e potência excedente</w:t>
      </w:r>
    </w:p>
    <w:p w14:paraId="5A69A5E4" w14:textId="77777777" w:rsidR="00801080" w:rsidRDefault="008F6BD8" w:rsidP="00FC0D6B">
      <w:pPr>
        <w:ind w:firstLine="0"/>
        <w:jc w:val="center"/>
      </w:pPr>
      <w:r>
        <w:rPr>
          <w:noProof/>
          <w:lang w:val="pt-BR"/>
        </w:rPr>
        <w:drawing>
          <wp:inline distT="0" distB="0" distL="0" distR="0" wp14:anchorId="6D108362" wp14:editId="577B31C1">
            <wp:extent cx="2734285" cy="2676063"/>
            <wp:effectExtent l="0" t="0" r="952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110" cy="2693508"/>
                    </a:xfrm>
                    <a:prstGeom prst="rect">
                      <a:avLst/>
                    </a:prstGeom>
                    <a:noFill/>
                  </pic:spPr>
                </pic:pic>
              </a:graphicData>
            </a:graphic>
          </wp:inline>
        </w:drawing>
      </w:r>
    </w:p>
    <w:p w14:paraId="220E045B" w14:textId="1625752E" w:rsidR="00801080" w:rsidRPr="002B6CEA" w:rsidRDefault="00E36C01" w:rsidP="007E55BE">
      <w:pPr>
        <w:pStyle w:val="LegendaTCC"/>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607BBC65"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 (SOH) representa o estado de saúde da bateria e costuma ser associado à capacidade remanescente ou ao aumento da resistência interna em relação à condição inicial. Já o </w:t>
      </w:r>
      <w:proofErr w:type="spellStart"/>
      <w:r w:rsidRPr="00773FD2">
        <w:rPr>
          <w:color w:val="000000"/>
          <w:lang w:val="pt-BR"/>
        </w:rPr>
        <w:t>Remaining</w:t>
      </w:r>
      <w:proofErr w:type="spellEnd"/>
      <w:r w:rsidRPr="00773FD2">
        <w:rPr>
          <w:color w:val="000000"/>
          <w:lang w:val="pt-BR"/>
        </w:rPr>
        <w:t xml:space="preserve"> </w:t>
      </w:r>
      <w:proofErr w:type="spellStart"/>
      <w:r w:rsidRPr="00773FD2">
        <w:rPr>
          <w:color w:val="000000"/>
          <w:lang w:val="pt-BR"/>
        </w:rPr>
        <w:t>Useful</w:t>
      </w:r>
      <w:proofErr w:type="spellEnd"/>
      <w:r w:rsidRPr="00773FD2">
        <w:rPr>
          <w:color w:val="000000"/>
          <w:lang w:val="pt-BR"/>
        </w:rPr>
        <w:t xml:space="preserve"> Life (RUL) indica a vida útil remanescente até que a bateria atinja o </w:t>
      </w:r>
      <w:proofErr w:type="spellStart"/>
      <w:r w:rsidRPr="00773FD2">
        <w:rPr>
          <w:color w:val="000000"/>
          <w:lang w:val="pt-BR"/>
        </w:rPr>
        <w:t>End</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Life (EOL), normalmente definido por </w:t>
      </w:r>
      <w:r w:rsidRPr="00773FD2">
        <w:rPr>
          <w:color w:val="000000"/>
          <w:lang w:val="pt-BR"/>
        </w:rPr>
        <w:lastRenderedPageBreak/>
        <w:t>um limite mínimo aceitável de capacidade ou desempenho operacional (AITIO; HOWEY, 2021; LUQUE et al., 2025).</w:t>
      </w: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pPr>
        <w:rPr>
          <w:lang w:val="pt-BR"/>
        </w:rPr>
      </w:pPr>
      <w:r w:rsidRPr="00773FD2">
        <w:rPr>
          <w:color w:val="000000"/>
          <w:lang w:val="pt-BR"/>
        </w:rPr>
        <w:t>A estimativa do SOH</w:t>
      </w:r>
      <w:r w:rsidR="00EC6718">
        <w:rPr>
          <w:color w:val="000000"/>
          <w:lang w:val="pt-BR"/>
        </w:rPr>
        <w:t xml:space="preserve"> (</w:t>
      </w:r>
      <w:proofErr w:type="spellStart"/>
      <w:r w:rsidR="0066790C">
        <w:rPr>
          <w:color w:val="000000"/>
          <w:lang w:val="pt-BR"/>
        </w:rPr>
        <w:t>s</w:t>
      </w:r>
      <w:r w:rsidR="00EC6718">
        <w:rPr>
          <w:i/>
          <w:iCs/>
          <w:color w:val="000000"/>
          <w:lang w:val="pt-BR"/>
        </w:rPr>
        <w:t>tate</w:t>
      </w:r>
      <w:proofErr w:type="spellEnd"/>
      <w:r w:rsidR="00EC6718">
        <w:rPr>
          <w:i/>
          <w:iCs/>
          <w:color w:val="000000"/>
          <w:lang w:val="pt-BR"/>
        </w:rPr>
        <w:t xml:space="preserve"> </w:t>
      </w:r>
      <w:proofErr w:type="spellStart"/>
      <w:r w:rsidR="00EC6718">
        <w:rPr>
          <w:i/>
          <w:iCs/>
          <w:color w:val="000000"/>
          <w:lang w:val="pt-BR"/>
        </w:rPr>
        <w:t>of</w:t>
      </w:r>
      <w:proofErr w:type="spellEnd"/>
      <w:r w:rsidR="00EC6718">
        <w:rPr>
          <w:i/>
          <w:iCs/>
          <w:color w:val="000000"/>
          <w:lang w:val="pt-BR"/>
        </w:rPr>
        <w:t xml:space="preserve"> </w:t>
      </w:r>
      <w:proofErr w:type="spellStart"/>
      <w:r w:rsidR="0066790C">
        <w:rPr>
          <w:i/>
          <w:iCs/>
          <w:color w:val="000000"/>
          <w:lang w:val="pt-BR"/>
        </w:rPr>
        <w:t>h</w:t>
      </w:r>
      <w:r w:rsidR="00EC6718">
        <w:rPr>
          <w:i/>
          <w:iCs/>
          <w:color w:val="000000"/>
          <w:lang w:val="pt-BR"/>
        </w:rPr>
        <w:t>ealth</w:t>
      </w:r>
      <w:proofErr w:type="spellEnd"/>
      <w:r w:rsidR="00EC6718">
        <w:rPr>
          <w:color w:val="000000"/>
          <w:lang w:val="pt-BR"/>
        </w:rPr>
        <w:t>)</w:t>
      </w:r>
      <w:r w:rsidRPr="00773FD2">
        <w:rPr>
          <w:color w:val="000000"/>
          <w:lang w:val="pt-BR"/>
        </w:rPr>
        <w:t xml:space="preserve"> e do </w:t>
      </w:r>
      <w:r w:rsidR="0066790C">
        <w:rPr>
          <w:color w:val="000000"/>
          <w:lang w:val="pt-BR"/>
        </w:rPr>
        <w:t>EOL (</w:t>
      </w:r>
      <w:proofErr w:type="spellStart"/>
      <w:r w:rsidR="0066790C">
        <w:rPr>
          <w:i/>
          <w:iCs/>
          <w:color w:val="000000"/>
          <w:lang w:val="pt-BR"/>
        </w:rPr>
        <w:t>end</w:t>
      </w:r>
      <w:proofErr w:type="spellEnd"/>
      <w:r w:rsidR="0066790C">
        <w:rPr>
          <w:i/>
          <w:iCs/>
          <w:color w:val="000000"/>
          <w:lang w:val="pt-BR"/>
        </w:rPr>
        <w:t xml:space="preserve"> </w:t>
      </w:r>
      <w:proofErr w:type="spellStart"/>
      <w:r w:rsidR="0066790C">
        <w:rPr>
          <w:i/>
          <w:iCs/>
          <w:color w:val="000000"/>
          <w:lang w:val="pt-BR"/>
        </w:rPr>
        <w:t>of</w:t>
      </w:r>
      <w:proofErr w:type="spellEnd"/>
      <w:r w:rsidR="0066790C">
        <w:rPr>
          <w:i/>
          <w:iCs/>
          <w:color w:val="000000"/>
          <w:lang w:val="pt-BR"/>
        </w:rPr>
        <w:t xml:space="preserve"> </w:t>
      </w:r>
      <w:proofErr w:type="spellStart"/>
      <w:r w:rsidR="0066790C">
        <w:rPr>
          <w:i/>
          <w:iCs/>
          <w:color w:val="000000"/>
          <w:lang w:val="pt-BR"/>
        </w:rPr>
        <w:t>life</w:t>
      </w:r>
      <w:proofErr w:type="spellEnd"/>
      <w:r w:rsidR="0066790C">
        <w:rPr>
          <w:color w:val="000000"/>
          <w:lang w:val="pt-BR"/>
        </w:rPr>
        <w:t>)</w:t>
      </w:r>
      <w:r w:rsidRPr="00773FD2">
        <w:rPr>
          <w:color w:val="000000"/>
          <w:lang w:val="pt-BR"/>
        </w:rPr>
        <w:t xml:space="preserve"> pode ser realizada por métodos baseados em modelo, métodos orientados a dados ou métodos híbridos. </w:t>
      </w:r>
      <w:r w:rsidRPr="00773FD2">
        <w:rPr>
          <w:color w:val="000000"/>
          <w:lang w:val="pt-BR"/>
        </w:rPr>
        <w:lastRenderedPageBreak/>
        <w:t>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Modelos como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têm sido utilizados em estudos de previsão de saúde de baterias. Para este trabalho, a escolha inicial por modelos supervisionados de regressão e classificação permite equilibrar desempenho, simplicidade de implementação, geração de métricas e interpretação dos fatores que mais influenciam a degradação (BREIMAN, 2001; RASMUSSEN; WILLIAMS, 2006;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apresenta o desenvolvimento de uma solução computacional para apoiar a manutenção preditiva de baterias em sistemas fotovoltaicos. A pesquisa foi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E36C01">
      <w:pPr>
        <w:rPr>
          <w:lang w:val="pt-BR"/>
        </w:rPr>
      </w:pPr>
      <w:r w:rsidRPr="003D291F">
        <w:rPr>
          <w:lang w:val="pt-BR"/>
        </w:rPr>
        <w:t>As variáveis diárias utilizadas no modelo são derivadas do perfil de potência residual: a média diária da potência residual (T1) e a média do valor absoluto da potência residual (T4). Esses atributos resumem o comportamento diário de carga e descarga e são combinados com o SOH inicial, a estratégia operacional e o índice de dia para estimar a perda de capacidade. A abordagem segue a metodologia de aprendizado de máquina descrita por Luque et al. (2025), com foco em manutenção preditiva e análise da degradaç</w:t>
      </w:r>
      <w:r w:rsidRPr="003D291F">
        <w:rPr>
          <w:lang w:val="pt-BR"/>
        </w:rPr>
        <w:t>ão.</w:t>
      </w:r>
    </w:p>
    <w:p w14:paraId="4C383DE7" w14:textId="77777777" w:rsidR="00C16569" w:rsidRPr="00773FD2" w:rsidRDefault="00202EB5">
      <w:pPr>
        <w:rPr>
          <w:lang w:val="pt-BR"/>
        </w:rPr>
      </w:pPr>
      <w:r w:rsidRPr="002B6CEA">
        <w:rPr>
          <w:color w:val="000000"/>
          <w:lang w:val="pt-BR"/>
        </w:rPr>
        <w:t xml:space="preserve">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w:t>
      </w:r>
      <w:r w:rsidRPr="002B6CEA">
        <w:rPr>
          <w:color w:val="000000"/>
          <w:lang w:val="pt-BR"/>
        </w:rPr>
        <w:lastRenderedPageBreak/>
        <w:t>residências (Residencial Alemão A, Residencial Alemão B e Residencial Alemão C) com períodos de dados completos variando de 495 a 847 dias.</w:t>
      </w:r>
    </w:p>
    <w:p w14:paraId="0EC9D973" w14:textId="77777777" w:rsidR="00801080" w:rsidRPr="002B6CEA" w:rsidRDefault="00E36C01">
      <w:pPr>
        <w:rPr>
          <w:lang w:val="pt-BR"/>
        </w:rPr>
      </w:pPr>
      <w:r w:rsidRPr="002B6CEA">
        <w:rPr>
          <w:lang w:val="pt-BR"/>
        </w:rPr>
        <w:t xml:space="preserve">A segunda fonte consiste em um perfil sintético representativo de uma residência brasileira na cidade de </w:t>
      </w:r>
      <w:proofErr w:type="spellStart"/>
      <w:r w:rsidRPr="002B6CEA">
        <w:rPr>
          <w:lang w:val="pt-BR"/>
        </w:rPr>
        <w:t>Vitória-ES</w:t>
      </w:r>
      <w:proofErr w:type="spellEnd"/>
      <w:r w:rsidRPr="002B6CEA">
        <w:rPr>
          <w:lang w:val="pt-BR"/>
        </w:rPr>
        <w:t>,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w:t>
      </w:r>
      <w:proofErr w:type="spellStart"/>
      <w:r w:rsidRPr="002B6CEA">
        <w:rPr>
          <w:lang w:val="pt-BR"/>
        </w:rPr>
        <w:t>ii</w:t>
      </w:r>
      <w:proofErr w:type="spellEnd"/>
      <w:r w:rsidRPr="002B6CEA">
        <w:rPr>
          <w:lang w:val="pt-BR"/>
        </w:rPr>
        <w:t xml:space="preserve">) dados de irradiância solar e geração fotovoltaica estimados pelo </w:t>
      </w:r>
      <w:proofErr w:type="spellStart"/>
      <w:r w:rsidRPr="002B6CEA">
        <w:rPr>
          <w:lang w:val="pt-BR"/>
        </w:rPr>
        <w:t>Photovoltaic</w:t>
      </w:r>
      <w:proofErr w:type="spellEnd"/>
      <w:r w:rsidRPr="002B6CEA">
        <w:rPr>
          <w:lang w:val="pt-BR"/>
        </w:rPr>
        <w:t xml:space="preserve"> </w:t>
      </w:r>
      <w:proofErr w:type="spellStart"/>
      <w:r w:rsidRPr="002B6CEA">
        <w:rPr>
          <w:lang w:val="pt-BR"/>
        </w:rPr>
        <w:t>Geographical</w:t>
      </w:r>
      <w:proofErr w:type="spellEnd"/>
      <w:r w:rsidRPr="002B6CEA">
        <w:rPr>
          <w:lang w:val="pt-BR"/>
        </w:rPr>
        <w:t xml:space="preserve"> </w:t>
      </w:r>
      <w:proofErr w:type="spellStart"/>
      <w:r w:rsidRPr="002B6CEA">
        <w:rPr>
          <w:lang w:val="pt-BR"/>
        </w:rPr>
        <w:t>Information</w:t>
      </w:r>
      <w:proofErr w:type="spellEnd"/>
      <w:r w:rsidRPr="002B6CEA">
        <w:rPr>
          <w:lang w:val="pt-BR"/>
        </w:rPr>
        <w:t xml:space="preserve"> System (PVGIS) do Joint </w:t>
      </w:r>
      <w:proofErr w:type="spellStart"/>
      <w:r w:rsidRPr="002B6CEA">
        <w:rPr>
          <w:lang w:val="pt-BR"/>
        </w:rPr>
        <w:t>Research</w:t>
      </w:r>
      <w:proofErr w:type="spellEnd"/>
      <w:r w:rsidRPr="002B6CEA">
        <w:rPr>
          <w:lang w:val="pt-BR"/>
        </w:rPr>
        <w:t xml:space="preserve"> Centre da Comissão Europeia, utilizando a ba</w:t>
      </w:r>
      <w:r w:rsidRPr="002B6CEA">
        <w:rPr>
          <w:lang w:val="pt-BR"/>
        </w:rPr>
        <w:t xml:space="preserve">se de dados ERA5 com resolução horária para a localidade de Vitória (latitude −20,32°, longitude −40,34°) (HULD et al., 2012). O perfil foi parametrizado para um consumo mensal de 200 kWh e um sistema fotovoltaico de 5 </w:t>
      </w:r>
      <w:proofErr w:type="spellStart"/>
      <w:r w:rsidRPr="002B6CEA">
        <w:rPr>
          <w:lang w:val="pt-BR"/>
        </w:rPr>
        <w:t>kWp</w:t>
      </w:r>
      <w:proofErr w:type="spellEnd"/>
      <w:r w:rsidRPr="002B6CEA">
        <w:rPr>
          <w:lang w:val="pt-BR"/>
        </w:rPr>
        <w:t>, resultando em 1.825 dias de dados.</w:t>
      </w:r>
    </w:p>
    <w:p w14:paraId="70A7C1B4" w14:textId="77777777" w:rsidR="00801080" w:rsidRPr="002B6CEA" w:rsidRDefault="00E36C01">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w:t>
      </w:r>
      <w:r w:rsidRPr="002B6CEA">
        <w:rPr>
          <w:lang w:val="pt-BR"/>
        </w:rPr>
        <w:t xml:space="preserve">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contemplou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7777777" w:rsidR="00C16569" w:rsidRPr="00773FD2" w:rsidRDefault="00202EB5">
      <w:pPr>
        <w:rPr>
          <w:lang w:val="pt-BR"/>
        </w:rPr>
      </w:pPr>
      <w:r w:rsidRPr="005435A0">
        <w:rPr>
          <w:lang w:val="pt-BR"/>
        </w:rPr>
        <w:t>Na etapa de modelagem, o MLBatLife foi utilizado como baseline, por empregar Random Forest treinado para estimar a perda diária de capacidade. Em paralelo, foram avaliados modelos de regressão para estimativa do SOH e modelos de classificação para identificação da condição operacional da bateria (BREIMAN, 2001; CHEN; GUESTRIN, 2016).</w:t>
      </w:r>
      <w:proofErr w:type="spellStart"/>
      <w:r w:rsidRPr="005435A0">
        <w:rPr>
          <w:lang w:val="pt-BR"/>
        </w:rPr>
      </w:r>
      <w:proofErr w:type="spellEnd"/>
      <w:r w:rsidRPr="005435A0">
        <w:rPr>
          <w:lang w:val="pt-BR"/>
        </w:rPr>
      </w:r>
    </w:p>
    <w:p w14:paraId="7A4F1B25" w14:textId="77777777" w:rsidR="00C16569" w:rsidRPr="00773FD2" w:rsidRDefault="00202EB5">
      <w:pPr>
        <w:pStyle w:val="LegendaTCC"/>
        <w:rPr>
          <w:lang w:val="pt-BR"/>
        </w:rPr>
      </w:pPr>
      <w:r w:rsidRPr="00773FD2">
        <w:rPr>
          <w:color w:val="000000"/>
          <w:lang w:val="pt-BR"/>
        </w:rPr>
        <w:lastRenderedPageBreak/>
        <w:t>Tabela 1 -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C16569" w14:paraId="3768EEE9" w14:textId="77777777" w:rsidTr="00FA242B">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D1667B" w14:textId="77777777" w:rsidR="00C16569" w:rsidRDefault="00202EB5" w:rsidP="00FA242B">
            <w:pPr>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556941" w14:textId="77777777" w:rsidR="00C16569" w:rsidRDefault="00202EB5" w:rsidP="00FA242B">
            <w:pPr>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B3C405" w14:textId="77777777" w:rsidR="00C16569" w:rsidRDefault="00202EB5" w:rsidP="00FA242B">
            <w:pPr>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73D2C0" w14:textId="77777777" w:rsidR="00C16569" w:rsidRDefault="00202EB5" w:rsidP="00FA242B">
            <w:pPr>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C16569" w14:paraId="6505A82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FA22E58" w14:textId="77777777" w:rsidR="00C16569" w:rsidRDefault="00202EB5" w:rsidP="00FA242B">
            <w:pPr>
              <w:spacing w:after="0" w:line="240" w:lineRule="auto"/>
              <w:ind w:firstLine="0"/>
              <w:jc w:val="left"/>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BD8CDAC" w14:textId="77777777" w:rsidR="00C16569" w:rsidRDefault="00202EB5" w:rsidP="00FA242B">
            <w:pPr>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675701F2" w14:textId="77777777" w:rsidR="00C16569" w:rsidRPr="00773FD2" w:rsidRDefault="00202EB5" w:rsidP="00FA242B">
            <w:pPr>
              <w:spacing w:after="0" w:line="240" w:lineRule="auto"/>
              <w:ind w:firstLine="0"/>
              <w:jc w:val="left"/>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0FF27F2D" w14:textId="77777777" w:rsidR="00C16569" w:rsidRDefault="00202EB5" w:rsidP="00FA242B">
            <w:pPr>
              <w:spacing w:after="0" w:line="240" w:lineRule="auto"/>
              <w:ind w:firstLine="0"/>
              <w:jc w:val="left"/>
            </w:pPr>
            <w:r>
              <w:rPr>
                <w:sz w:val="20"/>
              </w:rPr>
              <w:t>Luque et al. (2025)</w:t>
            </w:r>
          </w:p>
        </w:tc>
      </w:tr>
      <w:tr w:rsidR="00C16569" w14:paraId="2E4B1E3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510D2F6" w14:textId="77777777" w:rsidR="00C16569" w:rsidRDefault="00202EB5" w:rsidP="00FA242B">
            <w:pPr>
              <w:spacing w:after="0" w:line="240" w:lineRule="auto"/>
              <w:ind w:firstLine="0"/>
              <w:jc w:val="left"/>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1179E556" w14:textId="77777777" w:rsidR="00C16569" w:rsidRPr="00773FD2" w:rsidRDefault="00202EB5" w:rsidP="00FA242B">
            <w:pPr>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C5FD00A" w14:textId="77777777" w:rsidR="00C16569" w:rsidRPr="00773FD2" w:rsidRDefault="00202EB5" w:rsidP="00FA242B">
            <w:pPr>
              <w:spacing w:after="0" w:line="240" w:lineRule="auto"/>
              <w:ind w:firstLine="0"/>
              <w:jc w:val="left"/>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52BCC129" w14:textId="77777777" w:rsidR="00C16569" w:rsidRDefault="00202EB5" w:rsidP="00FA242B">
            <w:pPr>
              <w:spacing w:after="0" w:line="240" w:lineRule="auto"/>
              <w:ind w:firstLine="0"/>
              <w:jc w:val="left"/>
            </w:pPr>
            <w:proofErr w:type="spellStart"/>
            <w:r>
              <w:rPr>
                <w:sz w:val="20"/>
              </w:rPr>
              <w:t>Aitio</w:t>
            </w:r>
            <w:proofErr w:type="spellEnd"/>
            <w:r>
              <w:rPr>
                <w:sz w:val="20"/>
              </w:rPr>
              <w:t xml:space="preserve"> e Howey (2021)</w:t>
            </w:r>
          </w:p>
        </w:tc>
      </w:tr>
      <w:tr w:rsidR="00C16569" w14:paraId="4C3951F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2A8B4" w14:textId="77777777" w:rsidR="00C16569" w:rsidRDefault="00202EB5" w:rsidP="00FA242B">
            <w:pPr>
              <w:spacing w:after="0" w:line="240" w:lineRule="auto"/>
              <w:ind w:firstLine="0"/>
              <w:jc w:val="left"/>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9EC5E0" w14:textId="77777777" w:rsidR="00C16569" w:rsidRDefault="00202EB5" w:rsidP="00FA242B">
            <w:pPr>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0419FCF8" w14:textId="77777777" w:rsidR="00C16569" w:rsidRPr="00773FD2" w:rsidRDefault="00202EB5" w:rsidP="00FA242B">
            <w:pPr>
              <w:spacing w:after="0" w:line="240" w:lineRule="auto"/>
              <w:ind w:firstLine="0"/>
              <w:jc w:val="left"/>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740A5A5B" w14:textId="77777777" w:rsidR="00C16569" w:rsidRDefault="00202EB5" w:rsidP="00FA242B">
            <w:pPr>
              <w:spacing w:after="0" w:line="240" w:lineRule="auto"/>
              <w:ind w:firstLine="0"/>
              <w:jc w:val="left"/>
            </w:pPr>
            <w:proofErr w:type="spellStart"/>
            <w:r>
              <w:rPr>
                <w:sz w:val="20"/>
              </w:rPr>
              <w:t>Breiman</w:t>
            </w:r>
            <w:proofErr w:type="spellEnd"/>
            <w:r>
              <w:rPr>
                <w:sz w:val="20"/>
              </w:rPr>
              <w:t xml:space="preserve"> (2001)</w:t>
            </w:r>
          </w:p>
        </w:tc>
      </w:tr>
    </w:tbl>
    <w:p w14:paraId="4E0A42C7" w14:textId="77777777" w:rsidR="00C16569" w:rsidRDefault="00202EB5">
      <w:pPr>
        <w:pStyle w:val="LegendaTCC"/>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7AB0A228" w14:textId="77777777" w:rsidR="00C16569" w:rsidRPr="00773FD2" w:rsidRDefault="00202EB5">
      <w:pPr>
        <w:rPr>
          <w:lang w:val="pt-BR"/>
        </w:rPr>
      </w:pPr>
      <w:r w:rsidRPr="005435A0">
        <w:rPr>
          <w:lang w:val="pt-BR"/>
        </w:rPr>
        <w:t xml:space="preserve">A implementação foi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4F87F075" w14:textId="23DF0F61" w:rsidR="00C16569" w:rsidRPr="00773FD2" w:rsidRDefault="00B2501A" w:rsidP="003D291F">
      <w:pPr>
        <w:pStyle w:val="LegendaTCC"/>
        <w:rPr>
          <w:lang w:val="pt-BR"/>
        </w:rPr>
      </w:pPr>
      <w:r>
        <w:rPr>
          <w:lang w:val="pt-BR"/>
        </w:rPr>
        <w:lastRenderedPageBreak/>
        <w:t>Gráfico 2</w:t>
      </w:r>
      <w:r w:rsidR="00202EB5" w:rsidRPr="003D291F">
        <w:rPr>
          <w:lang w:val="pt-BR"/>
        </w:rPr>
        <w:t xml:space="preserve"> - Perfis de potência residual por cenário</w:t>
      </w:r>
      <w:r w:rsidR="00202EB5">
        <w:rPr>
          <w:noProof/>
        </w:rPr>
        <w:drawing>
          <wp:inline distT="0" distB="0" distL="0" distR="0" wp14:anchorId="79C453F3" wp14:editId="0B5CAAD5">
            <wp:extent cx="6089650" cy="621909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t="4480"/>
                    <a:stretch>
                      <a:fillRect/>
                    </a:stretch>
                  </pic:blipFill>
                  <pic:spPr bwMode="auto">
                    <a:xfrm>
                      <a:off x="0" y="0"/>
                      <a:ext cx="6093603" cy="6223129"/>
                    </a:xfrm>
                    <a:prstGeom prst="rect">
                      <a:avLst/>
                    </a:prstGeom>
                    <a:ln>
                      <a:noFill/>
                    </a:ln>
                    <a:extLst>
                      <a:ext uri="{53640926-AAD7-44D8-BBD7-CCE9431645EC}">
                        <a14:shadowObscured xmlns:a14="http://schemas.microsoft.com/office/drawing/2010/main"/>
                      </a:ext>
                    </a:extLst>
                  </pic:spPr>
                </pic:pic>
              </a:graphicData>
            </a:graphic>
          </wp:inline>
        </w:drawing>
      </w:r>
    </w:p>
    <w:p w14:paraId="55A180AD" w14:textId="77777777" w:rsidR="00445A13" w:rsidRPr="0031725B" w:rsidRDefault="00E36C01" w:rsidP="0031725B">
      <w:pPr>
        <w:jc w:val="center"/>
        <w:rPr>
          <w:sz w:val="20"/>
          <w:szCs w:val="18"/>
          <w:lang w:val="pt-BR"/>
        </w:rPr>
      </w:pPr>
      <w:r w:rsidRPr="0031725B">
        <w:rPr>
          <w:sz w:val="20"/>
          <w:szCs w:val="18"/>
          <w:lang w:val="pt-BR"/>
        </w:rPr>
        <w:t>F</w:t>
      </w:r>
      <w:r w:rsidRPr="0031725B">
        <w:rPr>
          <w:sz w:val="20"/>
          <w:szCs w:val="18"/>
          <w:lang w:val="pt-BR"/>
        </w:rPr>
        <w:t>onte: Elaborado pelos autores.</w:t>
      </w: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77777777" w:rsidR="00C16569" w:rsidRPr="00773FD2" w:rsidRDefault="00202EB5">
      <w:pPr>
        <w:rPr>
          <w:lang w:val="pt-BR"/>
        </w:rPr>
      </w:pPr>
      <w:r w:rsidRPr="002B6CEA">
        <w:rPr>
          <w:color w:val="000000"/>
          <w:lang w:val="pt-BR"/>
        </w:rPr>
        <w:t xml:space="preserve">A aplicação do modelo </w:t>
      </w:r>
      <w:proofErr w:type="spellStart"/>
      <w:r w:rsidRPr="002B6CEA">
        <w:rPr>
          <w:color w:val="000000"/>
          <w:lang w:val="pt-BR"/>
        </w:rPr>
        <w:t>MLBatLife</w:t>
      </w:r>
      <w:proofErr w:type="spellEnd"/>
      <w:r w:rsidRPr="002B6CEA">
        <w:rPr>
          <w:color w:val="000000"/>
          <w:lang w:val="pt-BR"/>
        </w:rPr>
        <w:t xml:space="preserve"> aos quatro perfis de potência residual permitiu estimar a evolução diária do SOH para cada cenário. Os perfis OPSD representam condições reais de residências alemãs com diferentes padrões de consumo e capacidade fotovoltaica, enquanto o perfil brasileiro simula uma residência típica em </w:t>
      </w:r>
      <w:proofErr w:type="spellStart"/>
      <w:r w:rsidRPr="002B6CEA">
        <w:rPr>
          <w:color w:val="000000"/>
          <w:lang w:val="pt-BR"/>
        </w:rPr>
        <w:t>Vitória-ES</w:t>
      </w:r>
      <w:proofErr w:type="spellEnd"/>
      <w:r w:rsidRPr="002B6CEA">
        <w:rPr>
          <w:color w:val="000000"/>
          <w:lang w:val="pt-BR"/>
        </w:rPr>
        <w:t xml:space="preserve"> com sistema de 5 </w:t>
      </w:r>
      <w:proofErr w:type="spellStart"/>
      <w:r w:rsidRPr="002B6CEA">
        <w:rPr>
          <w:color w:val="000000"/>
          <w:lang w:val="pt-BR"/>
        </w:rPr>
        <w:t>kWp</w:t>
      </w:r>
      <w:proofErr w:type="spellEnd"/>
      <w:r w:rsidRPr="002B6CEA">
        <w:rPr>
          <w:color w:val="000000"/>
          <w:lang w:val="pt-BR"/>
        </w:rPr>
        <w:t xml:space="preserve">. Todos os cenários utilizaram estratégia </w:t>
      </w:r>
      <w:proofErr w:type="spellStart"/>
      <w:r w:rsidRPr="002B6CEA">
        <w:rPr>
          <w:color w:val="000000"/>
          <w:lang w:val="pt-BR"/>
        </w:rPr>
        <w:t>Greedy</w:t>
      </w:r>
      <w:proofErr w:type="spellEnd"/>
      <w:r w:rsidRPr="002B6CEA">
        <w:rPr>
          <w:color w:val="000000"/>
          <w:lang w:val="pt-BR"/>
        </w:rPr>
        <w:t xml:space="preserve"> (SOH₀ = 1,0, </w:t>
      </w:r>
      <w:proofErr w:type="spellStart"/>
      <w:r w:rsidRPr="002B6CEA">
        <w:rPr>
          <w:color w:val="000000"/>
          <w:lang w:val="pt-BR"/>
        </w:rPr>
        <w:t>Qnom</w:t>
      </w:r>
      <w:proofErr w:type="spellEnd"/>
      <w:r w:rsidRPr="002B6CEA">
        <w:rPr>
          <w:color w:val="000000"/>
          <w:lang w:val="pt-BR"/>
        </w:rPr>
        <w:t xml:space="preserve"> = 5 kWh), que prioriza o autoconsumo imediato sem limitar a profundidade de descarga (LUQUE et al., 2025).</w:t>
      </w:r>
    </w:p>
    <w:p w14:paraId="2FD2554D" w14:textId="77777777" w:rsidR="00445A13" w:rsidRPr="003D291F" w:rsidRDefault="00E36C01">
      <w:pPr>
        <w:rPr>
          <w:lang w:val="pt-BR"/>
        </w:rPr>
      </w:pPr>
      <w:r w:rsidRPr="002B6CEA">
        <w:rPr>
          <w:color w:val="000000"/>
          <w:lang w:val="pt-BR"/>
        </w:rPr>
        <w:lastRenderedPageBreak/>
        <w:t>A Tabela 2 apresenta os resultados consolidados da estimativa de SOH para os quatro perfis analisados. O perfil brasileiro (</w:t>
      </w:r>
      <w:proofErr w:type="spellStart"/>
      <w:r w:rsidRPr="002B6CEA">
        <w:rPr>
          <w:color w:val="000000"/>
          <w:lang w:val="pt-BR"/>
        </w:rPr>
        <w:t>Vitória-ES</w:t>
      </w:r>
      <w:proofErr w:type="spellEnd"/>
      <w:r w:rsidRPr="002B6CEA">
        <w:rPr>
          <w:color w:val="000000"/>
          <w:lang w:val="pt-BR"/>
        </w:rPr>
        <w:t>)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diários mais intensos de carga e descarga da bateria (LUQUE et al., 2025; AITIO; HOW</w:t>
      </w:r>
      <w:r w:rsidRPr="002B6CEA">
        <w:rPr>
          <w:color w:val="000000"/>
          <w:lang w:val="pt-BR"/>
        </w:rPr>
        <w:t>EY, 2021).</w:t>
      </w:r>
    </w:p>
    <w:p w14:paraId="6EBF07AE" w14:textId="77777777" w:rsidR="00801080" w:rsidRPr="002B6CEA" w:rsidRDefault="00E36C01">
      <w:pPr>
        <w:pStyle w:val="LegendaTCC"/>
        <w:rPr>
          <w:lang w:val="pt-BR"/>
        </w:rPr>
      </w:pPr>
      <w:r w:rsidRPr="002B6CEA">
        <w:rPr>
          <w:lang w:val="pt-BR"/>
        </w:rPr>
        <w:t>Tabela 2 - Estimativa de SOH e fim de vida útil por perfil residencial</w:t>
      </w:r>
    </w:p>
    <w:tbl>
      <w:tblPr>
        <w:tblStyle w:val="SimplesTabela2"/>
        <w:tblW w:w="9214" w:type="dxa"/>
        <w:tblLook w:val="04A0" w:firstRow="1" w:lastRow="0" w:firstColumn="1" w:lastColumn="0" w:noHBand="0" w:noVBand="1"/>
      </w:tblPr>
      <w:tblGrid>
        <w:gridCol w:w="1827"/>
        <w:gridCol w:w="1437"/>
        <w:gridCol w:w="1531"/>
        <w:gridCol w:w="1407"/>
        <w:gridCol w:w="1751"/>
        <w:gridCol w:w="1261"/>
      </w:tblGrid>
      <w:tr w:rsidR="004D3733" w14:paraId="366229ED" w14:textId="77777777" w:rsidTr="008F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56235A" w14:textId="77777777" w:rsidR="004D3733" w:rsidRDefault="00E36C01" w:rsidP="008F5ADA">
            <w:pPr>
              <w:spacing w:line="240" w:lineRule="auto"/>
              <w:ind w:firstLine="0"/>
            </w:pPr>
            <w:proofErr w:type="spellStart"/>
            <w:r>
              <w:t>Perfil</w:t>
            </w:r>
            <w:proofErr w:type="spellEnd"/>
          </w:p>
        </w:tc>
        <w:tc>
          <w:tcPr>
            <w:tcW w:w="1455" w:type="dxa"/>
          </w:tcPr>
          <w:p w14:paraId="4C9717E0"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Período (dias)</w:t>
            </w:r>
          </w:p>
        </w:tc>
        <w:tc>
          <w:tcPr>
            <w:tcW w:w="1454" w:type="dxa"/>
          </w:tcPr>
          <w:p w14:paraId="5B7BC098" w14:textId="75DEADF5"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SOH@1ano</w:t>
            </w:r>
          </w:p>
        </w:tc>
        <w:tc>
          <w:tcPr>
            <w:tcW w:w="1432" w:type="dxa"/>
          </w:tcPr>
          <w:p w14:paraId="3598675A"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SOH final</w:t>
            </w:r>
          </w:p>
        </w:tc>
        <w:tc>
          <w:tcPr>
            <w:tcW w:w="1751" w:type="dxa"/>
          </w:tcPr>
          <w:p w14:paraId="32C1C342"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Classificação</w:t>
            </w:r>
          </w:p>
        </w:tc>
        <w:tc>
          <w:tcPr>
            <w:tcW w:w="1279" w:type="dxa"/>
          </w:tcPr>
          <w:p w14:paraId="4E6C9377" w14:textId="77777777" w:rsidR="004D3733" w:rsidRDefault="00E36C01" w:rsidP="008F5ADA">
            <w:pPr>
              <w:spacing w:line="240" w:lineRule="auto"/>
              <w:ind w:firstLine="0"/>
              <w:cnfStyle w:val="100000000000" w:firstRow="1" w:lastRow="0" w:firstColumn="0" w:lastColumn="0" w:oddVBand="0" w:evenVBand="0" w:oddHBand="0" w:evenHBand="0" w:firstRowFirstColumn="0" w:firstRowLastColumn="0" w:lastRowFirstColumn="0" w:lastRowLastColumn="0"/>
            </w:pPr>
            <w:r>
              <w:t>EOL est. (anos)</w:t>
            </w:r>
          </w:p>
        </w:tc>
      </w:tr>
      <w:tr w:rsidR="004D3733" w14:paraId="31D9F456"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F3FF0" w14:textId="77777777" w:rsidR="004D3733" w:rsidRDefault="00E36C01" w:rsidP="0019346F">
            <w:pPr>
              <w:ind w:firstLine="0"/>
            </w:pPr>
            <w:r>
              <w:t>Residencial Alemão A</w:t>
            </w:r>
          </w:p>
        </w:tc>
        <w:tc>
          <w:tcPr>
            <w:tcW w:w="1455" w:type="dxa"/>
          </w:tcPr>
          <w:p w14:paraId="6B74C808"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495</w:t>
            </w:r>
          </w:p>
        </w:tc>
        <w:tc>
          <w:tcPr>
            <w:tcW w:w="1454" w:type="dxa"/>
          </w:tcPr>
          <w:p w14:paraId="7A2ABFD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0.9405</w:t>
            </w:r>
          </w:p>
        </w:tc>
        <w:tc>
          <w:tcPr>
            <w:tcW w:w="1432" w:type="dxa"/>
          </w:tcPr>
          <w:p w14:paraId="550E41FE"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0.9279</w:t>
            </w:r>
          </w:p>
        </w:tc>
        <w:tc>
          <w:tcPr>
            <w:tcW w:w="1751" w:type="dxa"/>
          </w:tcPr>
          <w:p w14:paraId="1F06919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Saudável</w:t>
            </w:r>
          </w:p>
        </w:tc>
        <w:tc>
          <w:tcPr>
            <w:tcW w:w="1279" w:type="dxa"/>
          </w:tcPr>
          <w:p w14:paraId="5A0CA31A"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4.9</w:t>
            </w:r>
          </w:p>
        </w:tc>
      </w:tr>
      <w:tr w:rsidR="004D3733" w14:paraId="69BA5864"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117F638F" w14:textId="77777777" w:rsidR="004D3733" w:rsidRDefault="00E36C01" w:rsidP="0019346F">
            <w:pPr>
              <w:ind w:firstLine="0"/>
            </w:pPr>
            <w:r>
              <w:t>Residencial Alemão B</w:t>
            </w:r>
          </w:p>
        </w:tc>
        <w:tc>
          <w:tcPr>
            <w:tcW w:w="1455" w:type="dxa"/>
          </w:tcPr>
          <w:p w14:paraId="5F1B1008"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847</w:t>
            </w:r>
          </w:p>
        </w:tc>
        <w:tc>
          <w:tcPr>
            <w:tcW w:w="1454" w:type="dxa"/>
          </w:tcPr>
          <w:p w14:paraId="2C42EDC1"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0.9316</w:t>
            </w:r>
          </w:p>
        </w:tc>
        <w:tc>
          <w:tcPr>
            <w:tcW w:w="1432" w:type="dxa"/>
          </w:tcPr>
          <w:p w14:paraId="1EA7DFB4"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0.8956</w:t>
            </w:r>
          </w:p>
        </w:tc>
        <w:tc>
          <w:tcPr>
            <w:tcW w:w="1751" w:type="dxa"/>
          </w:tcPr>
          <w:p w14:paraId="293DC705"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Atenção</w:t>
            </w:r>
          </w:p>
        </w:tc>
        <w:tc>
          <w:tcPr>
            <w:tcW w:w="1279" w:type="dxa"/>
          </w:tcPr>
          <w:p w14:paraId="4208E15C"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4.9</w:t>
            </w:r>
          </w:p>
        </w:tc>
      </w:tr>
      <w:tr w:rsidR="004D3733" w14:paraId="1D00D2FB"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DDE998" w14:textId="77777777" w:rsidR="004D3733" w:rsidRDefault="00E36C01" w:rsidP="0019346F">
            <w:pPr>
              <w:ind w:firstLine="0"/>
            </w:pPr>
            <w:r>
              <w:t>Residencial Alemão C</w:t>
            </w:r>
          </w:p>
        </w:tc>
        <w:tc>
          <w:tcPr>
            <w:tcW w:w="1455" w:type="dxa"/>
          </w:tcPr>
          <w:p w14:paraId="585729F5"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694</w:t>
            </w:r>
          </w:p>
        </w:tc>
        <w:tc>
          <w:tcPr>
            <w:tcW w:w="1454" w:type="dxa"/>
          </w:tcPr>
          <w:p w14:paraId="22F18F9F"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0.9403</w:t>
            </w:r>
          </w:p>
        </w:tc>
        <w:tc>
          <w:tcPr>
            <w:tcW w:w="1432" w:type="dxa"/>
          </w:tcPr>
          <w:p w14:paraId="281F84A7"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0.9216</w:t>
            </w:r>
          </w:p>
        </w:tc>
        <w:tc>
          <w:tcPr>
            <w:tcW w:w="1751" w:type="dxa"/>
          </w:tcPr>
          <w:p w14:paraId="5C30D5DB"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Saudável</w:t>
            </w:r>
          </w:p>
        </w:tc>
        <w:tc>
          <w:tcPr>
            <w:tcW w:w="1279" w:type="dxa"/>
          </w:tcPr>
          <w:p w14:paraId="58890E92" w14:textId="77777777" w:rsidR="004D3733" w:rsidRDefault="00E36C01" w:rsidP="0019346F">
            <w:pPr>
              <w:ind w:firstLine="0"/>
              <w:cnfStyle w:val="000000100000" w:firstRow="0" w:lastRow="0" w:firstColumn="0" w:lastColumn="0" w:oddVBand="0" w:evenVBand="0" w:oddHBand="1" w:evenHBand="0" w:firstRowFirstColumn="0" w:firstRowLastColumn="0" w:lastRowFirstColumn="0" w:lastRowLastColumn="0"/>
            </w:pPr>
            <w:r>
              <w:t>6.3</w:t>
            </w:r>
          </w:p>
        </w:tc>
      </w:tr>
      <w:tr w:rsidR="004D3733" w14:paraId="691EB387"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43AA95CA" w14:textId="77777777" w:rsidR="004D3733" w:rsidRDefault="00E36C01" w:rsidP="0019346F">
            <w:pPr>
              <w:ind w:firstLine="0"/>
            </w:pPr>
            <w:r>
              <w:t>Residencial Brasil</w:t>
            </w:r>
          </w:p>
        </w:tc>
        <w:tc>
          <w:tcPr>
            <w:tcW w:w="1455" w:type="dxa"/>
          </w:tcPr>
          <w:p w14:paraId="02413F7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1825</w:t>
            </w:r>
          </w:p>
        </w:tc>
        <w:tc>
          <w:tcPr>
            <w:tcW w:w="1454" w:type="dxa"/>
          </w:tcPr>
          <w:p w14:paraId="1C2CDDAD"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0.9169</w:t>
            </w:r>
          </w:p>
        </w:tc>
        <w:tc>
          <w:tcPr>
            <w:tcW w:w="1432" w:type="dxa"/>
          </w:tcPr>
          <w:p w14:paraId="0040EBBA"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0.8055</w:t>
            </w:r>
          </w:p>
        </w:tc>
        <w:tc>
          <w:tcPr>
            <w:tcW w:w="1751" w:type="dxa"/>
          </w:tcPr>
          <w:p w14:paraId="559FF9B0"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Atenção</w:t>
            </w:r>
          </w:p>
        </w:tc>
        <w:tc>
          <w:tcPr>
            <w:tcW w:w="1279" w:type="dxa"/>
          </w:tcPr>
          <w:p w14:paraId="753ABAD7" w14:textId="77777777" w:rsidR="004D3733" w:rsidRDefault="00E36C01" w:rsidP="0019346F">
            <w:pPr>
              <w:ind w:firstLine="0"/>
              <w:cnfStyle w:val="000000000000" w:firstRow="0" w:lastRow="0" w:firstColumn="0" w:lastColumn="0" w:oddVBand="0" w:evenVBand="0" w:oddHBand="0" w:evenHBand="0" w:firstRowFirstColumn="0" w:firstRowLastColumn="0" w:lastRowFirstColumn="0" w:lastRowLastColumn="0"/>
            </w:pPr>
            <w:r>
              <w:t>5.2</w:t>
            </w:r>
          </w:p>
        </w:tc>
      </w:tr>
    </w:tbl>
    <w:p w14:paraId="7F76920D" w14:textId="77777777" w:rsidR="00801080" w:rsidRDefault="00E36C01">
      <w:pPr>
        <w:pStyle w:val="LegendaTCC"/>
        <w:rPr>
          <w:lang w:val="pt-BR"/>
        </w:rPr>
      </w:pPr>
      <w:r w:rsidRPr="002B6CEA">
        <w:rPr>
          <w:lang w:val="pt-BR"/>
        </w:rPr>
        <w:t xml:space="preserve">Fonte: Elaborado pelos autores com dados do </w:t>
      </w:r>
      <w:proofErr w:type="spellStart"/>
      <w:r w:rsidRPr="002B6CEA">
        <w:rPr>
          <w:lang w:val="pt-BR"/>
        </w:rPr>
        <w:t>MLBatLife</w:t>
      </w:r>
      <w:proofErr w:type="spellEnd"/>
      <w:r w:rsidRPr="002B6CEA">
        <w:rPr>
          <w:lang w:val="pt-BR"/>
        </w:rPr>
        <w:t>.</w:t>
      </w:r>
    </w:p>
    <w:p w14:paraId="5E31E4AD" w14:textId="77777777" w:rsidR="008216EF" w:rsidRPr="002B6CEA" w:rsidRDefault="008216EF">
      <w:pPr>
        <w:pStyle w:val="LegendaTCC"/>
        <w:rPr>
          <w:lang w:val="pt-BR"/>
        </w:rPr>
      </w:pPr>
    </w:p>
    <w:p w14:paraId="576278BD" w14:textId="77777777" w:rsidR="00C16569" w:rsidRPr="00773FD2" w:rsidRDefault="00202EB5">
      <w:pPr>
        <w:rPr>
          <w:lang w:val="pt-BR"/>
        </w:rPr>
      </w:pPr>
      <w:r w:rsidRPr="002B6CEA">
        <w:rPr>
          <w:color w:val="000000"/>
          <w:lang w:val="pt-BR"/>
        </w:rPr>
        <w:t>A análise das features extraídas pelo MLBatLife revelou diferenças significativas entre os perfis. A feature T1 (média diária da potência residual) reflete o balanço entre geração e consumo: valores negativos indicam excedente solar, enquanto valores positivos indicam consumo predominante. A feature T4 (média absoluta da potência) quantifica a intensidade de uso do sistema, independentemente da direção do fluxo de energia (LUQUE et al., 2025).</w:t>
      </w:r>
    </w:p>
    <w:p w14:paraId="77BEBFDA" w14:textId="77777777" w:rsidR="00C16569" w:rsidRPr="00773FD2" w:rsidRDefault="00202EB5">
      <w:pPr>
        <w:rPr>
          <w:lang w:val="pt-BR"/>
        </w:rPr>
      </w:pPr>
      <w:r w:rsidRPr="002B6CEA">
        <w:rPr>
          <w:color w:val="000000"/>
          <w:lang w:val="pt-BR"/>
        </w:rPr>
        <w:t xml:space="preserve">Observou-se que a taxa de degradação não é uniforme ao longo do tempo. Nos primeiros dias de operação, a queda de SOH é mais acentuada, correspondendo à fase de formação da camada SEI (Solid Electrolyte Interphase), fenômeno bem documentado na literatura (DUBARRY; TRUCHOT; LIAW, 2012; BIRKL et al., 2017). Após esse período inicial (break-in), a degradação segue um regime </w:t>
      </w:r>
      <w:r w:rsidRPr="002B6CEA">
        <w:rPr>
          <w:color w:val="000000"/>
          <w:lang w:val="pt-BR"/>
        </w:rPr>
        <w:lastRenderedPageBreak/>
        <w:t>aproximadamente linear. Para a estimativa do fim de vida útil (EOL), adotou-se regressão linear sobre a curva completa de SOH, excluindo os primeiros 30 dias (break-in). O slope resultante foi aplicado a partir do último SOH observado, ancorando a projeção no estado mais recente da bateria. Essa abordagem é consistente com modelos de degradação linear em regime estacionário (BARRÉ et al., 2013) e com o conceito de vida útil remanescente (RUL) (XU et al., 2018). O limiar de EOL foi definido em SOH = 0,80, conforme a norma IEC 61427, amplamente adotada na literatura (SEVERSON et al., 2019).</w:t>
      </w:r>
    </w:p>
    <w:p w14:paraId="6536F45D" w14:textId="3526E125" w:rsidR="00C16569" w:rsidRDefault="00202EB5" w:rsidP="003D291F">
      <w:pPr>
        <w:pStyle w:val="LegendaTCC"/>
        <w:rPr>
          <w:lang w:val="pt-BR"/>
        </w:rPr>
      </w:pPr>
      <w:r w:rsidRPr="003D291F">
        <w:rPr>
          <w:lang w:val="pt-BR"/>
        </w:rPr>
        <w:t>Gráfico 1 - Comparação da evolução do SOH entre perfis residenciais</w:t>
      </w:r>
    </w:p>
    <w:p w14:paraId="39981ECF" w14:textId="78AFBA67" w:rsidR="00DF3B0B" w:rsidRPr="00773FD2" w:rsidRDefault="00E15BD0" w:rsidP="003D291F">
      <w:pPr>
        <w:pStyle w:val="LegendaTCC"/>
        <w:rPr>
          <w:lang w:val="pt-BR"/>
        </w:rPr>
      </w:pPr>
      <w:r w:rsidRPr="00E15BD0">
        <w:rPr>
          <w:lang w:val="pt-BR"/>
        </w:rPr>
        <w:drawing>
          <wp:inline distT="0" distB="0" distL="0" distR="0" wp14:anchorId="088EFEC7" wp14:editId="0F762248">
            <wp:extent cx="5760720" cy="2848610"/>
            <wp:effectExtent l="0" t="0" r="0" b="8890"/>
            <wp:docPr id="1428036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6953" name=""/>
                    <pic:cNvPicPr/>
                  </pic:nvPicPr>
                  <pic:blipFill>
                    <a:blip r:embed="rId10"/>
                    <a:stretch>
                      <a:fillRect/>
                    </a:stretch>
                  </pic:blipFill>
                  <pic:spPr>
                    <a:xfrm>
                      <a:off x="0" y="0"/>
                      <a:ext cx="5760720" cy="2848610"/>
                    </a:xfrm>
                    <a:prstGeom prst="rect">
                      <a:avLst/>
                    </a:prstGeom>
                  </pic:spPr>
                </pic:pic>
              </a:graphicData>
            </a:graphic>
          </wp:inline>
        </w:drawing>
      </w:r>
    </w:p>
    <w:p w14:paraId="0011184A" w14:textId="77777777" w:rsidR="003D291F" w:rsidRDefault="003D291F" w:rsidP="003D291F">
      <w:pPr>
        <w:pStyle w:val="LegendaTCC"/>
        <w:spacing w:before="60" w:after="120"/>
        <w:rPr>
          <w:color w:val="000000"/>
          <w:lang w:val="pt-BR"/>
        </w:rPr>
      </w:pPr>
      <w:r w:rsidRPr="00773FD2">
        <w:rPr>
          <w:color w:val="000000"/>
          <w:lang w:val="pt-BR"/>
        </w:rPr>
        <w:t>Fonte: Produzido pelos autores.</w:t>
      </w:r>
    </w:p>
    <w:p w14:paraId="69A63B94" w14:textId="77777777" w:rsidR="003D291F" w:rsidRPr="00773FD2" w:rsidRDefault="003D291F" w:rsidP="00DF3B0B">
      <w:pPr>
        <w:pStyle w:val="LegendaTCC"/>
        <w:spacing w:before="60" w:after="120"/>
        <w:jc w:val="both"/>
        <w:rPr>
          <w:lang w:val="pt-BR"/>
        </w:rPr>
      </w:pPr>
    </w:p>
    <w:p w14:paraId="4754F355" w14:textId="77777777" w:rsidR="00C16569" w:rsidRPr="00773FD2" w:rsidRDefault="00202EB5">
      <w:pPr>
        <w:rPr>
          <w:lang w:val="pt-BR"/>
        </w:rPr>
      </w:pPr>
      <w:r w:rsidRPr="002B6CEA">
        <w:rPr>
          <w:color w:val="000000"/>
          <w:lang w:val="pt-BR"/>
        </w:rPr>
        <w:t>A comparação entre os perfis evidenciou que o padrão de consumo residencial e a capacidade do sistema fotovoltaico exercem influência direta sobre a taxa de degradação da bateria. O perfil Residencial Alemão B, que combina bomba de calor e veículo elétrico, apresentou a degradação mais intensa entre os perfis alemães, com EOL estimado em 4,9 anos. O perfil Residencial Alemão C, com menor intensidade de uso (T4 mais baixo), apresentou degradação mais lenta e EOL estimado em 6,3 anos. O perfil Residencial Brasil, com 5 anos de dados simulados, atingiu SOH próximo ao limiar de atenção (0,8055), com EOL estimado em 5,2 anos, refletindo a maior ciclagem imposta pela irradiação solar de Vitória-ES (BARRÉ et al., 2013; LUQUE et al., 2025).</w:t>
      </w:r>
    </w:p>
    <w:p w14:paraId="2107EE0E" w14:textId="77777777" w:rsidR="00C16569" w:rsidRPr="00773FD2" w:rsidRDefault="00202EB5">
      <w:pPr>
        <w:pStyle w:val="Ttulo1"/>
        <w:rPr>
          <w:lang w:val="pt-BR"/>
        </w:rPr>
      </w:pPr>
      <w:r w:rsidRPr="00773FD2">
        <w:rPr>
          <w:rFonts w:ascii="Arial" w:eastAsia="Arial" w:hAnsi="Arial"/>
          <w:lang w:val="pt-BR"/>
        </w:rPr>
        <w:lastRenderedPageBreak/>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Os resultados demonstraram que o padrão de consumo e a capacidade fotovoltaica instalada influenciam diretamente a taxa de degradação da bateria, com o perfil brasileiro apresentando SOH final de 0,8055 após cinco anos de operação 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02CDEB9F" w14:textId="77777777" w:rsidR="00801080" w:rsidRPr="002B6CEA" w:rsidRDefault="00E36C01">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Pr="002B6CEA">
        <w:rPr>
          <w:lang w:val="pt-BR"/>
        </w:rPr>
        <w:t xml:space="preserve">. Agência Nacional de Energia Elétrica. Resolução Normativa nº 927, de 14 de dezembro de 2021. Estabelece regras para o </w:t>
      </w:r>
      <w:proofErr w:type="spellStart"/>
      <w:r w:rsidRPr="002B6CEA">
        <w:rPr>
          <w:lang w:val="pt-BR"/>
        </w:rPr>
        <w:t>constrained</w:t>
      </w:r>
      <w:proofErr w:type="spellEnd"/>
      <w:r w:rsidRPr="002B6CEA">
        <w:rPr>
          <w:lang w:val="pt-BR"/>
        </w:rPr>
        <w:t>-off de centrais geradoras. Diário Oficial da União, Brasília, 2021.</w:t>
      </w:r>
    </w:p>
    <w:p w14:paraId="71948F36" w14:textId="77777777" w:rsidR="00801080" w:rsidRDefault="00E36C01">
      <w:pPr>
        <w:pStyle w:val="ReferenciaTCC"/>
      </w:pPr>
      <w:r>
        <w:t>BREIMAN, Leo. Random forests. Machine Learning, v. 45, p. 5-32, 2001.</w:t>
      </w:r>
    </w:p>
    <w:p w14:paraId="6B470C64" w14:textId="77777777" w:rsidR="00801080" w:rsidRPr="002B6CEA" w:rsidRDefault="00E36C01">
      <w:pPr>
        <w:pStyle w:val="ReferenciaTCC"/>
        <w:rPr>
          <w:lang w:val="pt-BR"/>
        </w:rPr>
      </w:pPr>
      <w:r>
        <w:t xml:space="preserve">CHEN, Tianqi; GUESTRIN, Carlos. XGBoost: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E36C01">
      <w:pPr>
        <w:pStyle w:val="ReferenciaTCC"/>
      </w:pPr>
      <w:r w:rsidRPr="002B6CEA">
        <w:rPr>
          <w:lang w:val="pt-BR"/>
        </w:rPr>
        <w:lastRenderedPageBreak/>
        <w:t xml:space="preserve">EMPRESA DE PESQUISA ENERGÉTICA. Anuário estatístico de energia elétrica 2023: ano base 2022. </w:t>
      </w:r>
      <w:r>
        <w:t>Rio de Janeiro: EPE, 2023.</w:t>
      </w:r>
    </w:p>
    <w:p w14:paraId="3C0DC589" w14:textId="77777777" w:rsidR="00801080" w:rsidRDefault="00E36C01">
      <w:pPr>
        <w:pStyle w:val="ReferenciaTCC"/>
      </w:pPr>
      <w:r>
        <w:t>HULD, Thomas et al. A new solar radiation database for estimating PV performance in Europe and Africa. Solar Energy, v. 86, n. 6, p. 1803-1815, 2012.</w:t>
      </w:r>
    </w:p>
    <w:p w14:paraId="775FF5D4" w14:textId="77777777" w:rsidR="00801080" w:rsidRDefault="00E36C01">
      <w:pPr>
        <w:pStyle w:val="ReferenciaTCC"/>
      </w:pPr>
      <w:r>
        <w:t>LUQUE, Joaquin et al. Machine learning estimation of battery state of health in residential photovoltaic systems. Future Batteries, v. 5, 100039, 2025.</w:t>
      </w:r>
    </w:p>
    <w:p w14:paraId="3766B6C9" w14:textId="77777777" w:rsidR="00801080" w:rsidRDefault="00E36C01">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E36C01">
      <w:pPr>
        <w:pStyle w:val="ReferenciaTCC"/>
      </w:pPr>
      <w:r>
        <w:t>PEDREGOSA, Fabian et al. Scikit-learn: machine learning in Python. Journal of Machine Learning Research, v. 12, p. 2825-2830, 2011.</w:t>
      </w:r>
    </w:p>
    <w:p w14:paraId="74FF313C" w14:textId="77777777" w:rsidR="00801080" w:rsidRPr="002B6CEA" w:rsidRDefault="00E36C01">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E36C01">
      <w:pPr>
        <w:pStyle w:val="ReferenciaTCC"/>
      </w:pPr>
      <w:r w:rsidRPr="002B6CEA">
        <w:rPr>
          <w:lang w:val="pt-BR"/>
        </w:rPr>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E36C01">
      <w:pPr>
        <w:pStyle w:val="ReferenciaTCC"/>
      </w:pPr>
      <w:r>
        <w:t>RASMUSSEN, Carl Edward; WILLIAMS, Christopher K. I. Gaussian Processes for Machine Learning. Cambridge: MIT Press, 2006.</w:t>
      </w:r>
    </w:p>
    <w:p w14:paraId="577C776F" w14:textId="77777777" w:rsidR="00801080" w:rsidRDefault="00E36C01">
      <w:pPr>
        <w:pStyle w:val="ReferenciaTCC"/>
      </w:pPr>
      <w:r>
        <w:t>RUSSELL, Stuart; NORVIG, Peter. Artificial intelligence: a modern approach. 4. ed. Hoboken: Pearson, 2020.</w:t>
      </w:r>
    </w:p>
    <w:p w14:paraId="5CFED090" w14:textId="77777777" w:rsidR="00801080" w:rsidRPr="002B6CEA" w:rsidRDefault="00E36C01">
      <w:pPr>
        <w:pStyle w:val="ReferenciaTCC"/>
        <w:rPr>
          <w:lang w:val="pt-BR"/>
        </w:rPr>
      </w:pPr>
      <w:r>
        <w:t xml:space="preserve">SILVA, Ricardo Emanuel Gomes Fernandes da. Artificial intelligence techniques applied for the predictive control of stationary storage. </w:t>
      </w:r>
      <w:r w:rsidRPr="002B6CEA">
        <w:rPr>
          <w:lang w:val="pt-BR"/>
        </w:rPr>
        <w:t xml:space="preserve">2018. 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59DA31C3" w14:textId="77777777" w:rsidR="00801080" w:rsidRPr="00B643B9" w:rsidRDefault="00E36C01">
      <w:pPr>
        <w:pStyle w:val="ReferenciaTCC"/>
      </w:pPr>
      <w:r>
        <w:t>BARRÉ, Anthony et al. A review on lithium-ion battery ageing mechanisms and estimations for automotive applications. Journal of Power Sources, v. 241, p. 680-689, 2013.</w:t>
      </w:r>
    </w:p>
    <w:p w14:paraId="22B3D903" w14:textId="77777777" w:rsidR="00801080" w:rsidRPr="00B643B9" w:rsidRDefault="00E36C01">
      <w:pPr>
        <w:pStyle w:val="ReferenciaTCC"/>
      </w:pPr>
      <w:r>
        <w:t xml:space="preserve">BIRKL, Christoph R. et al. Degradation diagnostics for </w:t>
      </w:r>
      <w:proofErr w:type="gramStart"/>
      <w:r>
        <w:t>lithium ion</w:t>
      </w:r>
      <w:proofErr w:type="gramEnd"/>
      <w:r>
        <w:t xml:space="preserve"> cells. Journal of Power Sources, v. 341, p. 373-386, 2017.</w:t>
      </w:r>
    </w:p>
    <w:p w14:paraId="68991364" w14:textId="77777777" w:rsidR="00801080" w:rsidRPr="00B643B9" w:rsidRDefault="00E36C01">
      <w:pPr>
        <w:pStyle w:val="ReferenciaTCC"/>
      </w:pPr>
      <w:r>
        <w:t>DUBARRY, Matthieu; TRUCHOT, Cyril; LIAW, Bor Yann. Synthesize battery degradation modes via a diagnostic and prognostic model. Journal of Power Sources, v. 219, p. 204-216, 2012.</w:t>
      </w:r>
    </w:p>
    <w:p w14:paraId="5389D239" w14:textId="77777777" w:rsidR="00801080" w:rsidRPr="00B643B9" w:rsidRDefault="00E36C01">
      <w:pPr>
        <w:pStyle w:val="ReferenciaTCC"/>
      </w:pPr>
      <w:r>
        <w:t>SEVERSON, Kristen A. et al. Data-driven prediction of battery cycle life before capacity degradation. Nature Energy, v. 4, p. 383-391, 2019.</w:t>
      </w:r>
    </w:p>
    <w:p w14:paraId="6952A7F3" w14:textId="77777777" w:rsidR="00801080" w:rsidRPr="002B6CEA" w:rsidRDefault="00E36C01">
      <w:pPr>
        <w:pStyle w:val="ReferenciaTCC"/>
        <w:rPr>
          <w:lang w:val="pt-BR"/>
        </w:rPr>
      </w:pPr>
      <w:r>
        <w:t xml:space="preserve">XU, </w:t>
      </w:r>
      <w:proofErr w:type="spellStart"/>
      <w:r>
        <w:t>Bolun</w:t>
      </w:r>
      <w:proofErr w:type="spellEnd"/>
      <w:r>
        <w:t xml:space="preserve"> et al. Modeling of lithium-ion battery degradation for cell life assessment. </w:t>
      </w:r>
      <w:r w:rsidRPr="00B643B9">
        <w:rPr>
          <w:lang w:val="pt-BR"/>
        </w:rPr>
        <w:t xml:space="preserve">IEEE </w:t>
      </w:r>
      <w:proofErr w:type="spellStart"/>
      <w:r w:rsidRPr="00B643B9">
        <w:rPr>
          <w:lang w:val="pt-BR"/>
        </w:rPr>
        <w:t>Transactions</w:t>
      </w:r>
      <w:proofErr w:type="spellEnd"/>
      <w:r w:rsidRPr="00B643B9">
        <w:rPr>
          <w:lang w:val="pt-BR"/>
        </w:rPr>
        <w:t xml:space="preserve"> </w:t>
      </w:r>
      <w:proofErr w:type="spellStart"/>
      <w:r w:rsidRPr="00B643B9">
        <w:rPr>
          <w:lang w:val="pt-BR"/>
        </w:rPr>
        <w:t>on</w:t>
      </w:r>
      <w:proofErr w:type="spellEnd"/>
      <w:r w:rsidRPr="00B643B9">
        <w:rPr>
          <w:lang w:val="pt-BR"/>
        </w:rPr>
        <w:t xml:space="preserve"> </w:t>
      </w:r>
      <w:proofErr w:type="spellStart"/>
      <w:r w:rsidRPr="00B643B9">
        <w:rPr>
          <w:lang w:val="pt-BR"/>
        </w:rPr>
        <w:t>Smart</w:t>
      </w:r>
      <w:proofErr w:type="spellEnd"/>
      <w:r w:rsidRPr="00B643B9">
        <w:rPr>
          <w:lang w:val="pt-BR"/>
        </w:rPr>
        <w:t xml:space="preserve"> Grid, v. 9, n. 2, p. 1510-1519, 2018.</w:t>
      </w:r>
    </w:p>
    <w:p w14:paraId="3AA27583" w14:textId="0351612A" w:rsidR="00EC6718" w:rsidRPr="00773FD2" w:rsidRDefault="00EC6718" w:rsidP="004C5D9D">
      <w:pPr>
        <w:ind w:firstLine="0"/>
        <w:rPr>
          <w:lang w:val="pt-BR"/>
        </w:rPr>
      </w:pPr>
    </w:p>
    <w:sectPr w:rsidR="00EC6718" w:rsidRPr="00773FD2" w:rsidSect="00034616">
      <w:headerReference w:type="default" r:id="rId11"/>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D835" w14:textId="77777777" w:rsidR="00E36C01" w:rsidRDefault="00E36C01">
      <w:pPr>
        <w:spacing w:after="0" w:line="240" w:lineRule="auto"/>
      </w:pPr>
      <w:r>
        <w:separator/>
      </w:r>
    </w:p>
  </w:endnote>
  <w:endnote w:type="continuationSeparator" w:id="0">
    <w:p w14:paraId="5BA1DD53" w14:textId="77777777" w:rsidR="00E36C01" w:rsidRDefault="00E3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C077" w14:textId="77777777" w:rsidR="00E36C01" w:rsidRDefault="00E36C01">
      <w:pPr>
        <w:spacing w:after="0" w:line="240" w:lineRule="auto"/>
      </w:pPr>
      <w:r>
        <w:separator/>
      </w:r>
    </w:p>
  </w:footnote>
  <w:footnote w:type="continuationSeparator" w:id="0">
    <w:p w14:paraId="21E84201" w14:textId="77777777" w:rsidR="00E36C01" w:rsidRDefault="00E36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EC"/>
    <w:rsid w:val="0007696B"/>
    <w:rsid w:val="000E3D30"/>
    <w:rsid w:val="0015074B"/>
    <w:rsid w:val="0019346F"/>
    <w:rsid w:val="00202EB5"/>
    <w:rsid w:val="00252611"/>
    <w:rsid w:val="0028783E"/>
    <w:rsid w:val="0029639D"/>
    <w:rsid w:val="002B6CEA"/>
    <w:rsid w:val="0031725B"/>
    <w:rsid w:val="003202DD"/>
    <w:rsid w:val="00326F90"/>
    <w:rsid w:val="003D291F"/>
    <w:rsid w:val="00445A13"/>
    <w:rsid w:val="004C5D9D"/>
    <w:rsid w:val="004D3733"/>
    <w:rsid w:val="004D3CD2"/>
    <w:rsid w:val="005435A0"/>
    <w:rsid w:val="005537B3"/>
    <w:rsid w:val="00577FEB"/>
    <w:rsid w:val="005B079F"/>
    <w:rsid w:val="005C57BD"/>
    <w:rsid w:val="005E70E2"/>
    <w:rsid w:val="0066790C"/>
    <w:rsid w:val="006F10C5"/>
    <w:rsid w:val="00720F52"/>
    <w:rsid w:val="00773FD2"/>
    <w:rsid w:val="007E55BE"/>
    <w:rsid w:val="00801080"/>
    <w:rsid w:val="00801B15"/>
    <w:rsid w:val="008216EF"/>
    <w:rsid w:val="008778EA"/>
    <w:rsid w:val="008C0181"/>
    <w:rsid w:val="008F5ADA"/>
    <w:rsid w:val="008F6BD8"/>
    <w:rsid w:val="00921A9A"/>
    <w:rsid w:val="0096329E"/>
    <w:rsid w:val="00974B41"/>
    <w:rsid w:val="00976A0A"/>
    <w:rsid w:val="00977EC9"/>
    <w:rsid w:val="00984F41"/>
    <w:rsid w:val="009B2AC6"/>
    <w:rsid w:val="00A1738A"/>
    <w:rsid w:val="00A6729D"/>
    <w:rsid w:val="00A955D7"/>
    <w:rsid w:val="00AA1D8D"/>
    <w:rsid w:val="00AE27DA"/>
    <w:rsid w:val="00B2501A"/>
    <w:rsid w:val="00B47730"/>
    <w:rsid w:val="00B604B8"/>
    <w:rsid w:val="00B643B9"/>
    <w:rsid w:val="00BA331E"/>
    <w:rsid w:val="00BA5218"/>
    <w:rsid w:val="00BE3677"/>
    <w:rsid w:val="00C16569"/>
    <w:rsid w:val="00C349AF"/>
    <w:rsid w:val="00C46F54"/>
    <w:rsid w:val="00C978DF"/>
    <w:rsid w:val="00CB0664"/>
    <w:rsid w:val="00D24D52"/>
    <w:rsid w:val="00D73B44"/>
    <w:rsid w:val="00D83B2F"/>
    <w:rsid w:val="00DF3B0B"/>
    <w:rsid w:val="00E15BD0"/>
    <w:rsid w:val="00E36C01"/>
    <w:rsid w:val="00E535F7"/>
    <w:rsid w:val="00EC6718"/>
    <w:rsid w:val="00EF5CBE"/>
    <w:rsid w:val="00EF604A"/>
    <w:rsid w:val="00F0199F"/>
    <w:rsid w:val="00F47297"/>
    <w:rsid w:val="00F52B73"/>
    <w:rsid w:val="00F82EB8"/>
    <w:rsid w:val="00FA242B"/>
    <w:rsid w:val="00FC0D6B"/>
    <w:rsid w:val="00FC693F"/>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14</Pages>
  <Words>4105</Words>
  <Characters>22169</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26222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43</cp:revision>
  <dcterms:created xsi:type="dcterms:W3CDTF">2026-05-27T02:37:00Z</dcterms:created>
  <dcterms:modified xsi:type="dcterms:W3CDTF">2026-05-30T04:27:00Z</dcterms:modified>
  <cp:category/>
</cp:coreProperties>
</file>