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77777777" w:rsidR="00C16569" w:rsidRPr="00773FD2" w:rsidRDefault="00202EB5" w:rsidP="00C46F54">
      <w:pPr>
        <w:rPr>
          <w:lang w:val="pt-BR"/>
        </w:rPr>
      </w:pPr>
      <w:r w:rsidRPr="00773FD2">
        <w:rPr>
          <w:b/>
          <w:color w:val="000000"/>
          <w:lang w:val="pt-BR"/>
        </w:rPr>
        <w:t>MODELO PREDITIVO PARA ESTIMATIVA DO ESTADO DE SAÚDE E FIM DA VIDA ÚTIL DE BATERIAS EM SISTEMAS FOTOVOLTAICOS</w:t>
      </w:r>
    </w:p>
    <w:p w14:paraId="791D4A2F" w14:textId="77777777" w:rsidR="00C16569" w:rsidRDefault="00202EB5" w:rsidP="005435A0">
      <w:pPr>
        <w:jc w:val="center"/>
      </w:pPr>
      <w:r>
        <w:rPr>
          <w:b/>
          <w:i/>
          <w:color w:val="000000"/>
        </w:rPr>
        <w:t>PREDICTIVE MODEL FOR ESTIMATING BATTERY STATE OF HEALTH AND END OF LIFE IN PHOTOVOLTAIC SYSTEMS</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F0199F">
        <w:rPr>
          <w:lang w:val="pt-BR"/>
        </w:rPr>
        <w:t xml:space="preserve">Este artigo propõe o uso de um modelo preditivo baseado em aprendizado de máquina para estimar o estado de saúde (SOH) e o fim da vida útil (EOL) de baterias aplicadas a sistemas fotovoltaicos. A partir de perfis de potência residual (demanda menos 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000000">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77777777" w:rsidR="00801080" w:rsidRPr="002B6CEA" w:rsidRDefault="00000000">
      <w:pPr>
        <w:rPr>
          <w:lang w:val="pt-BR"/>
        </w:rPr>
      </w:pPr>
      <w:r w:rsidRPr="002B6CEA">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w:t>
      </w:r>
    </w:p>
    <w:p w14:paraId="3ECBC7ED" w14:textId="77777777" w:rsidR="008C0181" w:rsidRDefault="00000000" w:rsidP="007E55BE">
      <w:pPr>
        <w:pStyle w:val="LegendaTCC"/>
        <w:rPr>
          <w:lang w:val="pt-BR"/>
        </w:rPr>
      </w:pPr>
      <w:r w:rsidRPr="002B6CEA">
        <w:rPr>
          <w:lang w:val="pt-BR"/>
        </w:rPr>
        <w:t xml:space="preserve">Figura 2 - Perfil diário normalizado de consumo residencial, </w:t>
      </w:r>
    </w:p>
    <w:p w14:paraId="335B8E2A" w14:textId="4F4FADCF" w:rsidR="00801080" w:rsidRPr="002B6CEA" w:rsidRDefault="00000000" w:rsidP="007E55BE">
      <w:pPr>
        <w:pStyle w:val="LegendaTCC"/>
        <w:rPr>
          <w:lang w:val="pt-BR"/>
        </w:rPr>
      </w:pPr>
      <w:r w:rsidRPr="002B6CEA">
        <w:rPr>
          <w:lang w:val="pt-BR"/>
        </w:rPr>
        <w:t>geração fotovoltaica e potência excedente</w:t>
      </w:r>
    </w:p>
    <w:p w14:paraId="5A69A5E4" w14:textId="77777777" w:rsidR="00801080" w:rsidRDefault="008F6BD8" w:rsidP="00FC0D6B">
      <w:pPr>
        <w:ind w:firstLine="0"/>
        <w:jc w:val="center"/>
      </w:pPr>
      <w:r>
        <w:rPr>
          <w:noProof/>
          <w:lang w:val="pt-BR"/>
        </w:rPr>
        <w:drawing>
          <wp:inline distT="0" distB="0" distL="0" distR="0" wp14:anchorId="6D108362" wp14:editId="577B31C1">
            <wp:extent cx="2734285" cy="2676063"/>
            <wp:effectExtent l="0" t="0" r="952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110" cy="2693508"/>
                    </a:xfrm>
                    <a:prstGeom prst="rect">
                      <a:avLst/>
                    </a:prstGeom>
                    <a:noFill/>
                  </pic:spPr>
                </pic:pic>
              </a:graphicData>
            </a:graphic>
          </wp:inline>
        </w:drawing>
      </w:r>
    </w:p>
    <w:p w14:paraId="220E045B" w14:textId="1625752E" w:rsidR="00801080" w:rsidRPr="002B6CEA" w:rsidRDefault="00000000" w:rsidP="007E55BE">
      <w:pPr>
        <w:pStyle w:val="LegendaTCC"/>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77777777" w:rsidR="00C16569" w:rsidRPr="00773FD2" w:rsidRDefault="00202EB5">
      <w:pPr>
        <w:pStyle w:val="Ttulo2"/>
        <w:jc w:val="left"/>
        <w:rPr>
          <w:lang w:val="pt-BR"/>
        </w:rPr>
      </w:pPr>
      <w:r w:rsidRPr="00773FD2">
        <w:rPr>
          <w:rFonts w:ascii="Arial" w:eastAsia="Arial" w:hAnsi="Arial"/>
          <w:lang w:val="pt-BR"/>
        </w:rPr>
        <w:t>Modelos preditivos para SOH e fim de vida útil</w:t>
      </w:r>
    </w:p>
    <w:p w14:paraId="54203510" w14:textId="77777777" w:rsidR="00C16569" w:rsidRPr="00773FD2" w:rsidRDefault="00202EB5">
      <w:pPr>
        <w:rPr>
          <w:lang w:val="pt-BR"/>
        </w:rPr>
      </w:pPr>
      <w:r w:rsidRPr="00773FD2">
        <w:rPr>
          <w:color w:val="000000"/>
          <w:lang w:val="pt-BR"/>
        </w:rPr>
        <w:t xml:space="preserve">A estimativa do SOH e do fim da vida útil pode ser realizada por métodos baseados em modelo, métodos orientados a dados ou métodos híbridos. Métodos </w:t>
      </w:r>
      <w:r w:rsidRPr="00773FD2">
        <w:rPr>
          <w:color w:val="000000"/>
          <w:lang w:val="pt-BR"/>
        </w:rPr>
        <w:lastRenderedPageBreak/>
        <w:t>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propõe o desenvolvimento de uma solução computacional para apoiar a manutenção preditiva de baterias em sistemas fotovoltaicos. A pesquisa será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000000">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degradação.</w:t>
      </w:r>
    </w:p>
    <w:p w14:paraId="4C383DE7" w14:textId="77777777" w:rsidR="00C16569" w:rsidRPr="00773FD2" w:rsidRDefault="00202EB5">
      <w:pPr>
        <w:rPr>
          <w:lang w:val="pt-BR"/>
        </w:rPr>
      </w:pPr>
      <w:r w:rsidRPr="002B6CEA">
        <w:rPr>
          <w:color w:val="000000"/>
          <w:lang w:val="pt-BR"/>
        </w:rPr>
        <w:t xml:space="preserve">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w:t>
      </w:r>
      <w:r w:rsidRPr="002B6CEA">
        <w:rPr>
          <w:color w:val="000000"/>
          <w:lang w:val="pt-BR"/>
        </w:rPr>
        <w:lastRenderedPageBreak/>
        <w:t>residências (residential3, residential4 e residential6) com períodos de dados completos variando de 495 a 847 dias.</w:t>
      </w:r>
    </w:p>
    <w:p w14:paraId="0EC9D973" w14:textId="77777777" w:rsidR="00801080" w:rsidRPr="002B6CEA" w:rsidRDefault="00000000">
      <w:pPr>
        <w:rPr>
          <w:lang w:val="pt-BR"/>
        </w:rPr>
      </w:pPr>
      <w:r w:rsidRPr="002B6CEA">
        <w:rPr>
          <w:lang w:val="pt-BR"/>
        </w:rPr>
        <w:t xml:space="preserve">A segunda fonte consiste em um perfil sintético representativo de uma residência brasileira na cidade de </w:t>
      </w:r>
      <w:proofErr w:type="spellStart"/>
      <w:r w:rsidRPr="002B6CEA">
        <w:rPr>
          <w:lang w:val="pt-BR"/>
        </w:rPr>
        <w:t>Vitória-ES</w:t>
      </w:r>
      <w:proofErr w:type="spellEnd"/>
      <w:r w:rsidRPr="002B6CEA">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sidRPr="002B6CEA">
        <w:rPr>
          <w:lang w:val="pt-BR"/>
        </w:rPr>
        <w:t>ii</w:t>
      </w:r>
      <w:proofErr w:type="spellEnd"/>
      <w:r w:rsidRPr="002B6CEA">
        <w:rPr>
          <w:lang w:val="pt-BR"/>
        </w:rPr>
        <w:t xml:space="preserve">) dados de irradiância solar e geração fotovoltaica estimados pelo </w:t>
      </w:r>
      <w:proofErr w:type="spellStart"/>
      <w:r w:rsidRPr="002B6CEA">
        <w:rPr>
          <w:lang w:val="pt-BR"/>
        </w:rPr>
        <w:t>Photovoltaic</w:t>
      </w:r>
      <w:proofErr w:type="spellEnd"/>
      <w:r w:rsidRPr="002B6CEA">
        <w:rPr>
          <w:lang w:val="pt-BR"/>
        </w:rPr>
        <w:t xml:space="preserve"> </w:t>
      </w:r>
      <w:proofErr w:type="spellStart"/>
      <w:r w:rsidRPr="002B6CEA">
        <w:rPr>
          <w:lang w:val="pt-BR"/>
        </w:rPr>
        <w:t>Geographical</w:t>
      </w:r>
      <w:proofErr w:type="spellEnd"/>
      <w:r w:rsidRPr="002B6CEA">
        <w:rPr>
          <w:lang w:val="pt-BR"/>
        </w:rPr>
        <w:t xml:space="preserve"> </w:t>
      </w:r>
      <w:proofErr w:type="spellStart"/>
      <w:r w:rsidRPr="002B6CEA">
        <w:rPr>
          <w:lang w:val="pt-BR"/>
        </w:rPr>
        <w:t>Information</w:t>
      </w:r>
      <w:proofErr w:type="spellEnd"/>
      <w:r w:rsidRPr="002B6CEA">
        <w:rPr>
          <w:lang w:val="pt-BR"/>
        </w:rPr>
        <w:t xml:space="preserve"> System (PVGIS) do Joint </w:t>
      </w:r>
      <w:proofErr w:type="spellStart"/>
      <w:r w:rsidRPr="002B6CEA">
        <w:rPr>
          <w:lang w:val="pt-BR"/>
        </w:rPr>
        <w:t>Research</w:t>
      </w:r>
      <w:proofErr w:type="spellEnd"/>
      <w:r w:rsidRPr="002B6CEA">
        <w:rPr>
          <w:lang w:val="pt-BR"/>
        </w:rPr>
        <w:t xml:space="preserve"> Centre da Comissão Europeia, utilizando a base de dados ERA5 com resolução horária para a localidade de Vitória (latitude −20,32°, longitude −40,34°) (HULD et al., 2012). O perfil foi parametrizado para um consumo mensal de 200 kWh e um sistema fotovoltaico de 5 </w:t>
      </w:r>
      <w:proofErr w:type="spellStart"/>
      <w:r w:rsidRPr="002B6CEA">
        <w:rPr>
          <w:lang w:val="pt-BR"/>
        </w:rPr>
        <w:t>kWp</w:t>
      </w:r>
      <w:proofErr w:type="spellEnd"/>
      <w:r w:rsidRPr="002B6CEA">
        <w:rPr>
          <w:lang w:val="pt-BR"/>
        </w:rPr>
        <w:t>, resultando em 1.825 dias de dados.</w:t>
      </w:r>
    </w:p>
    <w:p w14:paraId="70A7C1B4" w14:textId="77777777" w:rsidR="00801080" w:rsidRPr="002B6CEA" w:rsidRDefault="00000000">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contemplará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 xml:space="preserve">Na etapa de modelagem, o </w:t>
      </w:r>
      <w:proofErr w:type="spellStart"/>
      <w:r w:rsidRPr="005435A0">
        <w:rPr>
          <w:lang w:val="pt-BR"/>
        </w:rPr>
        <w:t>MLBatLife</w:t>
      </w:r>
      <w:proofErr w:type="spellEnd"/>
      <w:r w:rsidRPr="005435A0">
        <w:rPr>
          <w:lang w:val="pt-BR"/>
        </w:rPr>
        <w:t xml:space="preserve"> será utilizado como baseline, por empregar Random Forest treinado para estimar a perda diária de capacidade. Em paralelo, serão avaliados modelos de regressão para estimativa do SOH e modelos de classificação para identificação da condição operacional da bateria (BREIMAN, 2001; CHEN; GUESTRIN, 2016).</w:t>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7"/>
        <w:gridCol w:w="2265"/>
        <w:gridCol w:w="2265"/>
        <w:gridCol w:w="2265"/>
      </w:tblGrid>
      <w:tr w:rsidR="00C16569" w14:paraId="3768EEE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D1667B" w14:textId="77777777" w:rsidR="00C16569" w:rsidRDefault="00202EB5">
            <w:pPr>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47556941" w14:textId="77777777" w:rsidR="00C16569" w:rsidRDefault="00202EB5">
            <w:pPr>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2B3C405" w14:textId="77777777" w:rsidR="00C16569" w:rsidRDefault="00202EB5">
            <w:pPr>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tcPr>
          <w:p w14:paraId="3573D2C0" w14:textId="77777777" w:rsidR="00C16569" w:rsidRDefault="00202EB5">
            <w:pPr>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pPr>
              <w:spacing w:after="0" w:line="240" w:lineRule="auto"/>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pPr>
              <w:spacing w:after="0" w:line="240" w:lineRule="auto"/>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pPr>
              <w:spacing w:after="0" w:line="240" w:lineRule="auto"/>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pPr>
              <w:spacing w:after="0" w:line="240" w:lineRule="auto"/>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pPr>
              <w:spacing w:after="0" w:line="240" w:lineRule="auto"/>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pPr>
              <w:spacing w:after="0" w:line="240" w:lineRule="auto"/>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pPr>
              <w:spacing w:after="0" w:line="240" w:lineRule="auto"/>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pPr>
              <w:spacing w:after="0" w:line="240" w:lineRule="auto"/>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pPr>
              <w:spacing w:after="0" w:line="240" w:lineRule="auto"/>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pPr>
              <w:spacing w:after="0" w:line="240" w:lineRule="auto"/>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pPr>
              <w:spacing w:after="0" w:line="240" w:lineRule="auto"/>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pPr>
              <w:spacing w:after="0" w:line="240" w:lineRule="auto"/>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será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551D9201" w14:textId="77777777" w:rsidR="0031725B" w:rsidRDefault="00202EB5" w:rsidP="003D291F">
      <w:pPr>
        <w:pStyle w:val="LegendaTCC"/>
        <w:rPr>
          <w:noProof/>
          <w:lang w:val="pt-BR"/>
        </w:rPr>
      </w:pPr>
      <w:r w:rsidRPr="003D291F">
        <w:rPr>
          <w:lang w:val="pt-BR"/>
        </w:rPr>
        <w:t>Figura 1 - Perfil de potência residual (primeiro dia)</w:t>
      </w:r>
      <w:r w:rsidR="003D291F" w:rsidRPr="003D291F">
        <w:rPr>
          <w:noProof/>
          <w:lang w:val="pt-BR"/>
        </w:rPr>
        <w:t xml:space="preserve"> </w:t>
      </w:r>
    </w:p>
    <w:p w14:paraId="4F87F075" w14:textId="44AA5221" w:rsidR="00C16569" w:rsidRPr="00773FD2" w:rsidRDefault="00202EB5" w:rsidP="003D291F">
      <w:pPr>
        <w:pStyle w:val="LegendaTCC"/>
        <w:rPr>
          <w:lang w:val="pt-BR"/>
        </w:rPr>
      </w:pPr>
      <w:r>
        <w:rPr>
          <w:noProof/>
        </w:rPr>
        <w:drawing>
          <wp:inline distT="0" distB="0" distL="0" distR="0" wp14:anchorId="79C453F3" wp14:editId="61819E7F">
            <wp:extent cx="5027311" cy="261648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t="8920"/>
                    <a:stretch>
                      <a:fillRect/>
                    </a:stretch>
                  </pic:blipFill>
                  <pic:spPr bwMode="auto">
                    <a:xfrm>
                      <a:off x="0" y="0"/>
                      <a:ext cx="5029200" cy="2617472"/>
                    </a:xfrm>
                    <a:prstGeom prst="rect">
                      <a:avLst/>
                    </a:prstGeom>
                    <a:ln>
                      <a:noFill/>
                    </a:ln>
                    <a:extLst>
                      <a:ext uri="{53640926-AAD7-44D8-BBD7-CCE9431645EC}">
                        <a14:shadowObscured xmlns:a14="http://schemas.microsoft.com/office/drawing/2010/main"/>
                      </a:ext>
                    </a:extLst>
                  </pic:spPr>
                </pic:pic>
              </a:graphicData>
            </a:graphic>
          </wp:inline>
        </w:drawing>
      </w:r>
    </w:p>
    <w:p w14:paraId="55A180AD" w14:textId="77777777" w:rsidR="00445A13" w:rsidRPr="0031725B" w:rsidRDefault="00000000" w:rsidP="0031725B">
      <w:pPr>
        <w:jc w:val="center"/>
        <w:rPr>
          <w:sz w:val="20"/>
          <w:szCs w:val="18"/>
          <w:lang w:val="pt-BR"/>
        </w:rPr>
      </w:pPr>
      <w:r w:rsidRPr="0031725B">
        <w:rPr>
          <w:sz w:val="20"/>
          <w:szCs w:val="18"/>
          <w:lang w:val="pt-BR"/>
        </w:rPr>
        <w:t>Fonte: Elaborado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2B6CEA">
        <w:rPr>
          <w:color w:val="000000"/>
          <w:lang w:val="pt-BR"/>
        </w:rPr>
        <w:t xml:space="preserve">A aplicação do modelo </w:t>
      </w:r>
      <w:proofErr w:type="spellStart"/>
      <w:r w:rsidRPr="002B6CEA">
        <w:rPr>
          <w:color w:val="000000"/>
          <w:lang w:val="pt-BR"/>
        </w:rPr>
        <w:t>MLBatLife</w:t>
      </w:r>
      <w:proofErr w:type="spellEnd"/>
      <w:r w:rsidRPr="002B6CEA">
        <w:rPr>
          <w:color w:val="000000"/>
          <w:lang w:val="pt-BR"/>
        </w:rPr>
        <w:t xml:space="preserve"> aos quatro perfis de potência residual permitiu estimar a evolução diária do SOH para cada cenário. Os perfis OPSD representam condições reais de residências alemãs com diferentes padrões de consumo e capacidade fotovoltaica, enquanto o perfil brasileiro simula uma residência típica em </w:t>
      </w:r>
      <w:proofErr w:type="spellStart"/>
      <w:r w:rsidRPr="002B6CEA">
        <w:rPr>
          <w:color w:val="000000"/>
          <w:lang w:val="pt-BR"/>
        </w:rPr>
        <w:t>Vitória-ES</w:t>
      </w:r>
      <w:proofErr w:type="spellEnd"/>
      <w:r w:rsidRPr="002B6CEA">
        <w:rPr>
          <w:color w:val="000000"/>
          <w:lang w:val="pt-BR"/>
        </w:rPr>
        <w:t xml:space="preserve"> com sistema de 5 </w:t>
      </w:r>
      <w:proofErr w:type="spellStart"/>
      <w:r w:rsidRPr="002B6CEA">
        <w:rPr>
          <w:color w:val="000000"/>
          <w:lang w:val="pt-BR"/>
        </w:rPr>
        <w:t>kWp</w:t>
      </w:r>
      <w:proofErr w:type="spellEnd"/>
      <w:r w:rsidRPr="002B6CEA">
        <w:rPr>
          <w:color w:val="000000"/>
          <w:lang w:val="pt-BR"/>
        </w:rPr>
        <w:t xml:space="preserve">. Todos os cenários utilizaram estratégia </w:t>
      </w:r>
      <w:proofErr w:type="spellStart"/>
      <w:r w:rsidRPr="002B6CEA">
        <w:rPr>
          <w:color w:val="000000"/>
          <w:lang w:val="pt-BR"/>
        </w:rPr>
        <w:lastRenderedPageBreak/>
        <w:t>Greedy</w:t>
      </w:r>
      <w:proofErr w:type="spellEnd"/>
      <w:r w:rsidRPr="002B6CEA">
        <w:rPr>
          <w:color w:val="000000"/>
          <w:lang w:val="pt-BR"/>
        </w:rPr>
        <w:t xml:space="preserve"> (SOH₀ = 1,0, </w:t>
      </w:r>
      <w:proofErr w:type="spellStart"/>
      <w:r w:rsidRPr="002B6CEA">
        <w:rPr>
          <w:color w:val="000000"/>
          <w:lang w:val="pt-BR"/>
        </w:rPr>
        <w:t>Qnom</w:t>
      </w:r>
      <w:proofErr w:type="spellEnd"/>
      <w:r w:rsidRPr="002B6CEA">
        <w:rPr>
          <w:color w:val="000000"/>
          <w:lang w:val="pt-BR"/>
        </w:rPr>
        <w:t xml:space="preserve"> = 5 kWh), que prioriza o autoconsumo imediato sem limitar a profundidade de descarga (LUQUE et al., 2025).</w:t>
      </w:r>
    </w:p>
    <w:p w14:paraId="2FD2554D" w14:textId="77777777" w:rsidR="00445A13" w:rsidRPr="003D291F" w:rsidRDefault="00000000">
      <w:pPr>
        <w:rPr>
          <w:lang w:val="pt-BR"/>
        </w:rPr>
      </w:pPr>
      <w:r w:rsidRPr="002B6CEA">
        <w:rPr>
          <w:color w:val="000000"/>
          <w:lang w:val="pt-BR"/>
        </w:rPr>
        <w:t>A Tabela 2 apresenta os resultados consolidados da estimativa de SOH para os quatro perfis analisados. O perfil brasileiro (</w:t>
      </w:r>
      <w:proofErr w:type="spellStart"/>
      <w:r w:rsidRPr="002B6CEA">
        <w:rPr>
          <w:color w:val="000000"/>
          <w:lang w:val="pt-BR"/>
        </w:rPr>
        <w:t>Vitória-ES</w:t>
      </w:r>
      <w:proofErr w:type="spellEnd"/>
      <w:r w:rsidRPr="002B6CEA">
        <w:rPr>
          <w:color w:val="000000"/>
          <w:lang w:val="pt-BR"/>
        </w:rPr>
        <w:t>)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carga e descarga da bateria (LUQUE et al., 2025; AITIO; HOWEY, 2021).</w:t>
      </w:r>
    </w:p>
    <w:p w14:paraId="6EBF07AE" w14:textId="77777777" w:rsidR="00801080" w:rsidRPr="002B6CEA" w:rsidRDefault="00000000">
      <w:pPr>
        <w:pStyle w:val="LegendaTCC"/>
        <w:rPr>
          <w:lang w:val="pt-BR"/>
        </w:rPr>
      </w:pPr>
      <w:r w:rsidRPr="002B6CEA">
        <w:rPr>
          <w:lang w:val="pt-BR"/>
        </w:rPr>
        <w:t>Tabela 2 - Resultados consolidados da estimativa de SOH por perfil</w:t>
      </w:r>
    </w:p>
    <w:tbl>
      <w:tblPr>
        <w:tblStyle w:val="Tabelacomgrade"/>
        <w:tblW w:w="0" w:type="auto"/>
        <w:tblLook w:val="04A0" w:firstRow="1" w:lastRow="0" w:firstColumn="1" w:lastColumn="0" w:noHBand="0" w:noVBand="1"/>
      </w:tblPr>
      <w:tblGrid>
        <w:gridCol w:w="2096"/>
        <w:gridCol w:w="1527"/>
        <w:gridCol w:w="1813"/>
        <w:gridCol w:w="1813"/>
        <w:gridCol w:w="1813"/>
      </w:tblGrid>
      <w:tr w:rsidR="00801080" w14:paraId="51DEE95F" w14:textId="77777777" w:rsidTr="0031725B">
        <w:tc>
          <w:tcPr>
            <w:tcW w:w="2096" w:type="dxa"/>
          </w:tcPr>
          <w:p w14:paraId="319690A1" w14:textId="77777777" w:rsidR="00801080" w:rsidRDefault="00000000">
            <w:proofErr w:type="spellStart"/>
            <w:r>
              <w:t>Perfil</w:t>
            </w:r>
            <w:proofErr w:type="spellEnd"/>
          </w:p>
        </w:tc>
        <w:tc>
          <w:tcPr>
            <w:tcW w:w="1527" w:type="dxa"/>
          </w:tcPr>
          <w:p w14:paraId="7837320C" w14:textId="77777777" w:rsidR="00801080" w:rsidRDefault="00000000">
            <w:r>
              <w:t>Dias</w:t>
            </w:r>
          </w:p>
        </w:tc>
        <w:tc>
          <w:tcPr>
            <w:tcW w:w="1813" w:type="dxa"/>
          </w:tcPr>
          <w:p w14:paraId="7887F416" w14:textId="77777777" w:rsidR="00801080" w:rsidRDefault="00000000">
            <w:r>
              <w:t>SOH final</w:t>
            </w:r>
          </w:p>
        </w:tc>
        <w:tc>
          <w:tcPr>
            <w:tcW w:w="1813" w:type="dxa"/>
          </w:tcPr>
          <w:p w14:paraId="12ABE868" w14:textId="77777777" w:rsidR="00801080" w:rsidRDefault="00000000">
            <w:r>
              <w:t>T1 médio (W)</w:t>
            </w:r>
          </w:p>
        </w:tc>
        <w:tc>
          <w:tcPr>
            <w:tcW w:w="1813" w:type="dxa"/>
          </w:tcPr>
          <w:p w14:paraId="67FF8D5C" w14:textId="77777777" w:rsidR="00801080" w:rsidRDefault="00000000">
            <w:r>
              <w:t>T4 médio (W)</w:t>
            </w:r>
          </w:p>
        </w:tc>
      </w:tr>
      <w:tr w:rsidR="00801080" w14:paraId="33911590" w14:textId="77777777" w:rsidTr="0031725B">
        <w:tc>
          <w:tcPr>
            <w:tcW w:w="2096" w:type="dxa"/>
          </w:tcPr>
          <w:p w14:paraId="6FABD161" w14:textId="77777777" w:rsidR="00801080" w:rsidRDefault="00000000">
            <w:r>
              <w:t>OPSD residential3</w:t>
            </w:r>
          </w:p>
        </w:tc>
        <w:tc>
          <w:tcPr>
            <w:tcW w:w="1527" w:type="dxa"/>
          </w:tcPr>
          <w:p w14:paraId="2D8C5759" w14:textId="77777777" w:rsidR="00801080" w:rsidRDefault="00000000">
            <w:r>
              <w:t>495</w:t>
            </w:r>
          </w:p>
        </w:tc>
        <w:tc>
          <w:tcPr>
            <w:tcW w:w="1813" w:type="dxa"/>
          </w:tcPr>
          <w:p w14:paraId="7BFFB464" w14:textId="77777777" w:rsidR="00801080" w:rsidRDefault="00000000">
            <w:r>
              <w:t>0,9279</w:t>
            </w:r>
          </w:p>
        </w:tc>
        <w:tc>
          <w:tcPr>
            <w:tcW w:w="1813" w:type="dxa"/>
          </w:tcPr>
          <w:p w14:paraId="1BB84FF9" w14:textId="77777777" w:rsidR="00801080" w:rsidRDefault="00000000">
            <w:r>
              <w:t>21,6</w:t>
            </w:r>
          </w:p>
        </w:tc>
        <w:tc>
          <w:tcPr>
            <w:tcW w:w="1813" w:type="dxa"/>
          </w:tcPr>
          <w:p w14:paraId="08E0CFD0" w14:textId="77777777" w:rsidR="00801080" w:rsidRDefault="00000000">
            <w:r>
              <w:t>803,4</w:t>
            </w:r>
          </w:p>
        </w:tc>
      </w:tr>
      <w:tr w:rsidR="00801080" w14:paraId="03A7327C" w14:textId="77777777" w:rsidTr="0031725B">
        <w:tc>
          <w:tcPr>
            <w:tcW w:w="2096" w:type="dxa"/>
          </w:tcPr>
          <w:p w14:paraId="5FF4F53A" w14:textId="77777777" w:rsidR="00801080" w:rsidRDefault="00000000">
            <w:r>
              <w:t>OPSD residential4</w:t>
            </w:r>
          </w:p>
        </w:tc>
        <w:tc>
          <w:tcPr>
            <w:tcW w:w="1527" w:type="dxa"/>
          </w:tcPr>
          <w:p w14:paraId="53708996" w14:textId="77777777" w:rsidR="00801080" w:rsidRDefault="00000000">
            <w:r>
              <w:t>847</w:t>
            </w:r>
          </w:p>
        </w:tc>
        <w:tc>
          <w:tcPr>
            <w:tcW w:w="1813" w:type="dxa"/>
          </w:tcPr>
          <w:p w14:paraId="1F5B1F54" w14:textId="77777777" w:rsidR="00801080" w:rsidRDefault="00000000">
            <w:r>
              <w:t>0,8956</w:t>
            </w:r>
          </w:p>
        </w:tc>
        <w:tc>
          <w:tcPr>
            <w:tcW w:w="1813" w:type="dxa"/>
          </w:tcPr>
          <w:p w14:paraId="05CD9935" w14:textId="77777777" w:rsidR="00801080" w:rsidRDefault="00000000">
            <w:r>
              <w:t>−434,9</w:t>
            </w:r>
          </w:p>
        </w:tc>
        <w:tc>
          <w:tcPr>
            <w:tcW w:w="1813" w:type="dxa"/>
          </w:tcPr>
          <w:p w14:paraId="3B7B48DE" w14:textId="77777777" w:rsidR="00801080" w:rsidRDefault="00000000">
            <w:r>
              <w:t>1.421,7</w:t>
            </w:r>
          </w:p>
        </w:tc>
      </w:tr>
      <w:tr w:rsidR="00801080" w14:paraId="4CBB1136" w14:textId="77777777" w:rsidTr="0031725B">
        <w:tc>
          <w:tcPr>
            <w:tcW w:w="2096" w:type="dxa"/>
          </w:tcPr>
          <w:p w14:paraId="40487D9D" w14:textId="77777777" w:rsidR="00801080" w:rsidRDefault="00000000">
            <w:r>
              <w:t>OPSD residential6</w:t>
            </w:r>
          </w:p>
        </w:tc>
        <w:tc>
          <w:tcPr>
            <w:tcW w:w="1527" w:type="dxa"/>
          </w:tcPr>
          <w:p w14:paraId="3807BD36" w14:textId="77777777" w:rsidR="00801080" w:rsidRDefault="00000000">
            <w:r>
              <w:t>694</w:t>
            </w:r>
          </w:p>
        </w:tc>
        <w:tc>
          <w:tcPr>
            <w:tcW w:w="1813" w:type="dxa"/>
          </w:tcPr>
          <w:p w14:paraId="1BF29DE8" w14:textId="77777777" w:rsidR="00801080" w:rsidRDefault="00000000">
            <w:r>
              <w:t>0,9216</w:t>
            </w:r>
          </w:p>
        </w:tc>
        <w:tc>
          <w:tcPr>
            <w:tcW w:w="1813" w:type="dxa"/>
          </w:tcPr>
          <w:p w14:paraId="45A0863A" w14:textId="77777777" w:rsidR="00801080" w:rsidRDefault="00000000">
            <w:r>
              <w:t>48,4</w:t>
            </w:r>
          </w:p>
        </w:tc>
        <w:tc>
          <w:tcPr>
            <w:tcW w:w="1813" w:type="dxa"/>
          </w:tcPr>
          <w:p w14:paraId="3A4A3AB5" w14:textId="77777777" w:rsidR="00801080" w:rsidRDefault="00000000">
            <w:r>
              <w:t>454,7</w:t>
            </w:r>
          </w:p>
        </w:tc>
      </w:tr>
      <w:tr w:rsidR="00801080" w14:paraId="588EF5BF" w14:textId="77777777" w:rsidTr="0031725B">
        <w:tc>
          <w:tcPr>
            <w:tcW w:w="2096" w:type="dxa"/>
          </w:tcPr>
          <w:p w14:paraId="3F902E31" w14:textId="77777777" w:rsidR="00801080" w:rsidRDefault="00000000">
            <w:r>
              <w:t>Brasil (Vitória-ES)</w:t>
            </w:r>
          </w:p>
        </w:tc>
        <w:tc>
          <w:tcPr>
            <w:tcW w:w="1527" w:type="dxa"/>
          </w:tcPr>
          <w:p w14:paraId="1948E505" w14:textId="77777777" w:rsidR="00801080" w:rsidRDefault="00000000">
            <w:r>
              <w:t>1.825</w:t>
            </w:r>
          </w:p>
        </w:tc>
        <w:tc>
          <w:tcPr>
            <w:tcW w:w="1813" w:type="dxa"/>
          </w:tcPr>
          <w:p w14:paraId="1C86B4C7" w14:textId="77777777" w:rsidR="00801080" w:rsidRDefault="00000000">
            <w:r>
              <w:t>0,8055</w:t>
            </w:r>
          </w:p>
        </w:tc>
        <w:tc>
          <w:tcPr>
            <w:tcW w:w="1813" w:type="dxa"/>
          </w:tcPr>
          <w:p w14:paraId="76D20677" w14:textId="77777777" w:rsidR="00801080" w:rsidRDefault="00000000">
            <w:r>
              <w:t>−616,6</w:t>
            </w:r>
          </w:p>
        </w:tc>
        <w:tc>
          <w:tcPr>
            <w:tcW w:w="1813" w:type="dxa"/>
          </w:tcPr>
          <w:p w14:paraId="724EEAB4" w14:textId="77777777" w:rsidR="00801080" w:rsidRDefault="00000000">
            <w:r>
              <w:t>931,8</w:t>
            </w:r>
          </w:p>
        </w:tc>
      </w:tr>
    </w:tbl>
    <w:p w14:paraId="7F76920D" w14:textId="77777777" w:rsidR="00801080" w:rsidRPr="002B6CEA" w:rsidRDefault="00000000">
      <w:pPr>
        <w:pStyle w:val="LegendaTCC"/>
        <w:rPr>
          <w:lang w:val="pt-BR"/>
        </w:rPr>
      </w:pPr>
      <w:r w:rsidRPr="002B6CEA">
        <w:rPr>
          <w:lang w:val="pt-BR"/>
        </w:rPr>
        <w:t xml:space="preserve">Fonte: Elaborado pelos autores com dados do </w:t>
      </w:r>
      <w:proofErr w:type="spellStart"/>
      <w:r w:rsidRPr="002B6CEA">
        <w:rPr>
          <w:lang w:val="pt-BR"/>
        </w:rPr>
        <w:t>MLBatLife</w:t>
      </w:r>
      <w:proofErr w:type="spellEnd"/>
      <w:r w:rsidRPr="002B6CEA">
        <w:rPr>
          <w:lang w:val="pt-BR"/>
        </w:rPr>
        <w:t>.</w:t>
      </w:r>
    </w:p>
    <w:p w14:paraId="576278BD" w14:textId="77777777" w:rsidR="00C16569" w:rsidRPr="00773FD2" w:rsidRDefault="00202EB5">
      <w:pPr>
        <w:rPr>
          <w:lang w:val="pt-BR"/>
        </w:rPr>
      </w:pPr>
      <w:r w:rsidRPr="002B6CEA">
        <w:rPr>
          <w:color w:val="000000"/>
          <w:lang w:val="pt-BR"/>
        </w:rPr>
        <w:t xml:space="preserve">A análise das features extraídas pelo </w:t>
      </w:r>
      <w:proofErr w:type="spellStart"/>
      <w:r w:rsidRPr="002B6CEA">
        <w:rPr>
          <w:color w:val="000000"/>
          <w:lang w:val="pt-BR"/>
        </w:rPr>
        <w:t>MLBatLife</w:t>
      </w:r>
      <w:proofErr w:type="spellEnd"/>
      <w:r w:rsidRPr="002B6CEA">
        <w:rPr>
          <w:color w:val="000000"/>
          <w:lang w:val="pt-BR"/>
        </w:rPr>
        <w:t xml:space="preserve"> revelou diferenças significativas entre os perfis. A feature T1 (média diária da potência residual) apresentou valores negativos para os perfis com maior capacidade fotovoltaica relativa ao consumo (residential4: −434,9 W; Brasil: −616,6 W), indicando exportação líquida de energia. Em contrapartida, perfis com menor geração relativa (residential3: 21,6 W; residential6: 48,4 W) apresentaram T1 positivo, caracterizando importação líquida. A feature T4 (média do valor absoluto da potência) reflete a intensidade total do fluxo de energia, sendo mais elevada nos perfis com maior variabilidade (residential4: 1.421,7 W; Brasil: 931,8 W) (LUQUE et al., 2025).</w:t>
      </w:r>
    </w:p>
    <w:p w14:paraId="77BEBFDA" w14:textId="77777777" w:rsidR="00C16569" w:rsidRPr="00773FD2" w:rsidRDefault="00202EB5">
      <w:pPr>
        <w:rPr>
          <w:lang w:val="pt-BR"/>
        </w:rPr>
      </w:pPr>
      <w:r w:rsidRPr="002B6CEA">
        <w:rPr>
          <w:color w:val="000000"/>
          <w:lang w:val="pt-BR"/>
        </w:rPr>
        <w:lastRenderedPageBreak/>
        <w:t>Observou-se que a taxa de degradação não é uniforme ao longo do tempo. Nos primeiros meses de operação, a queda de SOH é mais acentuada, tendendo a desacelerar à medida que a bateria envelhece. Esse comportamento, consistente com a literatura sobre envelhecimento de baterias de íon-lítio, sugere que os primeiros ciclos impõem maior estresse eletroquímico devido à formação da camada de interface sólido-eletrólito (SEI). A projeção do perfil brasileiro indica que a bateria atingiria o limiar de fim de vida útil (SOH = 0,80) em aproximadamente 5,2 anos, informação relevante para o planejamento de substituição e para a análise de viabilidade econômica do sistema de armazenamento (AITIO; HOWEY, 2021; LUQUE et al., 2025).</w:t>
      </w:r>
    </w:p>
    <w:p w14:paraId="6536F45D" w14:textId="3526E125" w:rsidR="00C16569" w:rsidRPr="00773FD2" w:rsidRDefault="00202EB5" w:rsidP="003D291F">
      <w:pPr>
        <w:pStyle w:val="LegendaTCC"/>
        <w:rPr>
          <w:lang w:val="pt-BR"/>
        </w:rPr>
      </w:pPr>
      <w:r w:rsidRPr="003D291F">
        <w:rPr>
          <w:lang w:val="pt-BR"/>
        </w:rPr>
        <w:t>Gráfico 1 - SOH ao longo do tempo</w:t>
      </w:r>
      <w:r>
        <w:rPr>
          <w:noProof/>
        </w:rPr>
        <w:drawing>
          <wp:inline distT="0" distB="0" distL="0" distR="0" wp14:anchorId="4C4C0138" wp14:editId="1AD7A0E1">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2873829"/>
                    </a:xfrm>
                    <a:prstGeom prst="rect">
                      <a:avLst/>
                    </a:prstGeom>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7ADDD086" w14:textId="77777777" w:rsidR="003D291F" w:rsidRPr="00773FD2" w:rsidRDefault="003D291F" w:rsidP="003D291F">
      <w:pPr>
        <w:pStyle w:val="LegendaTCC"/>
        <w:spacing w:before="60" w:after="120"/>
        <w:rPr>
          <w:lang w:val="pt-BR"/>
        </w:rPr>
      </w:pPr>
    </w:p>
    <w:p w14:paraId="56D45BC2" w14:textId="77777777" w:rsidR="003D291F" w:rsidRDefault="003D291F">
      <w:pPr>
        <w:pStyle w:val="LegendaTCC"/>
        <w:rPr>
          <w:lang w:val="pt-BR"/>
        </w:rPr>
      </w:pPr>
    </w:p>
    <w:p w14:paraId="4B52ECD8" w14:textId="621ABCC6" w:rsidR="00C16569" w:rsidRPr="00773FD2" w:rsidRDefault="00202EB5" w:rsidP="003D291F">
      <w:pPr>
        <w:pStyle w:val="LegendaTCC"/>
        <w:rPr>
          <w:lang w:val="pt-BR"/>
        </w:rPr>
      </w:pPr>
      <w:r w:rsidRPr="002B6CEA">
        <w:rPr>
          <w:lang w:val="pt-BR"/>
        </w:rPr>
        <w:lastRenderedPageBreak/>
        <w:t>Figura 3 - Matriz de correlação das variáveis</w:t>
      </w:r>
      <w:r>
        <w:rPr>
          <w:noProof/>
        </w:rPr>
        <w:drawing>
          <wp:inline distT="0" distB="0" distL="0" distR="0" wp14:anchorId="42CDAC6F" wp14:editId="675CFF0E">
            <wp:extent cx="4114800" cy="3405352"/>
            <wp:effectExtent l="0" t="0" r="0" b="0"/>
            <wp:docPr id="1123154400" name="Picture 112315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14800" cy="3405352"/>
                    </a:xfrm>
                    <a:prstGeom prst="rect">
                      <a:avLst/>
                    </a:prstGeom>
                  </pic:spPr>
                </pic:pic>
              </a:graphicData>
            </a:graphic>
          </wp:inline>
        </w:drawing>
      </w:r>
    </w:p>
    <w:p w14:paraId="3387729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3D291F">
      <w:pPr>
        <w:pStyle w:val="LegendaTCC"/>
        <w:spacing w:before="60" w:after="120"/>
        <w:rPr>
          <w:lang w:val="pt-BR"/>
        </w:rPr>
      </w:pPr>
    </w:p>
    <w:p w14:paraId="4754F355" w14:textId="77777777" w:rsidR="00C16569" w:rsidRPr="00773FD2" w:rsidRDefault="00202EB5">
      <w:pPr>
        <w:rPr>
          <w:lang w:val="pt-BR"/>
        </w:rPr>
      </w:pPr>
      <w:r w:rsidRPr="002B6CEA">
        <w:rPr>
          <w:color w:val="000000"/>
          <w:lang w:val="pt-BR"/>
        </w:rPr>
        <w:t xml:space="preserve">A comparação entre os perfis evidenciou que o padrão de consumo residencial e a capacidade do sistema fotovoltaico exercem influência direta sobre a degradação da bateria. Perfis com maior geração fotovoltaica relativa ao consumo tendem a produzir ciclos de carga e descarga mais profundos, acelerando a perda de capacidade. Essa constatação é coerente com os resultados de </w:t>
      </w:r>
      <w:proofErr w:type="spellStart"/>
      <w:r w:rsidRPr="002B6CEA">
        <w:rPr>
          <w:color w:val="000000"/>
          <w:lang w:val="pt-BR"/>
        </w:rPr>
        <w:t>Aitio</w:t>
      </w:r>
      <w:proofErr w:type="spellEnd"/>
      <w:r w:rsidRPr="002B6CEA">
        <w:rPr>
          <w:color w:val="000000"/>
          <w:lang w:val="pt-BR"/>
        </w:rPr>
        <w:t xml:space="preserve"> e </w:t>
      </w:r>
      <w:proofErr w:type="spellStart"/>
      <w:r w:rsidRPr="002B6CEA">
        <w:rPr>
          <w:color w:val="000000"/>
          <w:lang w:val="pt-BR"/>
        </w:rPr>
        <w:t>Howey</w:t>
      </w:r>
      <w:proofErr w:type="spellEnd"/>
      <w:r w:rsidRPr="002B6CEA">
        <w:rPr>
          <w:color w:val="000000"/>
          <w:lang w:val="pt-BR"/>
        </w:rPr>
        <w:t xml:space="preserve"> (2021), que identificaram o perfil de uso como fator determinante na previsão do fim de vida útil de baterias em sistemas off-grid. A diferença entre os perfis alemães e o perfil brasileiro também reflete a influência da irradiância solar local, uma vez que a maior disponibilidade de recurso solar em </w:t>
      </w:r>
      <w:proofErr w:type="spellStart"/>
      <w:r w:rsidRPr="002B6CEA">
        <w:rPr>
          <w:color w:val="000000"/>
          <w:lang w:val="pt-BR"/>
        </w:rPr>
        <w:t>Vitória-ES</w:t>
      </w:r>
      <w:proofErr w:type="spellEnd"/>
      <w:r w:rsidRPr="002B6CEA">
        <w:rPr>
          <w:color w:val="000000"/>
          <w:lang w:val="pt-BR"/>
        </w:rPr>
        <w:t xml:space="preserve"> resulta em maior geração fotovoltaica e, consequentemente, maior ciclagem da bateria (PEREIRA et al., 2017;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xml:space="preserve">). Os resultados demonstraram que o padrão de consumo e a capacidade fotovoltaica instalada influenciam diretamente a taxa de degradação da bateria, com o perfil brasileiro apresentando SOH final de 0,8055 após cinco anos de operação </w:t>
      </w:r>
      <w:r w:rsidRPr="002B6CEA">
        <w:rPr>
          <w:color w:val="000000"/>
          <w:lang w:val="pt-BR"/>
        </w:rPr>
        <w:lastRenderedPageBreak/>
        <w:t>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02CDEB9F" w14:textId="77777777" w:rsidR="00801080" w:rsidRPr="002B6CEA" w:rsidRDefault="00000000">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00000000" w:rsidRPr="002B6CEA">
        <w:rPr>
          <w:lang w:val="pt-BR"/>
        </w:rPr>
        <w:t xml:space="preserve">. Agência Nacional de Energia Elétrica. Resolução Normativa nº 927, de 14 de dezembro de 2021. Estabelece regras para o </w:t>
      </w:r>
      <w:proofErr w:type="spellStart"/>
      <w:r w:rsidR="00000000" w:rsidRPr="002B6CEA">
        <w:rPr>
          <w:lang w:val="pt-BR"/>
        </w:rPr>
        <w:t>constrained</w:t>
      </w:r>
      <w:proofErr w:type="spellEnd"/>
      <w:r w:rsidR="00000000" w:rsidRPr="002B6CEA">
        <w:rPr>
          <w:lang w:val="pt-BR"/>
        </w:rPr>
        <w:t>-off de centrais geradoras. Diário Oficial da União, Brasília, 2021.</w:t>
      </w:r>
    </w:p>
    <w:p w14:paraId="71948F36" w14:textId="77777777" w:rsidR="00801080" w:rsidRDefault="00000000">
      <w:pPr>
        <w:pStyle w:val="ReferenciaTCC"/>
      </w:pPr>
      <w:r>
        <w:t>BREIMAN, Leo. Random forests. Machine Learning, v. 45, p. 5-32, 2001.</w:t>
      </w:r>
    </w:p>
    <w:p w14:paraId="6B470C64" w14:textId="77777777" w:rsidR="00801080" w:rsidRPr="002B6CEA" w:rsidRDefault="00000000">
      <w:pPr>
        <w:pStyle w:val="ReferenciaTCC"/>
        <w:rPr>
          <w:lang w:val="pt-BR"/>
        </w:rPr>
      </w:pPr>
      <w:r>
        <w:t xml:space="preserve">CHEN, Tianqi; GUESTRIN, Carlos. XGBoost: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000000">
      <w:pPr>
        <w:pStyle w:val="ReferenciaTCC"/>
      </w:pPr>
      <w:r w:rsidRPr="002B6CEA">
        <w:rPr>
          <w:lang w:val="pt-BR"/>
        </w:rPr>
        <w:t xml:space="preserve">EMPRESA DE PESQUISA ENERGÉTICA. Anuário estatístico de energia elétrica 2023: ano base 2022. </w:t>
      </w:r>
      <w:r>
        <w:t>Rio de Janeiro: EPE, 2023.</w:t>
      </w:r>
    </w:p>
    <w:p w14:paraId="3C0DC589" w14:textId="77777777" w:rsidR="00801080" w:rsidRDefault="00000000">
      <w:pPr>
        <w:pStyle w:val="ReferenciaTCC"/>
      </w:pPr>
      <w:r>
        <w:t>HULD, Thomas et al. A new solar radiation database for estimating PV performance in Europe and Africa. Solar Energy, v. 86, n. 6, p. 1803-1815, 2012.</w:t>
      </w:r>
    </w:p>
    <w:p w14:paraId="775FF5D4" w14:textId="77777777" w:rsidR="00801080" w:rsidRDefault="00000000">
      <w:pPr>
        <w:pStyle w:val="ReferenciaTCC"/>
      </w:pPr>
      <w:r>
        <w:t>LUQUE, Joaquin et al. Machine learning estimation of battery state of health in residential photovoltaic systems. Future Batteries, v. 5, 100039, 2025.</w:t>
      </w:r>
    </w:p>
    <w:p w14:paraId="3766B6C9" w14:textId="77777777" w:rsidR="00801080" w:rsidRDefault="00000000">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000000">
      <w:pPr>
        <w:pStyle w:val="ReferenciaTCC"/>
      </w:pPr>
      <w:r>
        <w:lastRenderedPageBreak/>
        <w:t>PEDREGOSA, Fabian et al. Scikit-learn: machine learning in Python. Journal of Machine Learning Research, v. 12, p. 2825-2830, 2011.</w:t>
      </w:r>
    </w:p>
    <w:p w14:paraId="74FF313C" w14:textId="77777777" w:rsidR="00801080" w:rsidRPr="002B6CEA" w:rsidRDefault="00000000">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000000">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000000">
      <w:pPr>
        <w:pStyle w:val="ReferenciaTCC"/>
      </w:pPr>
      <w:r>
        <w:t>RASMUSSEN, Carl Edward; WILLIAMS, Christopher K. I. Gaussian Processes for Machine Learning. Cambridge: MIT Press, 2006.</w:t>
      </w:r>
    </w:p>
    <w:p w14:paraId="577C776F" w14:textId="77777777" w:rsidR="00801080" w:rsidRDefault="00000000">
      <w:pPr>
        <w:pStyle w:val="ReferenciaTCC"/>
      </w:pPr>
      <w:r>
        <w:t>RUSSELL, Stuart; NORVIG, Peter. Artificial intelligence: a modern approach. 4. ed. Hoboken: Pearson, 2020.</w:t>
      </w:r>
    </w:p>
    <w:p w14:paraId="5CFED090" w14:textId="77777777" w:rsidR="00801080" w:rsidRPr="002B6CEA" w:rsidRDefault="00000000">
      <w:pPr>
        <w:pStyle w:val="ReferenciaTCC"/>
        <w:rPr>
          <w:lang w:val="pt-BR"/>
        </w:rPr>
      </w:pPr>
      <w:r>
        <w:t xml:space="preserve">SILVA, Ricardo Emanuel Gomes Fernandes da. Artificial intelligence techniques applied for the predictive control of stationary storage. </w:t>
      </w:r>
      <w:r w:rsidRPr="002B6CEA">
        <w:rPr>
          <w:lang w:val="pt-BR"/>
        </w:rPr>
        <w:t xml:space="preserve">2018. 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0FA2A86F" w14:textId="77777777" w:rsidR="00C16569" w:rsidRPr="00773FD2" w:rsidRDefault="00202EB5">
      <w:pPr>
        <w:rPr>
          <w:lang w:val="pt-BR"/>
        </w:rPr>
      </w:pPr>
      <w:r w:rsidRPr="00773FD2">
        <w:rPr>
          <w:color w:val="000000"/>
          <w:lang w:val="pt-BR"/>
        </w:rPr>
        <w:br w:type="page"/>
      </w:r>
    </w:p>
    <w:p w14:paraId="6E246238" w14:textId="77777777" w:rsidR="00C16569" w:rsidRPr="00773FD2" w:rsidRDefault="00202EB5">
      <w:pPr>
        <w:pStyle w:val="Ttulo1"/>
        <w:rPr>
          <w:lang w:val="pt-BR"/>
        </w:rPr>
      </w:pPr>
      <w:r w:rsidRPr="00773FD2">
        <w:rPr>
          <w:rFonts w:ascii="Arial" w:eastAsia="Arial" w:hAnsi="Arial"/>
          <w:lang w:val="pt-BR"/>
        </w:rPr>
        <w:lastRenderedPageBreak/>
        <w:t>CHECKLIST DE FORMATAÇÃO PARA REMOVER NA VERSÃO FINAL</w:t>
      </w:r>
    </w:p>
    <w:p w14:paraId="04D90285" w14:textId="77777777" w:rsidR="00C16569" w:rsidRPr="00773FD2" w:rsidRDefault="00202EB5">
      <w:pPr>
        <w:ind w:firstLine="0"/>
        <w:rPr>
          <w:lang w:val="pt-BR"/>
        </w:rPr>
      </w:pPr>
      <w:r w:rsidRPr="00773FD2">
        <w:rPr>
          <w:color w:val="000000"/>
          <w:lang w:val="pt-BR"/>
        </w:rPr>
        <w:t>• A primeira página deve manter títulos em fonte 12, bloco de autores em fonte 11, título em inglês em itálico e autores/e-mails alinhados à direita, conforme o padrão visual dos artigos de exemplo.</w:t>
      </w:r>
    </w:p>
    <w:p w14:paraId="14426BAE" w14:textId="77777777" w:rsidR="00C16569" w:rsidRPr="00773FD2" w:rsidRDefault="00202EB5">
      <w:pPr>
        <w:ind w:firstLine="0"/>
        <w:rPr>
          <w:lang w:val="pt-BR"/>
        </w:rPr>
      </w:pPr>
      <w:r w:rsidRPr="00773FD2">
        <w:rPr>
          <w:color w:val="000000"/>
          <w:lang w:val="pt-BR"/>
        </w:rPr>
        <w:t>• No corpo do artigo, todo parágrafo técnico deve apresentar citação direta ou indireta no padrão autor-data, evitando blocos explicativos sem fundamentação bibliográfica.</w:t>
      </w:r>
    </w:p>
    <w:p w14:paraId="5329B100"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As figuras, gráficos, quadros e tabelas devem possuir título e fonte, mesmo quando forem produzidos pelos autores.</w:t>
      </w:r>
    </w:p>
    <w:p w14:paraId="01782F16" w14:textId="77777777" w:rsidR="00C16569" w:rsidRPr="00773FD2" w:rsidRDefault="00202EB5">
      <w:pPr>
        <w:ind w:firstLine="0"/>
        <w:rPr>
          <w:lang w:val="pt-BR"/>
        </w:rPr>
      </w:pPr>
      <w:r w:rsidRPr="00773FD2">
        <w:rPr>
          <w:b/>
          <w:color w:val="000000"/>
          <w:lang w:val="pt-BR"/>
        </w:rPr>
        <w:t xml:space="preserve">• </w:t>
      </w:r>
      <w:r w:rsidRPr="00773FD2">
        <w:rPr>
          <w:color w:val="000000"/>
          <w:lang w:val="pt-BR"/>
        </w:rPr>
        <w:t>A extensão final do artigo deve permanecer entre 15 e 25 páginas, removendo este checklist antes da entrega.</w:t>
      </w:r>
    </w:p>
    <w:sectPr w:rsidR="00C16569" w:rsidRPr="00773FD2" w:rsidSect="00034616">
      <w:headerReference w:type="default" r:id="rId12"/>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ECB" w14:textId="77777777" w:rsidR="002109AD" w:rsidRDefault="002109AD">
      <w:pPr>
        <w:spacing w:after="0" w:line="240" w:lineRule="auto"/>
      </w:pPr>
      <w:r>
        <w:separator/>
      </w:r>
    </w:p>
  </w:endnote>
  <w:endnote w:type="continuationSeparator" w:id="0">
    <w:p w14:paraId="6F56258B" w14:textId="77777777" w:rsidR="002109AD" w:rsidRDefault="0021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051B" w14:textId="77777777" w:rsidR="002109AD" w:rsidRDefault="002109AD">
      <w:pPr>
        <w:spacing w:after="0" w:line="240" w:lineRule="auto"/>
      </w:pPr>
      <w:r>
        <w:separator/>
      </w:r>
    </w:p>
  </w:footnote>
  <w:footnote w:type="continuationSeparator" w:id="0">
    <w:p w14:paraId="1E5839DB" w14:textId="77777777" w:rsidR="002109AD" w:rsidRDefault="00210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EC"/>
    <w:rsid w:val="0007696B"/>
    <w:rsid w:val="000E3D30"/>
    <w:rsid w:val="0015074B"/>
    <w:rsid w:val="00202EB5"/>
    <w:rsid w:val="002109AD"/>
    <w:rsid w:val="00252611"/>
    <w:rsid w:val="0028783E"/>
    <w:rsid w:val="0029639D"/>
    <w:rsid w:val="002B6CEA"/>
    <w:rsid w:val="0031725B"/>
    <w:rsid w:val="00326F90"/>
    <w:rsid w:val="003D291F"/>
    <w:rsid w:val="00445A13"/>
    <w:rsid w:val="005435A0"/>
    <w:rsid w:val="00577FEB"/>
    <w:rsid w:val="005B079F"/>
    <w:rsid w:val="005E70E2"/>
    <w:rsid w:val="006F10C5"/>
    <w:rsid w:val="00720F52"/>
    <w:rsid w:val="00773FD2"/>
    <w:rsid w:val="007E55BE"/>
    <w:rsid w:val="00801080"/>
    <w:rsid w:val="008778EA"/>
    <w:rsid w:val="008C0181"/>
    <w:rsid w:val="008F6BD8"/>
    <w:rsid w:val="00921A9A"/>
    <w:rsid w:val="00974B41"/>
    <w:rsid w:val="00976A0A"/>
    <w:rsid w:val="00977EC9"/>
    <w:rsid w:val="00984F41"/>
    <w:rsid w:val="009B2AC6"/>
    <w:rsid w:val="00A6729D"/>
    <w:rsid w:val="00A955D7"/>
    <w:rsid w:val="00AA1D8D"/>
    <w:rsid w:val="00AE27DA"/>
    <w:rsid w:val="00B47730"/>
    <w:rsid w:val="00BA5218"/>
    <w:rsid w:val="00BE3677"/>
    <w:rsid w:val="00C16569"/>
    <w:rsid w:val="00C46F54"/>
    <w:rsid w:val="00CB0664"/>
    <w:rsid w:val="00D24D52"/>
    <w:rsid w:val="00D73B44"/>
    <w:rsid w:val="00D83B2F"/>
    <w:rsid w:val="00E535F7"/>
    <w:rsid w:val="00EF5CBE"/>
    <w:rsid w:val="00F0199F"/>
    <w:rsid w:val="00F52B73"/>
    <w:rsid w:val="00F82EB8"/>
    <w:rsid w:val="00FC0D6B"/>
    <w:rsid w:val="00FC693F"/>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4090</Words>
  <Characters>22088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24</cp:revision>
  <dcterms:created xsi:type="dcterms:W3CDTF">2026-05-27T02:37:00Z</dcterms:created>
  <dcterms:modified xsi:type="dcterms:W3CDTF">2026-05-29T22:02:00Z</dcterms:modified>
  <cp:category/>
</cp:coreProperties>
</file>