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77777777" w:rsidR="00C16569" w:rsidRPr="00773FD2" w:rsidRDefault="00202EB5" w:rsidP="00C46F54">
      <w:pPr>
        <w:rPr>
          <w:lang w:val="pt-BR"/>
        </w:rPr>
      </w:pPr>
      <w:r w:rsidRPr="00773FD2">
        <w:rPr>
          <w:b/>
          <w:color w:val="000000"/>
          <w:lang w:val="pt-BR"/>
        </w:rPr>
        <w:t>MODELO PREDITIVO PARA ESTIMATIVA DO ESTADO DE SAÚDE E FIM DA VIDA ÚTIL DE BATERIAS EM SISTEMAS FOTOVOLTAICOS</w:t>
      </w:r>
    </w:p>
    <w:p w14:paraId="791D4A2F" w14:textId="77777777" w:rsidR="00C16569" w:rsidRDefault="00202EB5" w:rsidP="005435A0">
      <w:pPr>
        <w:jc w:val="center"/>
      </w:pPr>
      <w:r>
        <w:rPr>
          <w:b/>
          <w:i/>
          <w:color w:val="000000"/>
        </w:rPr>
        <w:t>PREDICTIVE MODEL FOR ESTIMATING BATTERY STATE OF HEALTH AND END OF LIFE IN PHOTOVOLTAIC SYSTEMS</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77777777" w:rsidR="00C16569" w:rsidRPr="00773FD2" w:rsidRDefault="00202EB5">
      <w:pPr>
        <w:pStyle w:val="ResumoTCC"/>
        <w:rPr>
          <w:lang w:val="pt-BR"/>
        </w:rPr>
      </w:pPr>
      <w:r w:rsidRPr="00F0199F">
        <w:rPr>
          <w:lang w:val="pt-BR"/>
        </w:rPr>
        <w:t xml:space="preserve">Este artigo propõe o uso de um modelo preditivo baseado em aprendizado de máquina para estimar o estado de saúde (SOH) e o fim da vida útil (EOL) de baterias aplicadas a sistemas fotovoltaicos. A partir de perfis de potência residual (demanda menos geração) em arquivos CSV e de um modelo Random Forest </w:t>
      </w:r>
      <w:proofErr w:type="spellStart"/>
      <w:r w:rsidRPr="00F0199F">
        <w:rPr>
          <w:lang w:val="pt-BR"/>
        </w:rPr>
        <w:t>pré</w:t>
      </w:r>
      <w:proofErr w:type="spellEnd"/>
      <w:r w:rsidRPr="00F0199F">
        <w:rPr>
          <w:lang w:val="pt-BR"/>
        </w:rPr>
        <w:t>-treinado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 (LUQUE et al., 2025; AITIO; HOWEY, 2021).</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7777777" w:rsidR="00C16569" w:rsidRDefault="00202EB5">
      <w:pPr>
        <w:pStyle w:val="ResumoTCC"/>
      </w:pPr>
      <w:r>
        <w:t>This article proposes 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 (LUQUE et al., 2025; AITIO; HOWEY, 2021).</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lastRenderedPageBreak/>
        <w:t>INTRODUÇÃO</w:t>
      </w:r>
    </w:p>
    <w:p w14:paraId="0FC25659" w14:textId="77777777" w:rsidR="00C16569" w:rsidRPr="00773FD2" w:rsidRDefault="00202EB5">
      <w:pPr>
        <w:rPr>
          <w:lang w:val="pt-BR"/>
        </w:rPr>
      </w:pPr>
      <w:r w:rsidRPr="00F0199F">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SILVA, 2018).</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07A091B3"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F0199F">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w:t>
      </w:r>
    </w:p>
    <w:p w14:paraId="13FA951C" w14:textId="7D94302A" w:rsidR="00EF5CBE" w:rsidRPr="00EF5CBE" w:rsidRDefault="00202EB5" w:rsidP="00F82EB8">
      <w:pPr>
        <w:jc w:val="center"/>
        <w:rPr>
          <w:color w:val="FF0000"/>
          <w:lang w:val="pt-BR"/>
        </w:rPr>
      </w:pPr>
      <w:r w:rsidRPr="00F0199F">
        <w:rPr>
          <w:lang w:val="pt-BR"/>
        </w:rPr>
        <w:t xml:space="preserve">O objetivo geral deste trabalho é adaptar e avaliar um modelo preditivo baseado em aprendizado de máquina para estimar o estado de saúde e o fim da vida útil de baterias aplicadas a sistemas fotovoltaicos. Para alcançar esse propósito, </w:t>
      </w:r>
      <w:r w:rsidRPr="00F0199F">
        <w:rPr>
          <w:lang w:val="pt-BR"/>
        </w:rPr>
        <w:lastRenderedPageBreak/>
        <w:t>propõe-se identificar fatores de degradação, definir variáveis de entrada, preparar a base de dados, comparar modelos de regressão e classificação e discutir a aplicabilidade da abordagem no contexto da manutenção preditiva (AITIO; HOWEY, 2021; LUQUE et al., 2025).</w:t>
      </w:r>
      <w:r w:rsidR="00EF5CBE">
        <w:rPr>
          <w:lang w:val="pt-BR"/>
        </w:rPr>
        <w:br/>
      </w:r>
      <w:r w:rsidR="00EF5CBE">
        <w:rPr>
          <w:lang w:val="pt-BR"/>
        </w:rPr>
        <w:br/>
      </w:r>
      <w:r w:rsidR="00EF5CBE">
        <w:rPr>
          <w:lang w:val="pt-BR"/>
        </w:rPr>
        <w:br/>
      </w:r>
      <w:r w:rsidR="00EF5CBE" w:rsidRPr="00EF5CBE">
        <w:rPr>
          <w:color w:val="FF0000"/>
          <w:lang w:val="pt-BR"/>
        </w:rPr>
        <w:t xml:space="preserve">[figura 3.b da Ref.4] - (elaborar texto explicando a imagem do perfil de geração típico em dia ensolarado, associando a necessidade de baterias visto a crescente de instalações de geração </w:t>
      </w:r>
      <w:proofErr w:type="spellStart"/>
      <w:r w:rsidR="00EF5CBE" w:rsidRPr="00EF5CBE">
        <w:rPr>
          <w:color w:val="FF0000"/>
          <w:lang w:val="pt-BR"/>
        </w:rPr>
        <w:t>distribuida</w:t>
      </w:r>
      <w:proofErr w:type="spellEnd"/>
      <w:r w:rsidR="00EF5CBE" w:rsidRPr="00EF5CBE">
        <w:rPr>
          <w:color w:val="FF0000"/>
          <w:lang w:val="pt-BR"/>
        </w:rPr>
        <w:t xml:space="preserve"> fotovoltaica residencial, ocasionando </w:t>
      </w:r>
      <w:proofErr w:type="spellStart"/>
      <w:r w:rsidR="00EF5CBE" w:rsidRPr="00EF5CBE">
        <w:rPr>
          <w:color w:val="FF0000"/>
          <w:lang w:val="pt-BR"/>
        </w:rPr>
        <w:t>constrained</w:t>
      </w:r>
      <w:proofErr w:type="spellEnd"/>
      <w:r w:rsidR="00EF5CBE" w:rsidRPr="00EF5CBE">
        <w:rPr>
          <w:color w:val="FF0000"/>
          <w:lang w:val="pt-BR"/>
        </w:rPr>
        <w:t>-off)</w:t>
      </w:r>
      <w:r w:rsidR="00D24D52">
        <w:rPr>
          <w:color w:val="FF0000"/>
          <w:lang w:val="pt-BR"/>
        </w:rPr>
        <w:br/>
      </w:r>
      <w:r w:rsidR="008F6BD8">
        <w:rPr>
          <w:noProof/>
          <w:color w:val="FF0000"/>
          <w:lang w:val="pt-BR"/>
        </w:rPr>
        <w:drawing>
          <wp:inline distT="0" distB="0" distL="0" distR="0" wp14:anchorId="6D108362" wp14:editId="577B31C1">
            <wp:extent cx="2734285" cy="2676063"/>
            <wp:effectExtent l="0" t="0" r="9525" b="0"/>
            <wp:docPr id="11231543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110" cy="2693508"/>
                    </a:xfrm>
                    <a:prstGeom prst="rect">
                      <a:avLst/>
                    </a:prstGeom>
                    <a:noFill/>
                  </pic:spPr>
                </pic:pic>
              </a:graphicData>
            </a:graphic>
          </wp:inline>
        </w:drawing>
      </w:r>
    </w:p>
    <w:p w14:paraId="18481EBD" w14:textId="0F36FF02" w:rsidR="00C16569" w:rsidRPr="00EF5CBE" w:rsidRDefault="00EF5CBE" w:rsidP="00EF5CBE">
      <w:pPr>
        <w:rPr>
          <w:color w:val="FF0000"/>
          <w:lang w:val="pt-BR"/>
        </w:rPr>
      </w:pPr>
      <w:r w:rsidRPr="00EF5CBE">
        <w:rPr>
          <w:color w:val="FF0000"/>
          <w:lang w:val="pt-BR"/>
        </w:rPr>
        <w:t xml:space="preserve">(buscar fonte para comprovar informação sobre </w:t>
      </w:r>
      <w:proofErr w:type="spellStart"/>
      <w:r w:rsidRPr="00EF5CBE">
        <w:rPr>
          <w:color w:val="FF0000"/>
          <w:lang w:val="pt-BR"/>
        </w:rPr>
        <w:t>constrained</w:t>
      </w:r>
      <w:proofErr w:type="spellEnd"/>
      <w:r w:rsidRPr="00EF5CBE">
        <w:rPr>
          <w:color w:val="FF0000"/>
          <w:lang w:val="pt-BR"/>
        </w:rPr>
        <w:t>-off)</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009056AB" w14:textId="77777777" w:rsidR="00FF3CC8" w:rsidRPr="00FF3CC8" w:rsidRDefault="00202EB5" w:rsidP="00FF3CC8">
      <w:pPr>
        <w:rPr>
          <w:lang w:val="pt-BR"/>
        </w:rPr>
      </w:pPr>
      <w:r w:rsidRPr="00773FD2">
        <w:rPr>
          <w:color w:val="000000"/>
          <w:lang w:val="pt-BR"/>
        </w:rPr>
        <w:t xml:space="preserve">Em aplicações residenciais, comerciais e isoladas, o armazenamento por baterias pode contribuir para a continuidade do fornecimento e para a viabilidade econômica do sistema. Entretanto, sua contribuição depende diretamente da forma </w:t>
      </w:r>
      <w:r w:rsidRPr="00773FD2">
        <w:rPr>
          <w:color w:val="000000"/>
          <w:lang w:val="pt-BR"/>
        </w:rPr>
        <w:lastRenderedPageBreak/>
        <w:t>como a bateria é operada, uma vez que estratégias de carga e descarga, limites de estado de carga e condições ambientais influenciam sua degradação ao longo do tempo (LUQUE et al., 2025).</w:t>
      </w:r>
      <w:r w:rsidR="00FF3CC8">
        <w:rPr>
          <w:color w:val="000000"/>
          <w:lang w:val="pt-BR"/>
        </w:rPr>
        <w:br/>
      </w:r>
      <w:r w:rsidR="00FF3CC8">
        <w:rPr>
          <w:color w:val="000000"/>
          <w:lang w:val="pt-BR"/>
        </w:rPr>
        <w:br/>
      </w:r>
    </w:p>
    <w:p w14:paraId="3C599D96" w14:textId="77777777" w:rsidR="00FF3CC8" w:rsidRPr="00FF3CC8" w:rsidRDefault="00FF3CC8" w:rsidP="00FF3CC8">
      <w:pPr>
        <w:rPr>
          <w:color w:val="FF0000"/>
          <w:lang w:val="pt-BR"/>
        </w:rPr>
      </w:pPr>
      <w:r w:rsidRPr="00FF3CC8">
        <w:rPr>
          <w:color w:val="FF0000"/>
          <w:lang w:val="pt-BR"/>
        </w:rPr>
        <w:t xml:space="preserve">Adicionar seção na fundamentação teórica sobre </w:t>
      </w:r>
      <w:proofErr w:type="spellStart"/>
      <w:r w:rsidRPr="00FF3CC8">
        <w:rPr>
          <w:color w:val="FF0000"/>
          <w:lang w:val="pt-BR"/>
        </w:rPr>
        <w:t>constrained</w:t>
      </w:r>
      <w:proofErr w:type="spellEnd"/>
      <w:r w:rsidRPr="00FF3CC8">
        <w:rPr>
          <w:color w:val="FF0000"/>
          <w:lang w:val="pt-BR"/>
        </w:rPr>
        <w:t>-off</w:t>
      </w:r>
    </w:p>
    <w:p w14:paraId="23482EB3" w14:textId="54FF5790" w:rsidR="00C16569" w:rsidRPr="00FF3CC8" w:rsidRDefault="00FF3CC8" w:rsidP="00FF3CC8">
      <w:pPr>
        <w:rPr>
          <w:color w:val="FF0000"/>
          <w:lang w:val="pt-BR"/>
        </w:rPr>
      </w:pPr>
      <w:r w:rsidRPr="00FF3CC8">
        <w:rPr>
          <w:color w:val="FF0000"/>
          <w:lang w:val="pt-BR"/>
        </w:rPr>
        <w:t>https://www.delfos.energy/pt/blog-posts/constrained-off</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As baterias utilizadas em sistemas fotovoltaicos podem empregar diferentes tecnologias eletroquímicas, como chumbo-ácido e íon-lítio. A escolha da tecnologia depende de fatores como custo, densidade de energia, vida útil, segurança, 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 xml:space="preserve">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w:t>
      </w:r>
      <w:r w:rsidRPr="00773FD2">
        <w:rPr>
          <w:color w:val="000000"/>
          <w:lang w:val="pt-BR"/>
        </w:rPr>
        <w:lastRenderedPageBreak/>
        <w:t>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607BBC65"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um limite mínimo aceitável de capacidade ou desempenho operacional (AITIO; HOWEY, 2021; LUQUE et al., 2025).</w:t>
      </w: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pPr>
        <w:rPr>
          <w:lang w:val="pt-BR"/>
        </w:rPr>
      </w:pPr>
      <w:r w:rsidRPr="00773FD2">
        <w:rPr>
          <w:color w:val="000000"/>
          <w:lang w:val="pt-BR"/>
        </w:rPr>
        <w:t xml:space="preserve">O aprendizado de máquina é uma área da inteligência artificial voltada à construção de modelos capazes de aprender padrões a partir de dados. Em problemas supervisionados, os modelos são treinados com exemplos de entrada e </w:t>
      </w:r>
      <w:r w:rsidRPr="00773FD2">
        <w:rPr>
          <w:color w:val="000000"/>
          <w:lang w:val="pt-BR"/>
        </w:rPr>
        <w:lastRenderedPageBreak/>
        <w:t>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77777777" w:rsidR="00C16569" w:rsidRPr="00773FD2" w:rsidRDefault="00202EB5">
      <w:pPr>
        <w:pStyle w:val="Ttulo2"/>
        <w:jc w:val="left"/>
        <w:rPr>
          <w:lang w:val="pt-BR"/>
        </w:rPr>
      </w:pPr>
      <w:r w:rsidRPr="00773FD2">
        <w:rPr>
          <w:rFonts w:ascii="Arial" w:eastAsia="Arial" w:hAnsi="Arial"/>
          <w:lang w:val="pt-BR"/>
        </w:rPr>
        <w:t>Modelos preditivos para SOH e fim de vida útil</w:t>
      </w:r>
    </w:p>
    <w:p w14:paraId="54203510" w14:textId="77777777" w:rsidR="00C16569" w:rsidRPr="00773FD2" w:rsidRDefault="00202EB5">
      <w:pPr>
        <w:rPr>
          <w:lang w:val="pt-BR"/>
        </w:rPr>
      </w:pPr>
      <w:r w:rsidRPr="00773FD2">
        <w:rPr>
          <w:color w:val="000000"/>
          <w:lang w:val="pt-BR"/>
        </w:rPr>
        <w:t>A estimativa do SOH e do fim da vida útil pode ser realizada por métodos baseados em modelo, métodos orientados a dados ou métodos híbridos. Métodos 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Modelos como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têm sido utilizados em estudos de previsão de saúde de baterias. Para este trabalho, a escolha inicial por modelos supervisionados de regressão e classificação permite equilibrar desempenho, simplicidade de implementação, geração de métricas e interpretação dos fatores que mais influenciam a degradação (BREIMAN, 2001; RASMUSSEN; WILLIAMS, 2006;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propõe o desenvolvimento de uma solução computacional para apoiar a manutenção preditiva de baterias em sistemas fotovoltaicos. A pesquisa será conduzida por meio da preparação de dados, treinamento de modelos de aprendizado de máquina e avaliação do desempenho preditivo por métricas estatísticas (PEDREGOSA et al., 2011; LUQUE et al., 2025).</w:t>
      </w:r>
    </w:p>
    <w:p w14:paraId="4E8D9F8B" w14:textId="77777777" w:rsidR="00445A13" w:rsidRPr="003D291F" w:rsidRDefault="00000000">
      <w:pPr>
        <w:rPr>
          <w:lang w:val="pt-BR"/>
        </w:rPr>
      </w:pPr>
      <w:r w:rsidRPr="003D291F">
        <w:rPr>
          <w:lang w:val="pt-BR"/>
        </w:rPr>
        <w:lastRenderedPageBreak/>
        <w:t>As variáveis diárias utilizadas no modelo são derivadas do perfil de potência residual: a média diária da potência residual (T1) e a média do valor absoluto da potência residual (T4). Esses atributos resumem o comportamento diário de carga e descarga e são combinados com o SOH inicial, a estratégia operacional e o índice de dia para estimar a perda de capacidade. A abordagem segue a metodologia de aprendizado de máquina descrita por Luque et al. (2025), com foco em manutenção preditiva e análise da degradação.</w:t>
      </w:r>
    </w:p>
    <w:p w14:paraId="2A2E8498" w14:textId="77777777" w:rsidR="00445A13" w:rsidRPr="003D291F" w:rsidRDefault="00000000">
      <w:pPr>
        <w:rPr>
          <w:lang w:val="pt-BR"/>
        </w:rPr>
      </w:pPr>
      <w:r w:rsidRPr="003D291F">
        <w:rPr>
          <w:lang w:val="pt-BR"/>
        </w:rPr>
        <w:t>As variáveis diárias utilizadas no modelo são derivadas do perfil de potência residual: a média diária da potência residual (T1) e a média do valor absoluto da potência residual (T4). Esses atributos resumem o comportamento diário de carga e descarga e são combinados com o SOH inicial, a estratégia operacional e o índice de dia para estimar a perda de capacidade. A abordagem segue a metodologia de aprendizado de máquina descrita por Luque et al. (2025), com foco em manutenção preditiva e análise da degradação.</w:t>
      </w:r>
    </w:p>
    <w:p w14:paraId="4C383DE7" w14:textId="77777777" w:rsidR="00C16569" w:rsidRPr="00773FD2" w:rsidRDefault="00202EB5">
      <w:pPr>
        <w:rPr>
          <w:lang w:val="pt-BR"/>
        </w:rPr>
      </w:pPr>
      <w:r w:rsidRPr="005435A0">
        <w:rPr>
          <w:lang w:val="pt-BR"/>
        </w:rPr>
        <w:t xml:space="preserve">A base de dados será composta por perfis de potência residual em arquivos CSV, como o input_profile_sample.csv do </w:t>
      </w:r>
      <w:proofErr w:type="spellStart"/>
      <w:r w:rsidRPr="005435A0">
        <w:rPr>
          <w:lang w:val="pt-BR"/>
        </w:rPr>
        <w:t>MLBatLife</w:t>
      </w:r>
      <w:proofErr w:type="spellEnd"/>
      <w:r w:rsidRPr="005435A0">
        <w:rPr>
          <w:lang w:val="pt-BR"/>
        </w:rPr>
        <w:t xml:space="preserve">, além do modelo treinado </w:t>
      </w:r>
      <w:proofErr w:type="spellStart"/>
      <w:r w:rsidRPr="005435A0">
        <w:rPr>
          <w:lang w:val="pt-BR"/>
        </w:rPr>
        <w:t>MLBatLife_Model.pkl</w:t>
      </w:r>
      <w:proofErr w:type="spellEnd"/>
      <w:r w:rsidRPr="005435A0">
        <w:rPr>
          <w:lang w:val="pt-BR"/>
        </w:rPr>
        <w:t>. Quando necessário, serão utilizados dados simulados com variáveis operacionais descritas na literatura para ampliar a análise e a comparação entre modelos (LUQUE et al., 2025; AITIO; HOWEY, 2021).</w:t>
      </w:r>
    </w:p>
    <w:p w14:paraId="24ABA51B" w14:textId="77777777" w:rsidR="00C16569" w:rsidRPr="00773FD2" w:rsidRDefault="00202EB5">
      <w:pPr>
        <w:rPr>
          <w:lang w:val="pt-BR"/>
        </w:rPr>
      </w:pPr>
      <w:r w:rsidRPr="00773FD2">
        <w:rPr>
          <w:color w:val="000000"/>
          <w:lang w:val="pt-BR"/>
        </w:rPr>
        <w:t>O pré-processamento dos dados contemplará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5435A0">
        <w:rPr>
          <w:lang w:val="pt-BR"/>
        </w:rPr>
        <w:t xml:space="preserve">Na etapa de modelagem, o </w:t>
      </w:r>
      <w:proofErr w:type="spellStart"/>
      <w:r w:rsidRPr="005435A0">
        <w:rPr>
          <w:lang w:val="pt-BR"/>
        </w:rPr>
        <w:t>MLBatLife</w:t>
      </w:r>
      <w:proofErr w:type="spellEnd"/>
      <w:r w:rsidRPr="005435A0">
        <w:rPr>
          <w:lang w:val="pt-BR"/>
        </w:rPr>
        <w:t xml:space="preserve"> será utilizado como baseline, por empregar Random Forest treinado para estimar a perda diária de capacidade. Em paralelo, serão avaliados modelos de regressão para estimativa do SOH e modelos de classificação para identificação da condição operacional da bateria (BREIMAN, 2001; CHEN; GUESTRIN, 2016).</w:t>
      </w:r>
    </w:p>
    <w:p w14:paraId="0CF6FCDB" w14:textId="77777777" w:rsidR="00C16569" w:rsidRPr="00773FD2" w:rsidRDefault="00202EB5">
      <w:pPr>
        <w:rPr>
          <w:lang w:val="pt-BR"/>
        </w:rPr>
      </w:pPr>
      <w:r w:rsidRPr="00773FD2">
        <w:rPr>
          <w:color w:val="000000"/>
          <w:lang w:val="pt-BR"/>
        </w:rPr>
        <w:br w:type="page"/>
      </w:r>
    </w:p>
    <w:p w14:paraId="7A4F1B25" w14:textId="77777777" w:rsidR="00C16569" w:rsidRPr="00773FD2" w:rsidRDefault="00202EB5">
      <w:pPr>
        <w:pStyle w:val="LegendaTCC"/>
        <w:rPr>
          <w:lang w:val="pt-BR"/>
        </w:rPr>
      </w:pPr>
      <w:r w:rsidRPr="00773FD2">
        <w:rPr>
          <w:color w:val="000000"/>
          <w:lang w:val="pt-BR"/>
        </w:rPr>
        <w:lastRenderedPageBreak/>
        <w:t>Tabela 1 - Métricas previstas para avaliação dos modelos</w:t>
      </w:r>
    </w:p>
    <w:tbl>
      <w:tblPr>
        <w:tblW w:w="0" w:type="auto"/>
        <w:jc w:val="center"/>
        <w:tblLook w:val="04A0" w:firstRow="1" w:lastRow="0" w:firstColumn="1" w:lastColumn="0" w:noHBand="0" w:noVBand="1"/>
      </w:tblPr>
      <w:tblGrid>
        <w:gridCol w:w="2267"/>
        <w:gridCol w:w="2265"/>
        <w:gridCol w:w="2265"/>
        <w:gridCol w:w="2265"/>
      </w:tblGrid>
      <w:tr w:rsidR="00C16569" w14:paraId="3768EEE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D1667B" w14:textId="77777777" w:rsidR="00C16569" w:rsidRDefault="00202EB5">
            <w:pPr>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556941" w14:textId="77777777" w:rsidR="00C16569" w:rsidRDefault="00202EB5">
            <w:pPr>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2B3C405" w14:textId="77777777" w:rsidR="00C16569" w:rsidRDefault="00202EB5">
            <w:pPr>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573D2C0" w14:textId="77777777" w:rsidR="00C16569" w:rsidRDefault="00202EB5">
            <w:pPr>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pPr>
              <w:spacing w:after="0" w:line="240" w:lineRule="auto"/>
              <w:jc w:val="left"/>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pPr>
              <w:spacing w:after="0" w:line="240" w:lineRule="auto"/>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pPr>
              <w:spacing w:after="0" w:line="240" w:lineRule="auto"/>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pPr>
              <w:spacing w:after="0" w:line="240" w:lineRule="auto"/>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pPr>
              <w:spacing w:after="0" w:line="240" w:lineRule="auto"/>
              <w:jc w:val="left"/>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pPr>
              <w:spacing w:after="0" w:line="240" w:lineRule="auto"/>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pPr>
              <w:spacing w:after="0" w:line="240" w:lineRule="auto"/>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pPr>
              <w:spacing w:after="0" w:line="240" w:lineRule="auto"/>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pPr>
              <w:spacing w:after="0" w:line="240" w:lineRule="auto"/>
              <w:jc w:val="left"/>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pPr>
              <w:spacing w:after="0" w:line="240" w:lineRule="auto"/>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pPr>
              <w:spacing w:after="0" w:line="240" w:lineRule="auto"/>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pPr>
              <w:spacing w:after="0" w:line="240" w:lineRule="auto"/>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7AB0A228" w14:textId="77777777" w:rsidR="00C16569" w:rsidRPr="00773FD2" w:rsidRDefault="00202EB5">
      <w:pPr>
        <w:rPr>
          <w:lang w:val="pt-BR"/>
        </w:rPr>
      </w:pPr>
      <w:r w:rsidRPr="005435A0">
        <w:rPr>
          <w:lang w:val="pt-BR"/>
        </w:rPr>
        <w:t xml:space="preserve">A implementação será realizada em linguagem Python, com uso de bibliotecas para manipulação de dados, treinamento dos modelos e geração de gráficos, além dos scripts do próprio </w:t>
      </w:r>
      <w:proofErr w:type="spellStart"/>
      <w:r w:rsidRPr="005435A0">
        <w:rPr>
          <w:lang w:val="pt-BR"/>
        </w:rPr>
        <w:t>MLBatLife</w:t>
      </w:r>
      <w:proofErr w:type="spellEnd"/>
      <w:r w:rsidRPr="005435A0">
        <w:rPr>
          <w:lang w:val="pt-BR"/>
        </w:rPr>
        <w:t xml:space="preserve"> para leitura do CSV, extração de features e predição do SOH.</w:t>
      </w:r>
    </w:p>
    <w:p w14:paraId="4F87F075" w14:textId="49EBE531" w:rsidR="00C16569" w:rsidRPr="00773FD2" w:rsidRDefault="00202EB5" w:rsidP="003D291F">
      <w:pPr>
        <w:pStyle w:val="LegendaTCC"/>
        <w:rPr>
          <w:lang w:val="pt-BR"/>
        </w:rPr>
      </w:pPr>
      <w:r w:rsidRPr="003D291F">
        <w:rPr>
          <w:lang w:val="pt-BR"/>
        </w:rPr>
        <w:t>Figura 1 - Perfil de potência residual (primeiro dia)</w:t>
      </w:r>
      <w:r w:rsidR="003D291F" w:rsidRPr="003D291F">
        <w:rPr>
          <w:noProof/>
          <w:lang w:val="pt-BR"/>
        </w:rPr>
        <w:t xml:space="preserve"> </w:t>
      </w:r>
      <w:r>
        <w:rPr>
          <w:noProof/>
        </w:rPr>
        <w:drawing>
          <wp:inline distT="0" distB="0" distL="0" distR="0" wp14:anchorId="79C453F3" wp14:editId="7BD59898">
            <wp:extent cx="5029200" cy="2873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2873829"/>
                    </a:xfrm>
                    <a:prstGeom prst="rect">
                      <a:avLst/>
                    </a:prstGeom>
                  </pic:spPr>
                </pic:pic>
              </a:graphicData>
            </a:graphic>
          </wp:inline>
        </w:drawing>
      </w:r>
    </w:p>
    <w:p w14:paraId="55A180AD" w14:textId="77777777" w:rsidR="00445A13" w:rsidRPr="003D291F" w:rsidRDefault="00000000">
      <w:pPr>
        <w:rPr>
          <w:lang w:val="pt-BR"/>
        </w:rPr>
      </w:pPr>
      <w:r w:rsidRPr="003D291F">
        <w:rPr>
          <w:lang w:val="pt-BR"/>
        </w:rPr>
        <w:t>Fonte: Elaborado pelos autores.</w:t>
      </w: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Pr="00773FD2" w:rsidRDefault="00202EB5">
      <w:pPr>
        <w:rPr>
          <w:lang w:val="pt-BR"/>
        </w:rPr>
      </w:pPr>
      <w:r w:rsidRPr="00773FD2">
        <w:rPr>
          <w:color w:val="000000"/>
          <w:lang w:val="pt-BR"/>
        </w:rPr>
        <w:t>A seção de resultados deverá apresentar inicialmente a análise exploratória dos dados, com a descrição das variáveis utilizadas e a identificação de padrões relacionados à degradação da bateria. Espera-se observar a redução gradual do SOH ao longo dos ciclos de operação, bem como a influência de variáveis como temperatura, resistência interna e profundidade de descarga sobre a perda de desempenho (AITIO; HOWEY, 2021; LUQUE et al., 2025).</w:t>
      </w:r>
    </w:p>
    <w:p w14:paraId="2FD2554D" w14:textId="77777777" w:rsidR="00445A13" w:rsidRPr="003D291F" w:rsidRDefault="00000000">
      <w:pPr>
        <w:rPr>
          <w:lang w:val="pt-BR"/>
        </w:rPr>
      </w:pPr>
      <w:r w:rsidRPr="003D291F">
        <w:rPr>
          <w:lang w:val="pt-BR"/>
        </w:rPr>
        <w:lastRenderedPageBreak/>
        <w:t>Resumo estatístico do SOH estimado: valor mínimo de 0.873256, valor máximo de 1.000000, média de 0.915486, desvio-padrão de 0.030566 e valor final de 0.873256.</w:t>
      </w:r>
    </w:p>
    <w:p w14:paraId="331F2664" w14:textId="77777777" w:rsidR="00445A13" w:rsidRPr="003D291F" w:rsidRDefault="00000000">
      <w:pPr>
        <w:rPr>
          <w:lang w:val="pt-BR"/>
        </w:rPr>
      </w:pPr>
      <w:r w:rsidRPr="003D291F">
        <w:rPr>
          <w:lang w:val="pt-BR"/>
        </w:rPr>
        <w:t>Resumo estatístico do SOH estimado: valor mínimo de 0.873256, valor máximo de 1.000000, média de 0.915486, desvio-padrão de 0.030566 e valor final de 0.873256.</w:t>
      </w:r>
    </w:p>
    <w:p w14:paraId="576278BD" w14:textId="77777777" w:rsidR="00C16569" w:rsidRPr="00773FD2" w:rsidRDefault="00202EB5">
      <w:pPr>
        <w:rPr>
          <w:lang w:val="pt-BR"/>
        </w:rPr>
      </w:pPr>
      <w:r w:rsidRPr="00773FD2">
        <w:rPr>
          <w:color w:val="000000"/>
          <w:lang w:val="pt-BR"/>
        </w:rPr>
        <w:t>Na avaliação dos modelos de regressão, os resultados deverão ser discutidos a partir das métricas MAE, RMSE e R², permitindo comparar a proximidade entre o SOH previsto e o SOH de referência. O modelo com menor erro e maior capacidade de generalização deverá ser analisado de forma crítica, considerando não apenas o desempenho numérico, mas também sua aplicabilidade prática em um cenário de manutenção preditiva (PEDREGOSA et al., 2011; LUQUE et al., 2025).</w:t>
      </w:r>
    </w:p>
    <w:p w14:paraId="77BEBFDA" w14:textId="77777777" w:rsidR="00C16569" w:rsidRPr="00773FD2" w:rsidRDefault="00202EB5">
      <w:pPr>
        <w:rPr>
          <w:lang w:val="pt-BR"/>
        </w:rPr>
      </w:pPr>
      <w:r w:rsidRPr="00773FD2">
        <w:rPr>
          <w:color w:val="000000"/>
          <w:lang w:val="pt-BR"/>
        </w:rPr>
        <w:t>Na avaliação dos modelos de classificação, deverão ser apresentadas métricas como acurácia, precisão, recall e F1-score, além da matriz de confusão. Essa análise permitirá verificar se o modelo é capaz de distinguir adequadamente baterias saudáveis daquelas em condição de atenção ou próximas ao fim de vida útil, aspecto essencial para reduzir atrasos na identificação de falhas (AITIO; HOWEY, 2021).</w:t>
      </w:r>
    </w:p>
    <w:p w14:paraId="6536F45D" w14:textId="3526E125" w:rsidR="00C16569" w:rsidRPr="00773FD2" w:rsidRDefault="00202EB5" w:rsidP="003D291F">
      <w:pPr>
        <w:pStyle w:val="LegendaTCC"/>
        <w:rPr>
          <w:lang w:val="pt-BR"/>
        </w:rPr>
      </w:pPr>
      <w:r w:rsidRPr="003D291F">
        <w:rPr>
          <w:lang w:val="pt-BR"/>
        </w:rPr>
        <w:t>Gráfico 1 - SOH ao longo do tempo</w:t>
      </w:r>
      <w:r>
        <w:rPr>
          <w:noProof/>
        </w:rPr>
        <w:drawing>
          <wp:inline distT="0" distB="0" distL="0" distR="0" wp14:anchorId="4C4C0138" wp14:editId="1AD7A0E1">
            <wp:extent cx="5029200" cy="2873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2873829"/>
                    </a:xfrm>
                    <a:prstGeom prst="rect">
                      <a:avLst/>
                    </a:prstGeom>
                  </pic:spPr>
                </pic:pic>
              </a:graphicData>
            </a:graphic>
          </wp:inline>
        </w:drawing>
      </w:r>
    </w:p>
    <w:p w14:paraId="0011184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7ADDD086" w14:textId="77777777" w:rsidR="003D291F" w:rsidRPr="00773FD2" w:rsidRDefault="003D291F" w:rsidP="003D291F">
      <w:pPr>
        <w:pStyle w:val="LegendaTCC"/>
        <w:spacing w:before="60" w:after="120"/>
        <w:rPr>
          <w:lang w:val="pt-BR"/>
        </w:rPr>
      </w:pPr>
    </w:p>
    <w:p w14:paraId="56D45BC2" w14:textId="77777777" w:rsidR="003D291F" w:rsidRDefault="003D291F">
      <w:pPr>
        <w:pStyle w:val="LegendaTCC"/>
        <w:rPr>
          <w:lang w:val="pt-BR"/>
        </w:rPr>
      </w:pPr>
    </w:p>
    <w:p w14:paraId="4B52ECD8" w14:textId="621ABCC6" w:rsidR="00C16569" w:rsidRPr="00773FD2" w:rsidRDefault="00202EB5" w:rsidP="003D291F">
      <w:pPr>
        <w:pStyle w:val="LegendaTCC"/>
        <w:rPr>
          <w:lang w:val="pt-BR"/>
        </w:rPr>
      </w:pPr>
      <w:r w:rsidRPr="003D291F">
        <w:rPr>
          <w:lang w:val="pt-BR"/>
        </w:rPr>
        <w:lastRenderedPageBreak/>
        <w:t>Figura 2 - Matriz de correlação das variáveis</w:t>
      </w:r>
      <w:r>
        <w:rPr>
          <w:noProof/>
        </w:rPr>
        <w:drawing>
          <wp:inline distT="0" distB="0" distL="0" distR="0" wp14:anchorId="5D43A1EA" wp14:editId="06A78778">
            <wp:extent cx="5029200" cy="4162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4162097"/>
                    </a:xfrm>
                    <a:prstGeom prst="rect">
                      <a:avLst/>
                    </a:prstGeom>
                  </pic:spPr>
                </pic:pic>
              </a:graphicData>
            </a:graphic>
          </wp:inline>
        </w:drawing>
      </w:r>
    </w:p>
    <w:p w14:paraId="3387729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69A63B94" w14:textId="77777777" w:rsidR="003D291F" w:rsidRPr="00773FD2" w:rsidRDefault="003D291F" w:rsidP="003D291F">
      <w:pPr>
        <w:pStyle w:val="LegendaTCC"/>
        <w:spacing w:before="60" w:after="120"/>
        <w:rPr>
          <w:lang w:val="pt-BR"/>
        </w:rPr>
      </w:pPr>
    </w:p>
    <w:p w14:paraId="4754F355" w14:textId="77777777" w:rsidR="00C16569" w:rsidRPr="00773FD2" w:rsidRDefault="00202EB5">
      <w:pPr>
        <w:rPr>
          <w:lang w:val="pt-BR"/>
        </w:rPr>
      </w:pPr>
      <w:r w:rsidRPr="00773FD2">
        <w:rPr>
          <w:color w:val="000000"/>
          <w:lang w:val="pt-BR"/>
        </w:rPr>
        <w:t>A discussão dos resultados deverá relacionar o desempenho obtido com os trabalhos correlatos, destacando semelhanças e limitações metodológicas. Em especial, deverá ser considerada a diferença entre aplicações com dados reais de campo e abordagens baseadas em simulação, uma vez que sistemas em operação real apresentam falhas de medição, lacunas temporais e variações ambientais que dificultam a estimativa precisa da saúde da bateria (AITIO; HOWEY, 2021; LUQUE et al., 2025).</w:t>
      </w:r>
    </w:p>
    <w:p w14:paraId="2107EE0E" w14:textId="77777777" w:rsidR="00C16569" w:rsidRPr="00773FD2" w:rsidRDefault="00202EB5">
      <w:pPr>
        <w:pStyle w:val="Ttulo1"/>
        <w:rPr>
          <w:lang w:val="pt-BR"/>
        </w:rPr>
      </w:pPr>
      <w:r w:rsidRPr="00773FD2">
        <w:rPr>
          <w:rFonts w:ascii="Arial" w:eastAsia="Arial" w:hAnsi="Arial"/>
          <w:lang w:val="pt-BR"/>
        </w:rPr>
        <w:t>CONSIDERAÇÕES FINAIS</w:t>
      </w:r>
    </w:p>
    <w:p w14:paraId="48445153" w14:textId="77777777" w:rsidR="00C16569" w:rsidRPr="00773FD2" w:rsidRDefault="00202EB5">
      <w:pPr>
        <w:rPr>
          <w:lang w:val="pt-BR"/>
        </w:rPr>
      </w:pPr>
      <w:r w:rsidRPr="00773FD2">
        <w:rPr>
          <w:color w:val="000000"/>
          <w:lang w:val="pt-BR"/>
        </w:rPr>
        <w:t>Este trabalho propõe o desenvolvimento de um modelo preditivo para estimar o estado de saúde e o fim da vida útil de baterias em sistemas fotovoltaicos, buscando contribuir para a adoção de práticas de manutenção preditiva. A abordagem permite relacionar variáveis operacionais da bateria com indicadores de degradação, favorecendo uma tomada de decisão mais fundamentada sobre manutenção, substituição e operação do sistema (AITIO; HOWEY, 2021; LUQUE et al., 2025).</w:t>
      </w:r>
    </w:p>
    <w:p w14:paraId="7FF0A681" w14:textId="77777777" w:rsidR="00C16569" w:rsidRPr="00773FD2" w:rsidRDefault="00202EB5">
      <w:pPr>
        <w:rPr>
          <w:lang w:val="pt-BR"/>
        </w:rPr>
      </w:pPr>
      <w:r w:rsidRPr="00773FD2">
        <w:rPr>
          <w:color w:val="000000"/>
          <w:lang w:val="pt-BR"/>
        </w:rPr>
        <w:lastRenderedPageBreak/>
        <w:t>Como limitação inicial, destaca-se a dependência da qualidade da base de dados utilizada, uma vez que modelos supervisionados exigem registros consistentes e representativos para alcançar desempenho adequado. Além disso, dados simulados podem não representar integralmente as condições de operação encontradas em sistemas reais, motivo pelo qual a validação futura com dados de campo é recomendada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4AA211B2" w14:textId="77777777" w:rsidR="00C16569" w:rsidRDefault="00202EB5">
      <w:pPr>
        <w:pStyle w:val="ReferenciaTCC"/>
      </w:pPr>
      <w:r>
        <w:rPr>
          <w:color w:val="000000"/>
        </w:rPr>
        <w:t>AITIO, Antti; HOWEY, David A. Predicting battery end of life from solar off-grid system field data using machine learning. Joule, v. 5, p. 3204-3220, 2021.</w:t>
      </w:r>
    </w:p>
    <w:p w14:paraId="468DA4AB" w14:textId="77777777" w:rsidR="00C16569" w:rsidRDefault="00202EB5">
      <w:pPr>
        <w:pStyle w:val="ReferenciaTCC"/>
      </w:pPr>
      <w:r>
        <w:rPr>
          <w:color w:val="000000"/>
        </w:rPr>
        <w:t>BREIMAN, Leo. Random forests. Machine Learning, v. 45, p. 5-32, 2001.</w:t>
      </w:r>
    </w:p>
    <w:p w14:paraId="42F30724" w14:textId="77777777" w:rsidR="00C16569" w:rsidRDefault="00202EB5">
      <w:pPr>
        <w:pStyle w:val="ReferenciaTCC"/>
      </w:pPr>
      <w:r>
        <w:rPr>
          <w:color w:val="000000"/>
        </w:rPr>
        <w:t xml:space="preserve">CHEN, Tianqi; GUESTRIN, Carlos. </w:t>
      </w:r>
      <w:proofErr w:type="spellStart"/>
      <w:r>
        <w:rPr>
          <w:color w:val="000000"/>
        </w:rPr>
        <w:t>XGBoost</w:t>
      </w:r>
      <w:proofErr w:type="spellEnd"/>
      <w:r>
        <w:rPr>
          <w:color w:val="000000"/>
        </w:rPr>
        <w:t>: a scalable tree boosting system. In: Proceedings of the 22nd ACM SIGKDD International Conference on Knowledge Discovery and Data Mining. San Francisco: ACM, 2016.</w:t>
      </w:r>
    </w:p>
    <w:p w14:paraId="0065D3D0" w14:textId="77777777" w:rsidR="00C16569" w:rsidRDefault="00202EB5">
      <w:pPr>
        <w:pStyle w:val="ReferenciaTCC"/>
      </w:pPr>
      <w:r>
        <w:rPr>
          <w:color w:val="000000"/>
        </w:rPr>
        <w:t>LUQUE, Joaquin et al. Machine learning estimation of battery state of health in residential photovoltaic systems. Future Batteries, v. 5, 100039, 2025.</w:t>
      </w:r>
    </w:p>
    <w:p w14:paraId="5D7B7CF8" w14:textId="77777777" w:rsidR="00C16569" w:rsidRDefault="00202EB5">
      <w:pPr>
        <w:pStyle w:val="ReferenciaTCC"/>
      </w:pPr>
      <w:r>
        <w:rPr>
          <w:color w:val="000000"/>
        </w:rPr>
        <w:t>PEDREGOSA, Fabian et al. Scikit-</w:t>
      </w:r>
      <w:proofErr w:type="gramStart"/>
      <w:r>
        <w:rPr>
          <w:color w:val="000000"/>
        </w:rPr>
        <w:t>learn:</w:t>
      </w:r>
      <w:proofErr w:type="gramEnd"/>
      <w:r>
        <w:rPr>
          <w:color w:val="000000"/>
        </w:rPr>
        <w:t xml:space="preserve"> machine learning in Python. Journal of Machine Learning Research, v. 12, p. 2825-2830, 2011.</w:t>
      </w:r>
    </w:p>
    <w:p w14:paraId="65762EF4" w14:textId="77777777" w:rsidR="00C16569" w:rsidRDefault="00202EB5">
      <w:pPr>
        <w:pStyle w:val="ReferenciaTCC"/>
      </w:pPr>
      <w:r>
        <w:rPr>
          <w:color w:val="000000"/>
        </w:rPr>
        <w:t>RASMUSSEN, Carl Edward; WILLIAMS, Christopher K. I. Gaussian Processes for Machine Learning. Cambridge: MIT Press, 2006.</w:t>
      </w:r>
    </w:p>
    <w:p w14:paraId="01F42E58" w14:textId="77777777" w:rsidR="00C16569" w:rsidRPr="00773FD2" w:rsidRDefault="00202EB5">
      <w:pPr>
        <w:pStyle w:val="ReferenciaTCC"/>
        <w:rPr>
          <w:lang w:val="pt-BR"/>
        </w:rPr>
      </w:pPr>
      <w:r w:rsidRPr="0007696B">
        <w:rPr>
          <w:color w:val="000000"/>
        </w:rPr>
        <w:t xml:space="preserve">SILVA, Ricardo Emanuel Gomes Fernandes da. </w:t>
      </w:r>
      <w:r>
        <w:rPr>
          <w:color w:val="000000"/>
        </w:rPr>
        <w:t xml:space="preserve">Artificial intelligence techniques applied for the predictive control of stationary storage. </w:t>
      </w:r>
      <w:r w:rsidRPr="00773FD2">
        <w:rPr>
          <w:color w:val="000000"/>
          <w:lang w:val="pt-BR"/>
        </w:rPr>
        <w:t xml:space="preserve">2018. Dissertação (Mestrado Integrado em Engenharia Eletrotécnica e de Computadores) - </w:t>
      </w:r>
      <w:proofErr w:type="spellStart"/>
      <w:r w:rsidRPr="00773FD2">
        <w:rPr>
          <w:color w:val="000000"/>
          <w:lang w:val="pt-BR"/>
        </w:rPr>
        <w:t>Faculty</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w:t>
      </w:r>
      <w:proofErr w:type="spellStart"/>
      <w:r w:rsidRPr="00773FD2">
        <w:rPr>
          <w:color w:val="000000"/>
          <w:lang w:val="pt-BR"/>
        </w:rPr>
        <w:t>Engineering</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w:t>
      </w:r>
      <w:proofErr w:type="spellStart"/>
      <w:r w:rsidRPr="00773FD2">
        <w:rPr>
          <w:color w:val="000000"/>
          <w:lang w:val="pt-BR"/>
        </w:rPr>
        <w:t>the</w:t>
      </w:r>
      <w:proofErr w:type="spellEnd"/>
      <w:r w:rsidRPr="00773FD2">
        <w:rPr>
          <w:color w:val="000000"/>
          <w:lang w:val="pt-BR"/>
        </w:rPr>
        <w:t xml:space="preserve"> </w:t>
      </w:r>
      <w:proofErr w:type="spellStart"/>
      <w:r w:rsidRPr="00773FD2">
        <w:rPr>
          <w:color w:val="000000"/>
          <w:lang w:val="pt-BR"/>
        </w:rPr>
        <w:t>University</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Porto, Porto, 2018.</w:t>
      </w:r>
    </w:p>
    <w:p w14:paraId="0FA2A86F" w14:textId="77777777" w:rsidR="00C16569" w:rsidRPr="00773FD2" w:rsidRDefault="00202EB5">
      <w:pPr>
        <w:rPr>
          <w:lang w:val="pt-BR"/>
        </w:rPr>
      </w:pPr>
      <w:r w:rsidRPr="00773FD2">
        <w:rPr>
          <w:color w:val="000000"/>
          <w:lang w:val="pt-BR"/>
        </w:rPr>
        <w:br w:type="page"/>
      </w:r>
    </w:p>
    <w:p w14:paraId="6E246238" w14:textId="77777777" w:rsidR="00C16569" w:rsidRPr="00773FD2" w:rsidRDefault="00202EB5">
      <w:pPr>
        <w:pStyle w:val="Ttulo1"/>
        <w:rPr>
          <w:lang w:val="pt-BR"/>
        </w:rPr>
      </w:pPr>
      <w:r w:rsidRPr="00773FD2">
        <w:rPr>
          <w:rFonts w:ascii="Arial" w:eastAsia="Arial" w:hAnsi="Arial"/>
          <w:lang w:val="pt-BR"/>
        </w:rPr>
        <w:lastRenderedPageBreak/>
        <w:t>CHECKLIST DE FORMATAÇÃO PARA REMOVER NA VERSÃO FINAL</w:t>
      </w:r>
    </w:p>
    <w:p w14:paraId="04D90285" w14:textId="77777777" w:rsidR="00C16569" w:rsidRPr="00773FD2" w:rsidRDefault="00202EB5">
      <w:pPr>
        <w:ind w:firstLine="0"/>
        <w:rPr>
          <w:lang w:val="pt-BR"/>
        </w:rPr>
      </w:pPr>
      <w:r w:rsidRPr="00773FD2">
        <w:rPr>
          <w:color w:val="000000"/>
          <w:lang w:val="pt-BR"/>
        </w:rPr>
        <w:t>• A primeira página deve manter títulos em fonte 12, bloco de autores em fonte 11, título em inglês em itálico e autores/e-mails alinhados à direita, conforme o padrão visual dos artigos de exemplo.</w:t>
      </w:r>
    </w:p>
    <w:p w14:paraId="14426BAE" w14:textId="77777777" w:rsidR="00C16569" w:rsidRPr="00773FD2" w:rsidRDefault="00202EB5">
      <w:pPr>
        <w:ind w:firstLine="0"/>
        <w:rPr>
          <w:lang w:val="pt-BR"/>
        </w:rPr>
      </w:pPr>
      <w:r w:rsidRPr="00773FD2">
        <w:rPr>
          <w:color w:val="000000"/>
          <w:lang w:val="pt-BR"/>
        </w:rPr>
        <w:t>• No corpo do artigo, todo parágrafo técnico deve apresentar citação direta ou indireta no padrão autor-data, evitando blocos explicativos sem fundamentação bibliográfica.</w:t>
      </w:r>
    </w:p>
    <w:p w14:paraId="5329B100"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As figuras, gráficos, quadros e tabelas devem possuir título e fonte, mesmo quando forem produzidos pelos autores.</w:t>
      </w:r>
    </w:p>
    <w:p w14:paraId="01782F16"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 extensão final do artigo deve permanecer entre 15 e 25 páginas, removendo este checklist antes da entrega.</w:t>
      </w:r>
    </w:p>
    <w:sectPr w:rsidR="00C16569" w:rsidRPr="00773FD2" w:rsidSect="00034616">
      <w:headerReference w:type="default" r:id="rId12"/>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3EF66" w14:textId="77777777" w:rsidR="009B2AC6" w:rsidRDefault="009B2AC6">
      <w:pPr>
        <w:spacing w:after="0" w:line="240" w:lineRule="auto"/>
      </w:pPr>
      <w:r>
        <w:separator/>
      </w:r>
    </w:p>
  </w:endnote>
  <w:endnote w:type="continuationSeparator" w:id="0">
    <w:p w14:paraId="44E774AD" w14:textId="77777777" w:rsidR="009B2AC6" w:rsidRDefault="009B2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B407C" w14:textId="77777777" w:rsidR="009B2AC6" w:rsidRDefault="009B2AC6">
      <w:pPr>
        <w:spacing w:after="0" w:line="240" w:lineRule="auto"/>
      </w:pPr>
      <w:r>
        <w:separator/>
      </w:r>
    </w:p>
  </w:footnote>
  <w:footnote w:type="continuationSeparator" w:id="0">
    <w:p w14:paraId="37EDE9E2" w14:textId="77777777" w:rsidR="009B2AC6" w:rsidRDefault="009B2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96B"/>
    <w:rsid w:val="0015074B"/>
    <w:rsid w:val="00202EB5"/>
    <w:rsid w:val="00252611"/>
    <w:rsid w:val="0028783E"/>
    <w:rsid w:val="0029639D"/>
    <w:rsid w:val="00326F90"/>
    <w:rsid w:val="003D291F"/>
    <w:rsid w:val="00445A13"/>
    <w:rsid w:val="005435A0"/>
    <w:rsid w:val="00577FEB"/>
    <w:rsid w:val="005B079F"/>
    <w:rsid w:val="005E70E2"/>
    <w:rsid w:val="006F10C5"/>
    <w:rsid w:val="00720F52"/>
    <w:rsid w:val="00773FD2"/>
    <w:rsid w:val="008778EA"/>
    <w:rsid w:val="008F6BD8"/>
    <w:rsid w:val="00921A9A"/>
    <w:rsid w:val="00976A0A"/>
    <w:rsid w:val="00977EC9"/>
    <w:rsid w:val="00984F41"/>
    <w:rsid w:val="009B2AC6"/>
    <w:rsid w:val="00A6729D"/>
    <w:rsid w:val="00A955D7"/>
    <w:rsid w:val="00AA1D8D"/>
    <w:rsid w:val="00AE27DA"/>
    <w:rsid w:val="00B47730"/>
    <w:rsid w:val="00BA5218"/>
    <w:rsid w:val="00BE3677"/>
    <w:rsid w:val="00C16569"/>
    <w:rsid w:val="00C46F54"/>
    <w:rsid w:val="00CB0664"/>
    <w:rsid w:val="00D24D52"/>
    <w:rsid w:val="00D73B44"/>
    <w:rsid w:val="00D83B2F"/>
    <w:rsid w:val="00E535F7"/>
    <w:rsid w:val="00EF5CBE"/>
    <w:rsid w:val="00F0199F"/>
    <w:rsid w:val="00F52B73"/>
    <w:rsid w:val="00F82EB8"/>
    <w:rsid w:val="00FC693F"/>
    <w:rsid w:val="00FF3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3168</Words>
  <Characters>17111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17</cp:revision>
  <dcterms:created xsi:type="dcterms:W3CDTF">2026-05-27T02:37:00Z</dcterms:created>
  <dcterms:modified xsi:type="dcterms:W3CDTF">2026-05-29T21:30:00Z</dcterms:modified>
  <cp:category/>
</cp:coreProperties>
</file>