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77777777" w:rsidR="00C16569" w:rsidRPr="00773FD2" w:rsidRDefault="00202EB5">
      <w:pPr>
        <w:spacing w:after="480"/>
        <w:ind w:firstLine="0"/>
        <w:jc w:val="center"/>
        <w:rPr>
          <w:lang w:val="pt-BR"/>
        </w:rPr>
      </w:pPr>
      <w:r w:rsidRPr="00773FD2">
        <w:rPr>
          <w:b/>
          <w:color w:val="000000"/>
          <w:lang w:val="pt-BR"/>
        </w:rPr>
        <w:t>MODELO PREDITIVO PARA ESTIMATIVA DO ESTADO DE SAÚDE E FIM DA VIDA ÚTIL DE BATERIAS EM SISTEMAS FOTOVOLTAICOS</w:t>
      </w:r>
    </w:p>
    <w:p w14:paraId="791D4A2F" w14:textId="77777777" w:rsidR="00C16569" w:rsidRDefault="00202EB5">
      <w:pPr>
        <w:spacing w:before="360" w:after="720"/>
        <w:ind w:firstLine="0"/>
        <w:jc w:val="center"/>
      </w:pPr>
      <w:r>
        <w:rPr>
          <w:b/>
          <w:i/>
          <w:color w:val="000000"/>
        </w:rPr>
        <w:t>PREDICTIVE MODEL FOR ESTIMATING BATTERY STATE OF HEALTH AND END OF LIFE IN PHOTOVOLTAIC SYSTEMS</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777777" w:rsidR="00C16569" w:rsidRPr="00773FD2" w:rsidRDefault="00202EB5">
      <w:pPr>
        <w:spacing w:after="160" w:line="276" w:lineRule="auto"/>
        <w:ind w:firstLine="0"/>
        <w:jc w:val="right"/>
        <w:rPr>
          <w:lang w:val="pt-BR"/>
        </w:rPr>
      </w:pPr>
      <w:r w:rsidRPr="00773FD2">
        <w:rPr>
          <w:color w:val="000000"/>
          <w:sz w:val="22"/>
          <w:u w:val="single"/>
          <w:lang w:val="pt-BR"/>
        </w:rPr>
        <w:t>[e-mail do autor]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77777777" w:rsidR="00C16569" w:rsidRPr="00773FD2" w:rsidRDefault="00202EB5">
      <w:pPr>
        <w:spacing w:after="160" w:line="276" w:lineRule="auto"/>
        <w:ind w:firstLine="0"/>
        <w:jc w:val="right"/>
        <w:rPr>
          <w:lang w:val="pt-BR"/>
        </w:rPr>
      </w:pPr>
      <w:r w:rsidRPr="00773FD2">
        <w:rPr>
          <w:color w:val="000000"/>
          <w:sz w:val="22"/>
          <w:u w:val="single"/>
          <w:lang w:val="pt-BR"/>
        </w:rPr>
        <w:t>[e-mail do autor]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77777777" w:rsidR="00C16569" w:rsidRPr="00773FD2" w:rsidRDefault="00202EB5">
      <w:pPr>
        <w:spacing w:after="40" w:line="276" w:lineRule="auto"/>
        <w:ind w:firstLine="0"/>
        <w:jc w:val="right"/>
        <w:rPr>
          <w:lang w:val="pt-BR"/>
        </w:rPr>
      </w:pPr>
      <w:r w:rsidRPr="00773FD2">
        <w:rPr>
          <w:color w:val="000000"/>
          <w:sz w:val="22"/>
          <w:lang w:val="pt-BR"/>
        </w:rPr>
        <w:t>Prof. Orientador. Centro Universitário Espírito-santense</w:t>
      </w:r>
    </w:p>
    <w:p w14:paraId="4D8152EA" w14:textId="77777777" w:rsidR="00C16569" w:rsidRPr="00773FD2" w:rsidRDefault="00202EB5">
      <w:pPr>
        <w:spacing w:after="160" w:line="276" w:lineRule="auto"/>
        <w:ind w:firstLine="0"/>
        <w:jc w:val="right"/>
        <w:rPr>
          <w:lang w:val="pt-BR"/>
        </w:rPr>
      </w:pPr>
      <w:r w:rsidRPr="00773FD2">
        <w:rPr>
          <w:color w:val="000000"/>
          <w:sz w:val="22"/>
          <w:u w:val="single"/>
          <w:lang w:val="pt-BR"/>
        </w:rPr>
        <w:t>[e-mail institucional]</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773FD2">
        <w:rPr>
          <w:color w:val="000000"/>
          <w:lang w:val="pt-BR"/>
        </w:rPr>
        <w:t>Este artigo propõe o desenvolvimento de um modelo preditivo para estimar o estado de saúde e o fim da vida útil de baterias aplicadas a sistemas fotovoltaicos. A proposta parte da necessidade de reduzir falhas inesperadas, substituições prematuras e custos decorrentes da adoção predominante de práticas de manutenção corretiva. Para isso, prevê-se a utilização de variáveis operacionais como tensão, corrente, temperatura, estado de carga, número de ciclos, resistência interna e capacidade estimada, permitindo</w:t>
      </w:r>
      <w:r w:rsidRPr="00773FD2">
        <w:rPr>
          <w:color w:val="000000"/>
          <w:lang w:val="pt-BR"/>
        </w:rPr>
        <w:t xml:space="preserve"> a construção de modelos de aprendizado de máquina voltados à previsão do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e à classificação da condição operacional da bateria. A metodologia contempla a preparação dos dados, o treinamento de modelos supervisionados, a avaliação por métricas estatísticas e a geração de gráficos para análise dos resultados. Espera-se que a abordagem contribua para o planejamento da manutenção preditiva em sistemas fotovoltaicos, ampliando a confiabilidade operacional e a vida útil dos ativos.</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rPr>
          <w:color w:val="000000"/>
        </w:rPr>
        <w:t xml:space="preserve">This article proposes the development of a predictive model to estimate the state of health and end of life of batteries applied to photovoltaic systems. The proposal arises from the need to reduce unexpected failures, premature replacements and costs resulting from the predominant adoption of corrective maintenance practices. For this purpose, operational variables such as voltage, current, temperature, state of </w:t>
      </w:r>
      <w:r>
        <w:rPr>
          <w:color w:val="000000"/>
        </w:rPr>
        <w:lastRenderedPageBreak/>
        <w:t>charge, number of cycles, internal resistance and estimated capacity are considered, enabling the construction of machine learning models aimed at State of Health prediction and battery operational condition classification. The methodology includes data preparation, supervised model training, evaluation through statistical metrics and generation of graphs for result analysis. The expected contribution is to support predictive maintenance planning in photovoltaic systems, increasing operational reliability a</w:t>
      </w:r>
      <w:r>
        <w:rPr>
          <w:color w:val="000000"/>
        </w:rPr>
        <w:t>nd asset lifetime.</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t>INTRODUÇÃO</w:t>
      </w:r>
    </w:p>
    <w:p w14:paraId="0FC25659" w14:textId="77777777" w:rsidR="00C16569" w:rsidRPr="00773FD2" w:rsidRDefault="00202EB5">
      <w:pPr>
        <w:rPr>
          <w:lang w:val="pt-BR"/>
        </w:rPr>
      </w:pPr>
      <w:r w:rsidRPr="00773FD2">
        <w:rPr>
          <w:color w:val="000000"/>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contexto, os sistemas de armazenamento por baterias tornam-se componentes estratégicos, pois permitem maior aproveitamento da energia produzida localmente e contribuem para a continuidade do fornecimento em período</w:t>
      </w:r>
      <w:r w:rsidRPr="00773FD2">
        <w:rPr>
          <w:color w:val="000000"/>
          <w:lang w:val="pt-BR"/>
        </w:rPr>
        <w:t>s de baixa geração ou indisponibilidade da rede elétrica (SILVA, 2018; LUQUE et al., 2025).</w:t>
      </w:r>
    </w:p>
    <w:p w14:paraId="2D775525" w14:textId="77777777" w:rsidR="00C16569" w:rsidRPr="00773FD2" w:rsidRDefault="00202EB5">
      <w:pPr>
        <w:rPr>
          <w:lang w:val="pt-BR"/>
        </w:rPr>
      </w:pPr>
      <w:r w:rsidRPr="00773FD2">
        <w:rPr>
          <w:color w:val="000000"/>
          <w:lang w:val="pt-BR"/>
        </w:rPr>
        <w:t xml:space="preserve">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w:t>
      </w:r>
      <w:r w:rsidRPr="00773FD2">
        <w:rPr>
          <w:color w:val="000000"/>
          <w:lang w:val="pt-BR"/>
        </w:rPr>
        <w:t>2025).</w:t>
      </w:r>
    </w:p>
    <w:p w14:paraId="560A4ADA" w14:textId="77777777"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t>
      </w:r>
      <w:r w:rsidRPr="00773FD2">
        <w:rPr>
          <w:color w:val="000000"/>
          <w:lang w:val="pt-BR"/>
        </w:rPr>
        <w:t>WEY, 2021).</w:t>
      </w:r>
    </w:p>
    <w:p w14:paraId="63E661F0" w14:textId="77777777" w:rsidR="00C16569" w:rsidRPr="00773FD2" w:rsidRDefault="00202EB5">
      <w:pPr>
        <w:rPr>
          <w:lang w:val="pt-BR"/>
        </w:rPr>
      </w:pPr>
      <w:r w:rsidRPr="00773FD2">
        <w:rPr>
          <w:color w:val="000000"/>
          <w:lang w:val="pt-BR"/>
        </w:rPr>
        <w:t xml:space="preserve">Diante desse cenário, este artigo busca responder à seguinte questão: de que maneira técnicas de aprendizado de máquina podem ser utilizadas para estimar o </w:t>
      </w:r>
      <w:r w:rsidRPr="00773FD2">
        <w:rPr>
          <w:color w:val="000000"/>
          <w:lang w:val="pt-BR"/>
        </w:rPr>
        <w:lastRenderedPageBreak/>
        <w:t>estado de saúde e prever o fim da vida útil de baterias em sistemas fotovoltaicos, contribuindo para a manutenção preditiva e para a redução de falhas operacionais? Parte-se da hipótese de que modelos supervisionados, treinados a partir de variáveis operacionais da bateria, podem identificar padrões de degradação e auxiliar na tomada de decisão sobre substituição ou manutenção do equipamento (BREIMAN, 2001; PEDREGOSA et al., 2011).</w:t>
      </w:r>
    </w:p>
    <w:p w14:paraId="18481EBD" w14:textId="77777777" w:rsidR="00C16569" w:rsidRPr="00773FD2" w:rsidRDefault="00202EB5">
      <w:pPr>
        <w:rPr>
          <w:lang w:val="pt-BR"/>
        </w:rPr>
      </w:pPr>
      <w:r w:rsidRPr="00773FD2">
        <w:rPr>
          <w:color w:val="000000"/>
          <w:lang w:val="pt-BR"/>
        </w:rPr>
        <w:t>O objetivo geral deste trabalho é desenvolver e avaliar um modelo preditivo baseado em aprendizado de máquina para estimar o estado de saúde e o fim da vida útil de baterias aplicadas a sistemas fotovoltaicos. Para alcançar esse propósito, propõe-se identificar os fatores de degradação, definir variáveis de entrada, preparar a base de dados, implementar modelos de regressão e classificação, avaliar métricas de desempenho e discutir a aplicabilidade da abordagem no contexto da manutenção preditiva (AITIO; HO</w:t>
      </w:r>
      <w:r w:rsidRPr="00773FD2">
        <w:rPr>
          <w:color w:val="000000"/>
          <w:lang w:val="pt-BR"/>
        </w:rPr>
        <w:t>WEY, 2021; LUQUE et al., 2025).</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23482EB3" w14:textId="77777777" w:rsidR="00C16569" w:rsidRPr="00773FD2" w:rsidRDefault="00202EB5">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77777777" w:rsidR="00C16569" w:rsidRPr="00773FD2" w:rsidRDefault="00202EB5">
      <w:pPr>
        <w:pStyle w:val="Ttulo2"/>
        <w:jc w:val="left"/>
        <w:rPr>
          <w:lang w:val="pt-BR"/>
        </w:rPr>
      </w:pPr>
      <w:r w:rsidRPr="00773FD2">
        <w:rPr>
          <w:rFonts w:ascii="Arial" w:eastAsia="Arial" w:hAnsi="Arial"/>
          <w:lang w:val="pt-BR"/>
        </w:rPr>
        <w:t>Modelos preditivos para SOH e fim de vida útil</w:t>
      </w:r>
    </w:p>
    <w:p w14:paraId="54203510" w14:textId="77777777" w:rsidR="00C16569" w:rsidRPr="00773FD2" w:rsidRDefault="00202EB5">
      <w:pPr>
        <w:rPr>
          <w:lang w:val="pt-BR"/>
        </w:rPr>
      </w:pPr>
      <w:r w:rsidRPr="00773FD2">
        <w:rPr>
          <w:color w:val="000000"/>
          <w:lang w:val="pt-BR"/>
        </w:rPr>
        <w:t xml:space="preserve">A estimativa do SOH e do fim da vida útil pode ser realizada por métodos baseados em modelo, métodos orientados a dados ou métodos híbridos. Métodos </w:t>
      </w:r>
      <w:r w:rsidRPr="00773FD2">
        <w:rPr>
          <w:color w:val="000000"/>
          <w:lang w:val="pt-BR"/>
        </w:rPr>
        <w:lastRenderedPageBreak/>
        <w:t>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propõe o desenvolvimento de uma solução computacional para apoiar a manutenção preditiva de baterias em sistemas fotovoltaicos. A pesquisa será conduzida por meio da preparação de dados, treinamento de modelos de aprendizado de máquina e avaliação do desempenho preditivo por métricas estatísticas (PEDREGOSA et al., 2011; LUQUE et al., 2025).</w:t>
      </w:r>
    </w:p>
    <w:p w14:paraId="4C383DE7" w14:textId="77777777" w:rsidR="00C16569" w:rsidRPr="00773FD2" w:rsidRDefault="00202EB5">
      <w:pPr>
        <w:rPr>
          <w:lang w:val="pt-BR"/>
        </w:rPr>
      </w:pPr>
      <w:r w:rsidRPr="00773FD2">
        <w:rPr>
          <w:color w:val="000000"/>
          <w:lang w:val="pt-BR"/>
        </w:rPr>
        <w:t>A base de dados poderá ser composta por registros públicos de degradação de baterias ou por dados simulados a partir de variáveis operacionais descritas na literatura. As variáveis de entrada previstas incluem tensão, corrente, temperatura, SOC, profundidade de descarga, número de ciclos, resistência interna e capacidade estimada, enquanto as variáveis de saída poderão representar o SOH em percentual ou uma classe operacional da bateria (AITIO; HOWEY, 2021; LUQUE et al., 2025).</w:t>
      </w:r>
    </w:p>
    <w:p w14:paraId="24ABA51B" w14:textId="77777777" w:rsidR="00C16569" w:rsidRPr="00773FD2" w:rsidRDefault="00202EB5">
      <w:pPr>
        <w:rPr>
          <w:lang w:val="pt-BR"/>
        </w:rPr>
      </w:pPr>
      <w:r w:rsidRPr="00773FD2">
        <w:rPr>
          <w:color w:val="000000"/>
          <w:lang w:val="pt-BR"/>
        </w:rPr>
        <w:t>O pré-processamento dos dados contemplará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773FD2">
        <w:rPr>
          <w:color w:val="000000"/>
          <w:lang w:val="pt-BR"/>
        </w:rPr>
        <w:t xml:space="preserve">Na etapa de modelagem, serão avaliados modelos de regressão para estimativa do SOH e modelos de classificação para identificação da condição </w:t>
      </w:r>
      <w:r w:rsidRPr="00773FD2">
        <w:rPr>
          <w:color w:val="000000"/>
          <w:lang w:val="pt-BR"/>
        </w:rPr>
        <w:lastRenderedPageBreak/>
        <w:t xml:space="preserve">operacional da bateria. Como referência inicial, propõe-se a comparação entre Regressão Linear, Random Forest </w:t>
      </w:r>
      <w:proofErr w:type="spellStart"/>
      <w:r w:rsidRPr="00773FD2">
        <w:rPr>
          <w:color w:val="000000"/>
          <w:lang w:val="pt-BR"/>
        </w:rPr>
        <w:t>Regressor</w:t>
      </w:r>
      <w:proofErr w:type="spellEnd"/>
      <w:r w:rsidRPr="00773FD2">
        <w:rPr>
          <w:color w:val="000000"/>
          <w:lang w:val="pt-BR"/>
        </w:rPr>
        <w:t xml:space="preserve"> e, caso aplicável, </w:t>
      </w:r>
      <w:proofErr w:type="spellStart"/>
      <w:r w:rsidRPr="00773FD2">
        <w:rPr>
          <w:color w:val="000000"/>
          <w:lang w:val="pt-BR"/>
        </w:rPr>
        <w:t>XGBoost</w:t>
      </w:r>
      <w:proofErr w:type="spellEnd"/>
      <w:r w:rsidRPr="00773FD2">
        <w:rPr>
          <w:color w:val="000000"/>
          <w:lang w:val="pt-BR"/>
        </w:rPr>
        <w:t xml:space="preserve"> </w:t>
      </w:r>
      <w:proofErr w:type="spellStart"/>
      <w:r w:rsidRPr="00773FD2">
        <w:rPr>
          <w:color w:val="000000"/>
          <w:lang w:val="pt-BR"/>
        </w:rPr>
        <w:t>Regressor</w:t>
      </w:r>
      <w:proofErr w:type="spellEnd"/>
      <w:r w:rsidRPr="00773FD2">
        <w:rPr>
          <w:color w:val="000000"/>
          <w:lang w:val="pt-BR"/>
        </w:rPr>
        <w:t>, além de um classificador baseado em Random Forest para indicar classes como saudável, atenção e fim de vida útil (BREIMAN, 2001; CHEN; GUESTRIN, 2016).</w:t>
      </w:r>
    </w:p>
    <w:p w14:paraId="0CF6FCDB" w14:textId="77777777" w:rsidR="00C16569" w:rsidRPr="00773FD2" w:rsidRDefault="00202EB5">
      <w:pPr>
        <w:rPr>
          <w:lang w:val="pt-BR"/>
        </w:rPr>
      </w:pPr>
      <w:r w:rsidRPr="00773FD2">
        <w:rPr>
          <w:color w:val="000000"/>
          <w:lang w:val="pt-BR"/>
        </w:rPr>
        <w:br w:type="page"/>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7"/>
        <w:gridCol w:w="2265"/>
        <w:gridCol w:w="2265"/>
        <w:gridCol w:w="2265"/>
      </w:tblGrid>
      <w:tr w:rsidR="00C16569" w14:paraId="3768EEE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D1667B" w14:textId="77777777" w:rsidR="00C16569" w:rsidRDefault="00202EB5">
            <w:pPr>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556941" w14:textId="77777777" w:rsidR="00C16569" w:rsidRDefault="00202EB5">
            <w:pPr>
              <w:jc w:val="center"/>
            </w:pPr>
            <w:r>
              <w:rPr>
                <w:b/>
                <w:sz w:val="20"/>
              </w:rPr>
              <w:t>Métrica</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2B3C405" w14:textId="77777777" w:rsidR="00C16569" w:rsidRDefault="00202EB5">
            <w:pPr>
              <w:jc w:val="center"/>
            </w:pPr>
            <w:r>
              <w:rPr>
                <w:b/>
                <w:sz w:val="20"/>
              </w:rPr>
              <w:t>Finalidade</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573D2C0" w14:textId="77777777" w:rsidR="00C16569" w:rsidRDefault="00202EB5">
            <w:pPr>
              <w:jc w:val="center"/>
            </w:pPr>
            <w:r>
              <w:rPr>
                <w:b/>
                <w:sz w:val="20"/>
              </w:rPr>
              <w:t>Referência de apoio</w:t>
            </w:r>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pPr>
              <w:spacing w:after="0" w:line="240" w:lineRule="auto"/>
              <w:jc w:val="left"/>
            </w:pPr>
            <w:r>
              <w:rPr>
                <w:sz w:val="20"/>
              </w:rPr>
              <w:t>Regressão</w:t>
            </w:r>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pPr>
              <w:spacing w:after="0" w:line="240" w:lineRule="auto"/>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pPr>
              <w:spacing w:after="0" w:line="240" w:lineRule="auto"/>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pPr>
              <w:spacing w:after="0" w:line="240" w:lineRule="auto"/>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pPr>
              <w:spacing w:after="0" w:line="240" w:lineRule="auto"/>
              <w:jc w:val="left"/>
            </w:pPr>
            <w:r>
              <w:rPr>
                <w:sz w:val="20"/>
              </w:rPr>
              <w:t>Classificação</w:t>
            </w:r>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pPr>
              <w:spacing w:after="0" w:line="240" w:lineRule="auto"/>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pPr>
              <w:spacing w:after="0" w:line="240" w:lineRule="auto"/>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pPr>
              <w:spacing w:after="0" w:line="240" w:lineRule="auto"/>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pPr>
              <w:spacing w:after="0" w:line="240" w:lineRule="auto"/>
              <w:jc w:val="left"/>
            </w:pPr>
            <w:r>
              <w:rPr>
                <w:sz w:val="20"/>
              </w:rPr>
              <w:t>Interpretação</w:t>
            </w:r>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pPr>
              <w:spacing w:after="0" w:line="240" w:lineRule="auto"/>
              <w:jc w:val="center"/>
            </w:pPr>
            <w:r>
              <w:rPr>
                <w:sz w:val="20"/>
              </w:rPr>
              <w:t>Importância das variáveis</w:t>
            </w:r>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pPr>
              <w:spacing w:after="0" w:line="240" w:lineRule="auto"/>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pPr>
              <w:spacing w:after="0" w:line="240" w:lineRule="auto"/>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rPr>
          <w:color w:val="000000"/>
        </w:rPr>
        <w:t>Fonte: Produzido pelos autores.</w:t>
      </w:r>
    </w:p>
    <w:p w14:paraId="7AB0A228" w14:textId="77777777" w:rsidR="00C16569" w:rsidRPr="00773FD2" w:rsidRDefault="00202EB5">
      <w:pPr>
        <w:rPr>
          <w:lang w:val="pt-BR"/>
        </w:rPr>
      </w:pPr>
      <w:r w:rsidRPr="00773FD2">
        <w:rPr>
          <w:color w:val="000000"/>
          <w:lang w:val="pt-BR"/>
        </w:rPr>
        <w:t>A implementação será realizada em linguagem Python, com uso de bibliotecas para manipulação de dados, treinamento dos modelos e geração de gráficos. O código deverá produzir saídas visuais adequadas para inclusão no artigo, tais como distribuição do SOH, evolução da degradação ao longo dos ciclos, matriz de correlação, comparação entre valores reais e previstos, curva de erro, importância das variáveis e matriz de confusão (PEDREGOSA et al., 2011).</w:t>
      </w:r>
    </w:p>
    <w:p w14:paraId="6549DEE0" w14:textId="77777777" w:rsidR="00C16569" w:rsidRPr="00773FD2" w:rsidRDefault="00202EB5">
      <w:pPr>
        <w:pStyle w:val="LegendaTCC"/>
        <w:rPr>
          <w:lang w:val="pt-BR"/>
        </w:rPr>
      </w:pPr>
      <w:r w:rsidRPr="00773FD2">
        <w:rPr>
          <w:color w:val="000000"/>
          <w:lang w:val="pt-BR"/>
        </w:rPr>
        <w:t>Figura 1 - Fluxo metodológico previsto para o desenvolvimento do modelo preditivo</w:t>
      </w:r>
    </w:p>
    <w:tbl>
      <w:tblPr>
        <w:tblW w:w="0" w:type="auto"/>
        <w:jc w:val="center"/>
        <w:tblLook w:val="04A0" w:firstRow="1" w:lastRow="0" w:firstColumn="1" w:lastColumn="0" w:noHBand="0" w:noVBand="1"/>
      </w:tblPr>
      <w:tblGrid>
        <w:gridCol w:w="7937"/>
      </w:tblGrid>
      <w:tr w:rsidR="00C16569" w:rsidRPr="00773FD2" w14:paraId="2EDF81EB" w14:textId="77777777">
        <w:trPr>
          <w:jc w:val="center"/>
        </w:trPr>
        <w:tc>
          <w:tcPr>
            <w:tcW w:w="7937" w:type="dxa"/>
            <w:tcBorders>
              <w:top w:val="single" w:sz="8" w:space="0" w:color="808080"/>
              <w:left w:val="single" w:sz="8" w:space="0" w:color="808080"/>
              <w:bottom w:val="single" w:sz="8" w:space="0" w:color="808080"/>
              <w:right w:val="single" w:sz="8" w:space="0" w:color="808080"/>
            </w:tcBorders>
            <w:vAlign w:val="center"/>
          </w:tcPr>
          <w:p w14:paraId="5DF82B70" w14:textId="77777777" w:rsidR="00C16569" w:rsidRPr="00773FD2" w:rsidRDefault="00202EB5">
            <w:pPr>
              <w:jc w:val="center"/>
              <w:rPr>
                <w:lang w:val="pt-BR"/>
              </w:rPr>
            </w:pPr>
            <w:r w:rsidRPr="00773FD2">
              <w:rPr>
                <w:i/>
                <w:sz w:val="20"/>
                <w:lang w:val="pt-BR"/>
              </w:rPr>
              <w:t>[Espaço reservado para figura/gráfico gerado pelo código Python]</w:t>
            </w:r>
          </w:p>
          <w:p w14:paraId="14A74F64" w14:textId="77777777" w:rsidR="00C16569" w:rsidRPr="00773FD2" w:rsidRDefault="00C16569">
            <w:pPr>
              <w:rPr>
                <w:lang w:val="pt-BR"/>
              </w:rPr>
            </w:pPr>
          </w:p>
          <w:p w14:paraId="719D71C9" w14:textId="77777777" w:rsidR="00C16569" w:rsidRPr="00773FD2" w:rsidRDefault="00C16569">
            <w:pPr>
              <w:rPr>
                <w:lang w:val="pt-BR"/>
              </w:rPr>
            </w:pPr>
          </w:p>
          <w:p w14:paraId="402330A5" w14:textId="77777777" w:rsidR="00C16569" w:rsidRPr="00773FD2" w:rsidRDefault="00C16569">
            <w:pPr>
              <w:rPr>
                <w:lang w:val="pt-BR"/>
              </w:rPr>
            </w:pPr>
          </w:p>
          <w:p w14:paraId="210DF0E7" w14:textId="77777777" w:rsidR="00C16569" w:rsidRPr="00773FD2" w:rsidRDefault="00C16569">
            <w:pPr>
              <w:rPr>
                <w:lang w:val="pt-BR"/>
              </w:rPr>
            </w:pPr>
          </w:p>
        </w:tc>
      </w:tr>
    </w:tbl>
    <w:p w14:paraId="4F87F075" w14:textId="77777777" w:rsidR="00C16569" w:rsidRPr="00773FD2" w:rsidRDefault="00202EB5">
      <w:pPr>
        <w:pStyle w:val="LegendaTCC"/>
        <w:spacing w:before="60" w:after="120"/>
        <w:rPr>
          <w:lang w:val="pt-BR"/>
        </w:rPr>
      </w:pPr>
      <w:r w:rsidRPr="00773FD2">
        <w:rPr>
          <w:color w:val="000000"/>
          <w:lang w:val="pt-BR"/>
        </w:rPr>
        <w:t>Fonte: Produzido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773FD2">
        <w:rPr>
          <w:color w:val="000000"/>
          <w:lang w:val="pt-BR"/>
        </w:rPr>
        <w:t>A seção de resultados deverá apresentar inicialmente a análise exploratória dos dados, com a descrição das variáveis utilizadas e a identificação de padrões relacionados à degradação da bateria. Espera-se observar a redução gradual do SOH ao longo dos ciclos de operação, bem como a influência de variáveis como temperatura, resistência interna e profundidade de descarga sobre a perda de desempenho (AITIO; HOWEY, 2021; LUQUE et al., 2025).</w:t>
      </w:r>
    </w:p>
    <w:p w14:paraId="576278BD" w14:textId="77777777" w:rsidR="00C16569" w:rsidRPr="00773FD2" w:rsidRDefault="00202EB5">
      <w:pPr>
        <w:rPr>
          <w:lang w:val="pt-BR"/>
        </w:rPr>
      </w:pPr>
      <w:r w:rsidRPr="00773FD2">
        <w:rPr>
          <w:color w:val="000000"/>
          <w:lang w:val="pt-BR"/>
        </w:rPr>
        <w:t xml:space="preserve">Na avaliação dos modelos de regressão, os resultados deverão ser discutidos a partir das métricas MAE, RMSE e R², permitindo comparar a proximidade entre o </w:t>
      </w:r>
      <w:r w:rsidRPr="00773FD2">
        <w:rPr>
          <w:color w:val="000000"/>
          <w:lang w:val="pt-BR"/>
        </w:rPr>
        <w:lastRenderedPageBreak/>
        <w:t>SOH previsto e o SOH de referência. O modelo com menor erro e maior capacidade de generalização deverá ser analisado de forma crítica, considerando não apenas o desempenho numérico, mas também sua aplicabilidade prática em um cenário de manutenção preditiva (PEDREGOSA et al., 2011; LUQUE et al., 2025).</w:t>
      </w:r>
    </w:p>
    <w:p w14:paraId="77BEBFDA" w14:textId="77777777" w:rsidR="00C16569" w:rsidRPr="00773FD2" w:rsidRDefault="00202EB5">
      <w:pPr>
        <w:rPr>
          <w:lang w:val="pt-BR"/>
        </w:rPr>
      </w:pPr>
      <w:r w:rsidRPr="00773FD2">
        <w:rPr>
          <w:color w:val="000000"/>
          <w:lang w:val="pt-BR"/>
        </w:rPr>
        <w:t>Na avaliação dos modelos de classificação, deverão ser apresentadas métricas como acurácia, precisão, recall e F1-score, além da matriz de confusão. Essa análise permitirá verificar se o modelo é capaz de distinguir adequadamente baterias saudáveis daquelas em condição de atenção ou próximas ao fim de vida útil, aspecto essencial para reduzir atrasos na identificação de falhas (AITIO; HOWEY, 2021).</w:t>
      </w:r>
    </w:p>
    <w:p w14:paraId="6BD2FC30" w14:textId="77777777" w:rsidR="00C16569" w:rsidRPr="00773FD2" w:rsidRDefault="00202EB5">
      <w:pPr>
        <w:pStyle w:val="LegendaTCC"/>
        <w:rPr>
          <w:lang w:val="pt-BR"/>
        </w:rPr>
      </w:pPr>
      <w:r w:rsidRPr="00773FD2">
        <w:rPr>
          <w:color w:val="000000"/>
          <w:lang w:val="pt-BR"/>
        </w:rPr>
        <w:t>Gráfico 1 - Comparação entre SOH real e SOH previsto pelo modelo</w:t>
      </w:r>
    </w:p>
    <w:tbl>
      <w:tblPr>
        <w:tblW w:w="0" w:type="auto"/>
        <w:jc w:val="center"/>
        <w:tblLook w:val="04A0" w:firstRow="1" w:lastRow="0" w:firstColumn="1" w:lastColumn="0" w:noHBand="0" w:noVBand="1"/>
      </w:tblPr>
      <w:tblGrid>
        <w:gridCol w:w="7937"/>
      </w:tblGrid>
      <w:tr w:rsidR="00C16569" w:rsidRPr="00773FD2" w14:paraId="240EC20B" w14:textId="77777777">
        <w:trPr>
          <w:jc w:val="center"/>
        </w:trPr>
        <w:tc>
          <w:tcPr>
            <w:tcW w:w="7937" w:type="dxa"/>
            <w:tcBorders>
              <w:top w:val="single" w:sz="8" w:space="0" w:color="808080"/>
              <w:left w:val="single" w:sz="8" w:space="0" w:color="808080"/>
              <w:bottom w:val="single" w:sz="8" w:space="0" w:color="808080"/>
              <w:right w:val="single" w:sz="8" w:space="0" w:color="808080"/>
            </w:tcBorders>
            <w:vAlign w:val="center"/>
          </w:tcPr>
          <w:p w14:paraId="1821B028" w14:textId="77777777" w:rsidR="00C16569" w:rsidRPr="00773FD2" w:rsidRDefault="00202EB5">
            <w:pPr>
              <w:jc w:val="center"/>
              <w:rPr>
                <w:lang w:val="pt-BR"/>
              </w:rPr>
            </w:pPr>
            <w:r w:rsidRPr="00773FD2">
              <w:rPr>
                <w:i/>
                <w:sz w:val="20"/>
                <w:lang w:val="pt-BR"/>
              </w:rPr>
              <w:t>[Espaço reservado para figura/gráfico gerado pelo código Python]</w:t>
            </w:r>
          </w:p>
          <w:p w14:paraId="5F6FA59A" w14:textId="77777777" w:rsidR="00C16569" w:rsidRPr="00773FD2" w:rsidRDefault="00C16569">
            <w:pPr>
              <w:rPr>
                <w:lang w:val="pt-BR"/>
              </w:rPr>
            </w:pPr>
          </w:p>
          <w:p w14:paraId="5930F231" w14:textId="77777777" w:rsidR="00C16569" w:rsidRPr="00773FD2" w:rsidRDefault="00C16569">
            <w:pPr>
              <w:rPr>
                <w:lang w:val="pt-BR"/>
              </w:rPr>
            </w:pPr>
          </w:p>
          <w:p w14:paraId="45C81532" w14:textId="77777777" w:rsidR="00C16569" w:rsidRPr="00773FD2" w:rsidRDefault="00C16569">
            <w:pPr>
              <w:rPr>
                <w:lang w:val="pt-BR"/>
              </w:rPr>
            </w:pPr>
          </w:p>
          <w:p w14:paraId="27E1FF60" w14:textId="77777777" w:rsidR="00C16569" w:rsidRPr="00773FD2" w:rsidRDefault="00C16569">
            <w:pPr>
              <w:rPr>
                <w:lang w:val="pt-BR"/>
              </w:rPr>
            </w:pPr>
          </w:p>
        </w:tc>
      </w:tr>
    </w:tbl>
    <w:p w14:paraId="6536F45D" w14:textId="77777777" w:rsidR="00C16569" w:rsidRPr="00773FD2" w:rsidRDefault="00202EB5">
      <w:pPr>
        <w:pStyle w:val="LegendaTCC"/>
        <w:spacing w:before="60" w:after="120"/>
        <w:rPr>
          <w:lang w:val="pt-BR"/>
        </w:rPr>
      </w:pPr>
      <w:r w:rsidRPr="00773FD2">
        <w:rPr>
          <w:color w:val="000000"/>
          <w:lang w:val="pt-BR"/>
        </w:rPr>
        <w:t>Fonte: Produzido pelos autores.</w:t>
      </w:r>
    </w:p>
    <w:p w14:paraId="084981DC" w14:textId="77777777" w:rsidR="00C16569" w:rsidRPr="00773FD2" w:rsidRDefault="00202EB5">
      <w:pPr>
        <w:pStyle w:val="LegendaTCC"/>
        <w:rPr>
          <w:lang w:val="pt-BR"/>
        </w:rPr>
      </w:pPr>
      <w:r w:rsidRPr="00773FD2">
        <w:rPr>
          <w:color w:val="000000"/>
          <w:lang w:val="pt-BR"/>
        </w:rPr>
        <w:t>Figura 2 - Matriz de confusão prevista para a classificação da condição da bateria</w:t>
      </w:r>
    </w:p>
    <w:tbl>
      <w:tblPr>
        <w:tblW w:w="0" w:type="auto"/>
        <w:jc w:val="center"/>
        <w:tblLook w:val="04A0" w:firstRow="1" w:lastRow="0" w:firstColumn="1" w:lastColumn="0" w:noHBand="0" w:noVBand="1"/>
      </w:tblPr>
      <w:tblGrid>
        <w:gridCol w:w="7937"/>
      </w:tblGrid>
      <w:tr w:rsidR="00C16569" w:rsidRPr="00773FD2" w14:paraId="68136692" w14:textId="77777777">
        <w:trPr>
          <w:jc w:val="center"/>
        </w:trPr>
        <w:tc>
          <w:tcPr>
            <w:tcW w:w="7937" w:type="dxa"/>
            <w:tcBorders>
              <w:top w:val="single" w:sz="8" w:space="0" w:color="808080"/>
              <w:left w:val="single" w:sz="8" w:space="0" w:color="808080"/>
              <w:bottom w:val="single" w:sz="8" w:space="0" w:color="808080"/>
              <w:right w:val="single" w:sz="8" w:space="0" w:color="808080"/>
            </w:tcBorders>
            <w:vAlign w:val="center"/>
          </w:tcPr>
          <w:p w14:paraId="070781E2" w14:textId="77777777" w:rsidR="00C16569" w:rsidRPr="00773FD2" w:rsidRDefault="00202EB5">
            <w:pPr>
              <w:jc w:val="center"/>
              <w:rPr>
                <w:lang w:val="pt-BR"/>
              </w:rPr>
            </w:pPr>
            <w:r w:rsidRPr="00773FD2">
              <w:rPr>
                <w:i/>
                <w:sz w:val="20"/>
                <w:lang w:val="pt-BR"/>
              </w:rPr>
              <w:t>[Espaço reservado para figura/gráfico gerado pelo código Python]</w:t>
            </w:r>
          </w:p>
          <w:p w14:paraId="460E6DFA" w14:textId="77777777" w:rsidR="00C16569" w:rsidRPr="00773FD2" w:rsidRDefault="00C16569">
            <w:pPr>
              <w:rPr>
                <w:lang w:val="pt-BR"/>
              </w:rPr>
            </w:pPr>
          </w:p>
          <w:p w14:paraId="329DF679" w14:textId="77777777" w:rsidR="00C16569" w:rsidRPr="00773FD2" w:rsidRDefault="00C16569">
            <w:pPr>
              <w:rPr>
                <w:lang w:val="pt-BR"/>
              </w:rPr>
            </w:pPr>
          </w:p>
          <w:p w14:paraId="710553F3" w14:textId="77777777" w:rsidR="00C16569" w:rsidRPr="00773FD2" w:rsidRDefault="00C16569">
            <w:pPr>
              <w:rPr>
                <w:lang w:val="pt-BR"/>
              </w:rPr>
            </w:pPr>
          </w:p>
          <w:p w14:paraId="747282DE" w14:textId="77777777" w:rsidR="00C16569" w:rsidRPr="00773FD2" w:rsidRDefault="00C16569">
            <w:pPr>
              <w:rPr>
                <w:lang w:val="pt-BR"/>
              </w:rPr>
            </w:pPr>
          </w:p>
        </w:tc>
      </w:tr>
    </w:tbl>
    <w:p w14:paraId="4B52ECD8" w14:textId="77777777" w:rsidR="00C16569" w:rsidRPr="00773FD2" w:rsidRDefault="00202EB5">
      <w:pPr>
        <w:pStyle w:val="LegendaTCC"/>
        <w:spacing w:before="60" w:after="120"/>
        <w:rPr>
          <w:lang w:val="pt-BR"/>
        </w:rPr>
      </w:pPr>
      <w:r w:rsidRPr="00773FD2">
        <w:rPr>
          <w:color w:val="000000"/>
          <w:lang w:val="pt-BR"/>
        </w:rPr>
        <w:t>Fonte: Produzido pelos autores.</w:t>
      </w:r>
    </w:p>
    <w:p w14:paraId="4754F355" w14:textId="77777777" w:rsidR="00C16569" w:rsidRPr="00773FD2" w:rsidRDefault="00202EB5">
      <w:pPr>
        <w:rPr>
          <w:lang w:val="pt-BR"/>
        </w:rPr>
      </w:pPr>
      <w:r w:rsidRPr="00773FD2">
        <w:rPr>
          <w:color w:val="000000"/>
          <w:lang w:val="pt-BR"/>
        </w:rPr>
        <w:t>A discussão dos resultados deverá relacionar o desempenho obtido com os trabalhos correlatos, destacando semelhanças e limitações metodológicas. Em especial, deverá ser considerada a diferença entre aplicações com dados reais de campo e abordagens baseadas em simulação, uma vez que sistemas em operação real apresentam falhas de medição, lacunas temporais e variações ambientais que dificultam a estimativa precisa da saúde da bateria (AITIO; HOWEY, 2021; LUQUE et al., 2025).</w:t>
      </w:r>
    </w:p>
    <w:p w14:paraId="2107EE0E" w14:textId="77777777" w:rsidR="00C16569" w:rsidRPr="00773FD2" w:rsidRDefault="00202EB5">
      <w:pPr>
        <w:pStyle w:val="Ttulo1"/>
        <w:rPr>
          <w:lang w:val="pt-BR"/>
        </w:rPr>
      </w:pPr>
      <w:r w:rsidRPr="00773FD2">
        <w:rPr>
          <w:rFonts w:ascii="Arial" w:eastAsia="Arial" w:hAnsi="Arial"/>
          <w:lang w:val="pt-BR"/>
        </w:rPr>
        <w:lastRenderedPageBreak/>
        <w:t>CONSIDERAÇÕES FINAIS</w:t>
      </w:r>
    </w:p>
    <w:p w14:paraId="48445153" w14:textId="77777777" w:rsidR="00C16569" w:rsidRPr="00773FD2" w:rsidRDefault="00202EB5">
      <w:pPr>
        <w:rPr>
          <w:lang w:val="pt-BR"/>
        </w:rPr>
      </w:pPr>
      <w:r w:rsidRPr="00773FD2">
        <w:rPr>
          <w:color w:val="000000"/>
          <w:lang w:val="pt-BR"/>
        </w:rPr>
        <w:t>Este trabalho propõe o desenvolvimento de um modelo preditivo para estimar o estado de saúde e o fim da vida útil de baterias em sistemas fotovoltaicos, buscando contribuir para a adoção de práticas de manutenção preditiva. A abordagem permite relacionar variáveis operacionais da bateria com indicadores de degradação, favorecendo uma tomada de decisão mais fundamentada sobre manutenção, substituição e operação do sistema (AITIO; HOWEY, 2021; LUQUE et al., 2025).</w:t>
      </w:r>
    </w:p>
    <w:p w14:paraId="7FF0A681" w14:textId="77777777" w:rsidR="00C16569" w:rsidRPr="00773FD2" w:rsidRDefault="00202EB5">
      <w:pPr>
        <w:rPr>
          <w:lang w:val="pt-BR"/>
        </w:rPr>
      </w:pPr>
      <w:r w:rsidRPr="00773FD2">
        <w:rPr>
          <w:color w:val="000000"/>
          <w:lang w:val="pt-BR"/>
        </w:rPr>
        <w:t>Como limitação inicial, destaca-se a dependência da qualidade da base de dados utilizada, uma vez que modelos supervisionados exigem registros consistentes e representativos para alcançar desempenho adequado. Além disso, dados simulados podem não representar integralmente as condições de operação encontradas em sistemas reais, motivo pelo qual a validação futura com dados de campo é recomendada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4AA211B2" w14:textId="77777777" w:rsidR="00C16569" w:rsidRDefault="00202EB5">
      <w:pPr>
        <w:pStyle w:val="ReferenciaTCC"/>
      </w:pPr>
      <w:r>
        <w:rPr>
          <w:color w:val="000000"/>
        </w:rPr>
        <w:t>AITIO, Antti; HOWEY, David A. Predicting battery end of life from solar off-grid system field data using machine learning. Joule, v. 5, p. 3204-3220, 2021.</w:t>
      </w:r>
    </w:p>
    <w:p w14:paraId="468DA4AB" w14:textId="77777777" w:rsidR="00C16569" w:rsidRDefault="00202EB5">
      <w:pPr>
        <w:pStyle w:val="ReferenciaTCC"/>
      </w:pPr>
      <w:r>
        <w:rPr>
          <w:color w:val="000000"/>
        </w:rPr>
        <w:t>BREIMAN, Leo. Random forests. Machine Learning, v. 45, p. 5-32, 2001.</w:t>
      </w:r>
    </w:p>
    <w:p w14:paraId="42F30724" w14:textId="77777777" w:rsidR="00C16569" w:rsidRDefault="00202EB5">
      <w:pPr>
        <w:pStyle w:val="ReferenciaTCC"/>
      </w:pPr>
      <w:r>
        <w:rPr>
          <w:color w:val="000000"/>
        </w:rPr>
        <w:t>CHEN, Tianqi; GUESTRIN, Carlos. XGBoost: a scalable tree boosting system. In: Proceedings of the 22nd ACM SIGKDD International Conference on Knowledge Discovery and Data Mining. San Francisco: ACM, 2016.</w:t>
      </w:r>
    </w:p>
    <w:p w14:paraId="0065D3D0" w14:textId="77777777" w:rsidR="00C16569" w:rsidRDefault="00202EB5">
      <w:pPr>
        <w:pStyle w:val="ReferenciaTCC"/>
      </w:pPr>
      <w:r>
        <w:rPr>
          <w:color w:val="000000"/>
        </w:rPr>
        <w:t>LUQUE, Joaquin et al. Machine learning estimation of battery state of health in residential photovoltaic systems. Future Batteries, v. 5, 100039, 2025.</w:t>
      </w:r>
    </w:p>
    <w:p w14:paraId="5D7B7CF8" w14:textId="77777777" w:rsidR="00C16569" w:rsidRDefault="00202EB5">
      <w:pPr>
        <w:pStyle w:val="ReferenciaTCC"/>
      </w:pPr>
      <w:r>
        <w:rPr>
          <w:color w:val="000000"/>
        </w:rPr>
        <w:t>PEDREGOSA, Fabian et al. Scikit-learn: machine learning in Python. Journal of Machine Learning Research, v. 12, p. 2825-2830, 2011.</w:t>
      </w:r>
    </w:p>
    <w:p w14:paraId="65762EF4" w14:textId="77777777" w:rsidR="00C16569" w:rsidRDefault="00202EB5">
      <w:pPr>
        <w:pStyle w:val="ReferenciaTCC"/>
      </w:pPr>
      <w:r>
        <w:rPr>
          <w:color w:val="000000"/>
        </w:rPr>
        <w:t>RASMUSSEN, Carl Edward; WILLIAMS, Christopher K. I. Gaussian Processes for Machine Learning. Cambridge: MIT Press, 2006.</w:t>
      </w:r>
    </w:p>
    <w:p w14:paraId="01F42E58" w14:textId="77777777" w:rsidR="00C16569" w:rsidRPr="00773FD2" w:rsidRDefault="00202EB5">
      <w:pPr>
        <w:pStyle w:val="ReferenciaTCC"/>
        <w:rPr>
          <w:lang w:val="pt-BR"/>
        </w:rPr>
      </w:pPr>
      <w:r>
        <w:rPr>
          <w:color w:val="000000"/>
        </w:rPr>
        <w:lastRenderedPageBreak/>
        <w:t xml:space="preserve">SILVA, Ricardo Emanuel Gomes Fernandes da. Artificial intelligence techniques applied for the predictive control of stationary storage. </w:t>
      </w:r>
      <w:r w:rsidRPr="00773FD2">
        <w:rPr>
          <w:color w:val="000000"/>
          <w:lang w:val="pt-BR"/>
        </w:rPr>
        <w:t xml:space="preserve">2018. Dissertação (Mestrado Integrado em Engenharia Eletrotécnica e de Computadores) - </w:t>
      </w:r>
      <w:proofErr w:type="spellStart"/>
      <w:r w:rsidRPr="00773FD2">
        <w:rPr>
          <w:color w:val="000000"/>
          <w:lang w:val="pt-BR"/>
        </w:rPr>
        <w:t>Faculty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Engineering</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w:t>
      </w:r>
      <w:proofErr w:type="spellStart"/>
      <w:r w:rsidRPr="00773FD2">
        <w:rPr>
          <w:color w:val="000000"/>
          <w:lang w:val="pt-BR"/>
        </w:rPr>
        <w:t>the</w:t>
      </w:r>
      <w:proofErr w:type="spellEnd"/>
      <w:r w:rsidRPr="00773FD2">
        <w:rPr>
          <w:color w:val="000000"/>
          <w:lang w:val="pt-BR"/>
        </w:rPr>
        <w:t xml:space="preserve"> </w:t>
      </w:r>
      <w:proofErr w:type="spellStart"/>
      <w:r w:rsidRPr="00773FD2">
        <w:rPr>
          <w:color w:val="000000"/>
          <w:lang w:val="pt-BR"/>
        </w:rPr>
        <w:t>University</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Porto, Porto, 2018.</w:t>
      </w:r>
    </w:p>
    <w:p w14:paraId="0FA2A86F" w14:textId="77777777" w:rsidR="00C16569" w:rsidRPr="00773FD2" w:rsidRDefault="00202EB5">
      <w:pPr>
        <w:rPr>
          <w:lang w:val="pt-BR"/>
        </w:rPr>
      </w:pPr>
      <w:r w:rsidRPr="00773FD2">
        <w:rPr>
          <w:color w:val="000000"/>
          <w:lang w:val="pt-BR"/>
        </w:rPr>
        <w:br w:type="page"/>
      </w:r>
    </w:p>
    <w:p w14:paraId="6E246238" w14:textId="77777777" w:rsidR="00C16569" w:rsidRPr="00773FD2" w:rsidRDefault="00202EB5">
      <w:pPr>
        <w:pStyle w:val="Ttulo1"/>
        <w:rPr>
          <w:lang w:val="pt-BR"/>
        </w:rPr>
      </w:pPr>
      <w:r w:rsidRPr="00773FD2">
        <w:rPr>
          <w:rFonts w:ascii="Arial" w:eastAsia="Arial" w:hAnsi="Arial"/>
          <w:lang w:val="pt-BR"/>
        </w:rPr>
        <w:lastRenderedPageBreak/>
        <w:t>CHECKLIST DE FORMATAÇÃO PARA REMOVER NA VERSÃO FINAL</w:t>
      </w:r>
    </w:p>
    <w:p w14:paraId="04D90285" w14:textId="77777777" w:rsidR="00C16569" w:rsidRPr="00773FD2" w:rsidRDefault="00202EB5">
      <w:pPr>
        <w:ind w:firstLine="0"/>
        <w:rPr>
          <w:lang w:val="pt-BR"/>
        </w:rPr>
      </w:pPr>
      <w:r w:rsidRPr="00773FD2">
        <w:rPr>
          <w:color w:val="000000"/>
          <w:lang w:val="pt-BR"/>
        </w:rPr>
        <w:t>• A primeira página deve manter títulos em fonte 12, bloco de autores em fonte 11, título em inglês em itálico e autores/e-mails alinhados à direita, conforme o padrão visual dos artigos de exemplo.</w:t>
      </w:r>
    </w:p>
    <w:p w14:paraId="14426BAE" w14:textId="77777777" w:rsidR="00C16569" w:rsidRPr="00773FD2" w:rsidRDefault="00202EB5">
      <w:pPr>
        <w:ind w:firstLine="0"/>
        <w:rPr>
          <w:lang w:val="pt-BR"/>
        </w:rPr>
      </w:pPr>
      <w:r w:rsidRPr="00773FD2">
        <w:rPr>
          <w:color w:val="000000"/>
          <w:lang w:val="pt-BR"/>
        </w:rPr>
        <w:t>• No corpo do artigo, todo parágrafo técnico deve apresentar citação direta ou indireta no padrão autor-data, evitando blocos explicativos sem fundamentação bibliográfica.</w:t>
      </w:r>
    </w:p>
    <w:p w14:paraId="5329B100"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As figuras, gráficos, quadros e tabelas devem possuir título e fonte, mesmo quando forem produzidos pelos autores.</w:t>
      </w:r>
    </w:p>
    <w:p w14:paraId="01782F16"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 extensão final do artigo deve permanecer entre 15 e 25 páginas, removendo este checklist antes da entrega.</w:t>
      </w:r>
    </w:p>
    <w:sectPr w:rsidR="00C16569" w:rsidRPr="00773FD2" w:rsidSect="00034616">
      <w:headerReference w:type="default" r:id="rId8"/>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F720" w14:textId="77777777" w:rsidR="00202EB5" w:rsidRDefault="00202EB5">
      <w:pPr>
        <w:spacing w:after="0" w:line="240" w:lineRule="auto"/>
      </w:pPr>
      <w:r>
        <w:separator/>
      </w:r>
    </w:p>
  </w:endnote>
  <w:endnote w:type="continuationSeparator" w:id="0">
    <w:p w14:paraId="5F07A504" w14:textId="77777777" w:rsidR="00202EB5" w:rsidRDefault="00202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41F40" w14:textId="77777777" w:rsidR="00202EB5" w:rsidRDefault="00202EB5">
      <w:pPr>
        <w:spacing w:after="0" w:line="240" w:lineRule="auto"/>
      </w:pPr>
      <w:r>
        <w:separator/>
      </w:r>
    </w:p>
  </w:footnote>
  <w:footnote w:type="continuationSeparator" w:id="0">
    <w:p w14:paraId="144EA5D9" w14:textId="77777777" w:rsidR="00202EB5" w:rsidRDefault="00202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sidR="00773FD2">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EB5"/>
    <w:rsid w:val="0029639D"/>
    <w:rsid w:val="00326F90"/>
    <w:rsid w:val="00577FEB"/>
    <w:rsid w:val="006F10C5"/>
    <w:rsid w:val="00773FD2"/>
    <w:rsid w:val="00984F41"/>
    <w:rsid w:val="00AA1D8D"/>
    <w:rsid w:val="00B47730"/>
    <w:rsid w:val="00C165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3107</Words>
  <Characters>16779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2</cp:revision>
  <dcterms:created xsi:type="dcterms:W3CDTF">2026-05-27T02:37:00Z</dcterms:created>
  <dcterms:modified xsi:type="dcterms:W3CDTF">2026-05-27T02:37:00Z</dcterms:modified>
  <cp:category/>
</cp:coreProperties>
</file>