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77777777" w:rsidR="00C16569" w:rsidRPr="00773FD2" w:rsidRDefault="00202EB5">
      <w:pPr>
        <w:spacing w:after="480"/>
        <w:ind w:firstLine="0"/>
        <w:jc w:val="center"/>
        <w:rPr>
          <w:lang w:val="pt-BR"/>
        </w:rPr>
      </w:pPr>
      <w:r w:rsidRPr="00773FD2">
        <w:rPr>
          <w:b/>
          <w:color w:val="000000"/>
          <w:lang w:val="pt-BR"/>
        </w:rPr>
        <w:t>MODELO PREDITIVO PARA ESTIMATIVA DO ESTADO DE SAÚDE E FIM DA VIDA ÚTIL DE BATERIAS EM SISTEMAS FOTOVOLTAICOS</w:t>
      </w:r>
    </w:p>
    <w:p w14:paraId="791D4A2F" w14:textId="77777777" w:rsidR="00C16569" w:rsidRDefault="00202EB5" w:rsidP="005435A0">
      <w:pPr>
        <w:jc w:val="center"/>
      </w:pPr>
      <w:r>
        <w:rPr>
          <w:b/>
          <w:i/>
          <w:color w:val="000000"/>
        </w:rPr>
        <w:t>PREDICTIVE MODEL FOR ESTIMATING BATTERY STATE OF HEALTH AND END OF LIFE IN PHOTOVOLTAIC SYSTEMS</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F0199F">
        <w:rPr>
          <w:lang w:val="pt-BR"/>
        </w:rPr>
        <w:t xml:space="preserve">Este artigo propõe o uso de um modelo preditivo baseado em aprendizado de máquina para estimar o estado de saúde (SOH) e o fim da vida útil (EOL) de baterias aplicadas a sistemas fotovoltaicos. A partir de perfis de potência residual (demanda menos 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 (LUQUE et al., 2025; AITIO; HOWEY, 2021).</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 (LUQUE et al., 2025; AITIO; HOWEY, 2021).</w:t>
      </w:r>
    </w:p>
    <w:p w14:paraId="0ECDDC85" w14:textId="77777777" w:rsidR="00C16569" w:rsidRPr="00773FD2" w:rsidRDefault="00202EB5">
      <w:pPr>
        <w:pStyle w:val="ResumoTCC"/>
        <w:spacing w:before="40" w:after="200"/>
        <w:jc w:val="left"/>
        <w:rPr>
          <w:lang w:val="pt-BR"/>
        </w:rPr>
      </w:pPr>
      <w:r>
        <w:rPr>
          <w:color w:val="000000"/>
        </w:rPr>
        <w:lastRenderedPageBreak/>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8481EBD" w14:textId="77777777" w:rsidR="00C16569" w:rsidRPr="00773FD2" w:rsidRDefault="00202EB5">
      <w:pPr>
        <w:rPr>
          <w:lang w:val="pt-BR"/>
        </w:rPr>
      </w:pPr>
      <w:r w:rsidRPr="00F0199F">
        <w:rPr>
          <w:lang w:val="pt-BR"/>
        </w:rPr>
        <w:lastRenderedPageBreak/>
        <w:t>O objetivo geral deste trabalho é adaptar e avaliar um modelo preditivo baseado em aprendizado de máquina para estimar o estado de saúde e o fim da vida útil de baterias aplicadas a sistemas fotovoltaicos. Para alcançar esse propósito, propõe-se identificar fatores de degradação, definir variáveis de entrada, preparar a base de dados, comparar modelos de regressão e classificação e discutir a aplicabilidade da abordagem no contexto da manutenção preditiva (AITIO; HOWEY, 2021; LUQUE et al., 2025).</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23482EB3" w14:textId="77777777" w:rsidR="00C16569" w:rsidRPr="00773FD2" w:rsidRDefault="00202EB5">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As baterias utilizadas em sistemas fotovoltaicos podem empregar diferentes tecnologias eletroquímicas, como chumbo-ácido e íon-lítio. A escolha da tecnologia depende de fatores como custo, densidade de energia, vida útil, segurança, 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 xml:space="preserve">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w:t>
      </w:r>
      <w:r w:rsidRPr="00773FD2">
        <w:rPr>
          <w:color w:val="000000"/>
          <w:lang w:val="pt-BR"/>
        </w:rPr>
        <w:lastRenderedPageBreak/>
        <w:t>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 xml:space="preserve">A manutenção preditiva busca antecipar falhas a partir do acompanhamento de dados operacionais e da identificação de tendências de degradação. Diferentemente da manutenção corretiva, que ocorre apenas após a falha, e da manutenção </w:t>
      </w:r>
      <w:r w:rsidRPr="00773FD2">
        <w:rPr>
          <w:color w:val="000000"/>
          <w:lang w:val="pt-BR"/>
        </w:rPr>
        <w:lastRenderedPageBreak/>
        <w:t>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77777777" w:rsidR="00C16569" w:rsidRPr="00773FD2" w:rsidRDefault="00202EB5">
      <w:pPr>
        <w:pStyle w:val="Ttulo2"/>
        <w:jc w:val="left"/>
        <w:rPr>
          <w:lang w:val="pt-BR"/>
        </w:rPr>
      </w:pPr>
      <w:r w:rsidRPr="00773FD2">
        <w:rPr>
          <w:rFonts w:ascii="Arial" w:eastAsia="Arial" w:hAnsi="Arial"/>
          <w:lang w:val="pt-BR"/>
        </w:rPr>
        <w:t>Modelos preditivos para SOH e fim de vida útil</w:t>
      </w:r>
    </w:p>
    <w:p w14:paraId="54203510" w14:textId="77777777" w:rsidR="00C16569" w:rsidRPr="00773FD2" w:rsidRDefault="00202EB5">
      <w:pPr>
        <w:rPr>
          <w:lang w:val="pt-BR"/>
        </w:rPr>
      </w:pPr>
      <w:r w:rsidRPr="00773FD2">
        <w:rPr>
          <w:color w:val="000000"/>
          <w:lang w:val="pt-BR"/>
        </w:rPr>
        <w:t>A estimativa do SOH e do fim da vida útil pode ser realizada por métodos baseados em modelo, métodos orientados a dados ou métodos híbridos. 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w:t>
      </w:r>
      <w:r w:rsidRPr="00773FD2">
        <w:rPr>
          <w:color w:val="000000"/>
          <w:lang w:val="pt-BR"/>
        </w:rPr>
        <w:lastRenderedPageBreak/>
        <w:t>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propõe o desenvolvimento de uma solução computacional para apoiar a manutenção preditiva de baterias em sistemas fotovoltaicos. A pesquisa será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000000">
      <w:pPr>
        <w:rPr>
          <w:lang w:val="pt-BR"/>
        </w:rPr>
      </w:pPr>
      <w:r w:rsidRPr="003D291F">
        <w:rPr>
          <w:lang w:val="pt-BR"/>
        </w:rPr>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degradação.</w:t>
      </w:r>
    </w:p>
    <w:p w14:paraId="2A2E8498" w14:textId="77777777" w:rsidR="00445A13" w:rsidRPr="003D291F" w:rsidRDefault="00000000">
      <w:pPr>
        <w:rPr>
          <w:lang w:val="pt-BR"/>
        </w:rPr>
      </w:pPr>
      <w:r w:rsidRPr="003D291F">
        <w:rPr>
          <w:lang w:val="pt-BR"/>
        </w:rPr>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degradação.</w:t>
      </w:r>
    </w:p>
    <w:p w14:paraId="4C383DE7" w14:textId="77777777" w:rsidR="00C16569" w:rsidRPr="00773FD2" w:rsidRDefault="00202EB5">
      <w:pPr>
        <w:rPr>
          <w:lang w:val="pt-BR"/>
        </w:rPr>
      </w:pPr>
      <w:r w:rsidRPr="005435A0">
        <w:rPr>
          <w:lang w:val="pt-BR"/>
        </w:rPr>
        <w:t xml:space="preserve">A base de dados será composta por perfis de potência residual em arquivos CSV, como o input_profile_sample.csv do </w:t>
      </w:r>
      <w:proofErr w:type="spellStart"/>
      <w:r w:rsidRPr="005435A0">
        <w:rPr>
          <w:lang w:val="pt-BR"/>
        </w:rPr>
        <w:t>MLBatLife</w:t>
      </w:r>
      <w:proofErr w:type="spellEnd"/>
      <w:r w:rsidRPr="005435A0">
        <w:rPr>
          <w:lang w:val="pt-BR"/>
        </w:rPr>
        <w:t xml:space="preserve">, além do modelo treinado </w:t>
      </w:r>
      <w:proofErr w:type="spellStart"/>
      <w:r w:rsidRPr="005435A0">
        <w:rPr>
          <w:lang w:val="pt-BR"/>
        </w:rPr>
        <w:t>MLBatLife_Model.pkl</w:t>
      </w:r>
      <w:proofErr w:type="spellEnd"/>
      <w:r w:rsidRPr="005435A0">
        <w:rPr>
          <w:lang w:val="pt-BR"/>
        </w:rPr>
        <w:t>. Quando necessário, serão utilizados dados simulados com variáveis operacionais descritas na literatura para ampliar a análise e a comparação entre modelos (LUQUE et al., 2025; AITIO; HOWEY, 2021).</w:t>
      </w:r>
    </w:p>
    <w:p w14:paraId="24ABA51B" w14:textId="77777777" w:rsidR="00C16569" w:rsidRPr="00773FD2" w:rsidRDefault="00202EB5">
      <w:pPr>
        <w:rPr>
          <w:lang w:val="pt-BR"/>
        </w:rPr>
      </w:pPr>
      <w:r w:rsidRPr="00773FD2">
        <w:rPr>
          <w:color w:val="000000"/>
          <w:lang w:val="pt-BR"/>
        </w:rPr>
        <w:t xml:space="preserve">O pré-processamento dos dados contemplará a verificação de valores ausentes, a remoção ou tratamento de outliers, a normalização das variáveis quando </w:t>
      </w:r>
      <w:r w:rsidRPr="00773FD2">
        <w:rPr>
          <w:color w:val="000000"/>
          <w:lang w:val="pt-BR"/>
        </w:rPr>
        <w:lastRenderedPageBreak/>
        <w:t>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 xml:space="preserve">Na etapa de modelagem, o </w:t>
      </w:r>
      <w:proofErr w:type="spellStart"/>
      <w:r w:rsidRPr="005435A0">
        <w:rPr>
          <w:lang w:val="pt-BR"/>
        </w:rPr>
        <w:t>MLBatLife</w:t>
      </w:r>
      <w:proofErr w:type="spellEnd"/>
      <w:r w:rsidRPr="005435A0">
        <w:rPr>
          <w:lang w:val="pt-BR"/>
        </w:rPr>
        <w:t xml:space="preserve"> será utilizado como baseline, por empregar Random Forest treinado para estimar a perda diária de capacidade. Em paralelo, serão avaliados modelos de regressão para estimativa do SOH e modelos de classificação para identificação da condição operacional da bateria (BREIMAN, 2001; CHEN; GUESTRIN, 2016).</w:t>
      </w:r>
    </w:p>
    <w:p w14:paraId="0CF6FCDB" w14:textId="77777777" w:rsidR="00C16569" w:rsidRPr="00773FD2" w:rsidRDefault="00202EB5">
      <w:pPr>
        <w:rPr>
          <w:lang w:val="pt-BR"/>
        </w:rPr>
      </w:pPr>
      <w:r w:rsidRPr="00773FD2">
        <w:rPr>
          <w:color w:val="000000"/>
          <w:lang w:val="pt-BR"/>
        </w:rPr>
        <w:br w:type="page"/>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7"/>
        <w:gridCol w:w="2265"/>
        <w:gridCol w:w="2265"/>
        <w:gridCol w:w="2265"/>
      </w:tblGrid>
      <w:tr w:rsidR="00C16569" w14:paraId="3768EEE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D1667B" w14:textId="77777777" w:rsidR="00C16569" w:rsidRDefault="00202EB5">
            <w:pPr>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556941" w14:textId="77777777" w:rsidR="00C16569" w:rsidRDefault="00202EB5">
            <w:pPr>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2B3C405" w14:textId="77777777" w:rsidR="00C16569" w:rsidRDefault="00202EB5">
            <w:pPr>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573D2C0" w14:textId="77777777" w:rsidR="00C16569" w:rsidRDefault="00202EB5">
            <w:pPr>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pPr>
              <w:spacing w:after="0" w:line="240" w:lineRule="auto"/>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pPr>
              <w:spacing w:after="0" w:line="240" w:lineRule="auto"/>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pPr>
              <w:spacing w:after="0" w:line="240" w:lineRule="auto"/>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pPr>
              <w:spacing w:after="0" w:line="240" w:lineRule="auto"/>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pPr>
              <w:spacing w:after="0" w:line="240" w:lineRule="auto"/>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pPr>
              <w:spacing w:after="0" w:line="240" w:lineRule="auto"/>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pPr>
              <w:spacing w:after="0" w:line="240" w:lineRule="auto"/>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pPr>
              <w:spacing w:after="0" w:line="240" w:lineRule="auto"/>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pPr>
              <w:spacing w:after="0" w:line="240" w:lineRule="auto"/>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pPr>
              <w:spacing w:after="0" w:line="240" w:lineRule="auto"/>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pPr>
              <w:spacing w:after="0" w:line="240" w:lineRule="auto"/>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pPr>
              <w:spacing w:after="0" w:line="240" w:lineRule="auto"/>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t xml:space="preserve">A implementação será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4F87F075" w14:textId="49EBE531" w:rsidR="00C16569" w:rsidRPr="00773FD2" w:rsidRDefault="00202EB5" w:rsidP="003D291F">
      <w:pPr>
        <w:pStyle w:val="LegendaTCC"/>
        <w:rPr>
          <w:lang w:val="pt-BR"/>
        </w:rPr>
      </w:pPr>
      <w:r w:rsidRPr="003D291F">
        <w:rPr>
          <w:lang w:val="pt-BR"/>
        </w:rPr>
        <w:t>Figura 1 - Perfil de potência residual (primeiro dia)</w:t>
      </w:r>
      <w:r w:rsidR="003D291F" w:rsidRPr="003D291F">
        <w:rPr>
          <w:noProof/>
          <w:lang w:val="pt-BR"/>
        </w:rPr>
        <w:t xml:space="preserve"> </w:t>
      </w:r>
      <w:r>
        <w:rPr>
          <w:noProof/>
        </w:rPr>
        <w:drawing>
          <wp:inline distT="0" distB="0" distL="0" distR="0" wp14:anchorId="79C453F3" wp14:editId="7BD59898">
            <wp:extent cx="5029200" cy="2873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2873829"/>
                    </a:xfrm>
                    <a:prstGeom prst="rect">
                      <a:avLst/>
                    </a:prstGeom>
                  </pic:spPr>
                </pic:pic>
              </a:graphicData>
            </a:graphic>
          </wp:inline>
        </w:drawing>
      </w:r>
    </w:p>
    <w:p w14:paraId="55A180AD" w14:textId="77777777" w:rsidR="00445A13" w:rsidRPr="003D291F" w:rsidRDefault="00000000">
      <w:pPr>
        <w:rPr>
          <w:lang w:val="pt-BR"/>
        </w:rPr>
      </w:pPr>
      <w:r w:rsidRPr="003D291F">
        <w:rPr>
          <w:lang w:val="pt-BR"/>
        </w:rPr>
        <w:t>Fonte: Elaborado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773FD2">
        <w:rPr>
          <w:color w:val="000000"/>
          <w:lang w:val="pt-BR"/>
        </w:rPr>
        <w:t>A seção de resultados deverá apresentar inicialmente a análise exploratória dos dados, com a descrição das variáveis utilizadas e a identificação de padrões relacionados à degradação da bateria. Espera-se observar a redução gradual do SOH ao longo dos ciclos de operação, bem como a influência de variáveis como temperatura, resistência interna e profundidade de descarga sobre a perda de desempenho (AITIO; HOWEY, 2021; LUQUE et al., 2025).</w:t>
      </w:r>
    </w:p>
    <w:p w14:paraId="2FD2554D" w14:textId="77777777" w:rsidR="00445A13" w:rsidRPr="003D291F" w:rsidRDefault="00000000">
      <w:pPr>
        <w:rPr>
          <w:lang w:val="pt-BR"/>
        </w:rPr>
      </w:pPr>
      <w:r w:rsidRPr="003D291F">
        <w:rPr>
          <w:lang w:val="pt-BR"/>
        </w:rPr>
        <w:lastRenderedPageBreak/>
        <w:t>Resumo estatístico do SOH estimado: valor mínimo de 0.873256, valor máximo de 1.000000, média de 0.915486, desvio-padrão de 0.030566 e valor final de 0.873256.</w:t>
      </w:r>
    </w:p>
    <w:p w14:paraId="331F2664" w14:textId="77777777" w:rsidR="00445A13" w:rsidRPr="003D291F" w:rsidRDefault="00000000">
      <w:pPr>
        <w:rPr>
          <w:lang w:val="pt-BR"/>
        </w:rPr>
      </w:pPr>
      <w:r w:rsidRPr="003D291F">
        <w:rPr>
          <w:lang w:val="pt-BR"/>
        </w:rPr>
        <w:t>Resumo estatístico do SOH estimado: valor mínimo de 0.873256, valor máximo de 1.000000, média de 0.915486, desvio-padrão de 0.030566 e valor final de 0.873256.</w:t>
      </w:r>
    </w:p>
    <w:p w14:paraId="576278BD" w14:textId="77777777" w:rsidR="00C16569" w:rsidRPr="00773FD2" w:rsidRDefault="00202EB5">
      <w:pPr>
        <w:rPr>
          <w:lang w:val="pt-BR"/>
        </w:rPr>
      </w:pPr>
      <w:r w:rsidRPr="00773FD2">
        <w:rPr>
          <w:color w:val="000000"/>
          <w:lang w:val="pt-BR"/>
        </w:rPr>
        <w:t>Na avaliação dos modelos de regressão, os resultados deverão ser discutidos a partir das métricas MAE, RMSE e R², permitindo comparar a proximidade entre o SOH previsto e o SOH de referência. O modelo com menor erro e maior capacidade de generalização deverá ser analisado de forma crítica, considerando não apenas o desempenho numérico, mas também sua aplicabilidade prática em um cenário de manutenção preditiva (PEDREGOSA et al., 2011; LUQUE et al., 2025).</w:t>
      </w:r>
    </w:p>
    <w:p w14:paraId="77BEBFDA" w14:textId="77777777" w:rsidR="00C16569" w:rsidRPr="00773FD2" w:rsidRDefault="00202EB5">
      <w:pPr>
        <w:rPr>
          <w:lang w:val="pt-BR"/>
        </w:rPr>
      </w:pPr>
      <w:r w:rsidRPr="00773FD2">
        <w:rPr>
          <w:color w:val="000000"/>
          <w:lang w:val="pt-BR"/>
        </w:rPr>
        <w:t>Na avaliação dos modelos de classificação, deverão ser apresentadas métricas como acurácia, precisão, recall e F1-score, além da matriz de confusão. Essa análise permitirá verificar se o modelo é capaz de distinguir adequadamente baterias saudáveis daquelas em condição de atenção ou próximas ao fim de vida útil, aspecto essencial para reduzir atrasos na identificação de falhas (AITIO; HOWEY, 2021).</w:t>
      </w:r>
    </w:p>
    <w:p w14:paraId="6536F45D" w14:textId="3526E125" w:rsidR="00C16569" w:rsidRPr="00773FD2" w:rsidRDefault="00202EB5" w:rsidP="003D291F">
      <w:pPr>
        <w:pStyle w:val="LegendaTCC"/>
        <w:rPr>
          <w:lang w:val="pt-BR"/>
        </w:rPr>
      </w:pPr>
      <w:r w:rsidRPr="003D291F">
        <w:rPr>
          <w:lang w:val="pt-BR"/>
        </w:rPr>
        <w:t>Gráfico 1 - SOH ao longo do tempo</w:t>
      </w:r>
      <w:r>
        <w:rPr>
          <w:noProof/>
        </w:rPr>
        <w:drawing>
          <wp:inline distT="0" distB="0" distL="0" distR="0" wp14:anchorId="4C4C0138" wp14:editId="1AD7A0E1">
            <wp:extent cx="5029200" cy="287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2873829"/>
                    </a:xfrm>
                    <a:prstGeom prst="rect">
                      <a:avLst/>
                    </a:prstGeom>
                  </pic:spPr>
                </pic:pic>
              </a:graphicData>
            </a:graphic>
          </wp:inline>
        </w:drawing>
      </w:r>
    </w:p>
    <w:p w14:paraId="0011184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7ADDD086" w14:textId="77777777" w:rsidR="003D291F" w:rsidRPr="00773FD2" w:rsidRDefault="003D291F" w:rsidP="003D291F">
      <w:pPr>
        <w:pStyle w:val="LegendaTCC"/>
        <w:spacing w:before="60" w:after="120"/>
        <w:rPr>
          <w:lang w:val="pt-BR"/>
        </w:rPr>
      </w:pPr>
    </w:p>
    <w:p w14:paraId="56D45BC2" w14:textId="77777777" w:rsidR="003D291F" w:rsidRDefault="003D291F">
      <w:pPr>
        <w:pStyle w:val="LegendaTCC"/>
        <w:rPr>
          <w:lang w:val="pt-BR"/>
        </w:rPr>
      </w:pPr>
    </w:p>
    <w:p w14:paraId="4B52ECD8" w14:textId="621ABCC6" w:rsidR="00C16569" w:rsidRPr="00773FD2" w:rsidRDefault="00202EB5" w:rsidP="003D291F">
      <w:pPr>
        <w:pStyle w:val="LegendaTCC"/>
        <w:rPr>
          <w:lang w:val="pt-BR"/>
        </w:rPr>
      </w:pPr>
      <w:r w:rsidRPr="003D291F">
        <w:rPr>
          <w:lang w:val="pt-BR"/>
        </w:rPr>
        <w:lastRenderedPageBreak/>
        <w:t>Figura 2 - Matriz de correlação das variáveis</w:t>
      </w:r>
      <w:r>
        <w:rPr>
          <w:noProof/>
        </w:rPr>
        <w:drawing>
          <wp:inline distT="0" distB="0" distL="0" distR="0" wp14:anchorId="5D43A1EA" wp14:editId="06A78778">
            <wp:extent cx="5029200" cy="4162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4162097"/>
                    </a:xfrm>
                    <a:prstGeom prst="rect">
                      <a:avLst/>
                    </a:prstGeom>
                  </pic:spPr>
                </pic:pic>
              </a:graphicData>
            </a:graphic>
          </wp:inline>
        </w:drawing>
      </w:r>
    </w:p>
    <w:p w14:paraId="3387729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69A63B94" w14:textId="77777777" w:rsidR="003D291F" w:rsidRPr="00773FD2" w:rsidRDefault="003D291F" w:rsidP="003D291F">
      <w:pPr>
        <w:pStyle w:val="LegendaTCC"/>
        <w:spacing w:before="60" w:after="120"/>
        <w:rPr>
          <w:lang w:val="pt-BR"/>
        </w:rPr>
      </w:pPr>
    </w:p>
    <w:p w14:paraId="4754F355" w14:textId="77777777" w:rsidR="00C16569" w:rsidRPr="00773FD2" w:rsidRDefault="00202EB5">
      <w:pPr>
        <w:rPr>
          <w:lang w:val="pt-BR"/>
        </w:rPr>
      </w:pPr>
      <w:r w:rsidRPr="00773FD2">
        <w:rPr>
          <w:color w:val="000000"/>
          <w:lang w:val="pt-BR"/>
        </w:rPr>
        <w:t>A discussão dos resultados deverá relacionar o desempenho obtido com os trabalhos correlatos, destacando semelhanças e limitações metodológicas. Em especial, deverá ser considerada a diferença entre aplicações com dados reais de campo e abordagens baseadas em simulação, uma vez que sistemas em operação real apresentam falhas de medição, lacunas temporais e variações ambientais que dificultam a estimativa precisa da saúde da bateria (AITIO; HOWEY, 2021;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773FD2">
        <w:rPr>
          <w:color w:val="000000"/>
          <w:lang w:val="pt-BR"/>
        </w:rPr>
        <w:t>Este trabalho propõe o desenvolvimento de um modelo preditivo para estimar o estado de saúde e o fim da vida útil de baterias em sistemas fotovoltaicos, buscando contribuir para a adoção de práticas de manutenção preditiva. A abordagem permite relacionar variáveis operacionais da bateria com indicadores de degradação, favorecendo uma tomada de decisão mais fundamentada sobre manutenção, substituição e operação do sistema (AITIO; HOWEY, 2021; LUQUE et al., 2025).</w:t>
      </w:r>
    </w:p>
    <w:p w14:paraId="7FF0A681" w14:textId="77777777" w:rsidR="00C16569" w:rsidRPr="00773FD2" w:rsidRDefault="00202EB5">
      <w:pPr>
        <w:rPr>
          <w:lang w:val="pt-BR"/>
        </w:rPr>
      </w:pPr>
      <w:r w:rsidRPr="00773FD2">
        <w:rPr>
          <w:color w:val="000000"/>
          <w:lang w:val="pt-BR"/>
        </w:rPr>
        <w:lastRenderedPageBreak/>
        <w:t>Como limitação inicial, destaca-se a dependência da qualidade da base de dados utilizada, uma vez que modelos supervisionados exigem registros consistentes e representativos para alcançar desempenho adequado. Além disso, dados simulados podem não representar integralmente as condições de operação encontradas em sistemas reais, motivo pelo qual a validação futura com dados de campo é recomendada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4AA211B2" w14:textId="77777777" w:rsidR="00C16569" w:rsidRDefault="00202EB5">
      <w:pPr>
        <w:pStyle w:val="ReferenciaTCC"/>
      </w:pPr>
      <w:r>
        <w:rPr>
          <w:color w:val="000000"/>
        </w:rPr>
        <w:t>AITIO, Antti; HOWEY, David A. Predicting battery end of life from solar off-grid system field data using machine learning. Joule, v. 5, p. 3204-3220, 2021.</w:t>
      </w:r>
    </w:p>
    <w:p w14:paraId="468DA4AB" w14:textId="77777777" w:rsidR="00C16569" w:rsidRDefault="00202EB5">
      <w:pPr>
        <w:pStyle w:val="ReferenciaTCC"/>
      </w:pPr>
      <w:r>
        <w:rPr>
          <w:color w:val="000000"/>
        </w:rPr>
        <w:t>BREIMAN, Leo. Random forests. Machine Learning, v. 45, p. 5-32, 2001.</w:t>
      </w:r>
    </w:p>
    <w:p w14:paraId="42F30724" w14:textId="77777777" w:rsidR="00C16569" w:rsidRDefault="00202EB5">
      <w:pPr>
        <w:pStyle w:val="ReferenciaTCC"/>
      </w:pPr>
      <w:r>
        <w:rPr>
          <w:color w:val="000000"/>
        </w:rPr>
        <w:t xml:space="preserve">CHEN, Tianqi; GUESTRIN, Carlos. </w:t>
      </w:r>
      <w:proofErr w:type="spellStart"/>
      <w:r>
        <w:rPr>
          <w:color w:val="000000"/>
        </w:rPr>
        <w:t>XGBoost</w:t>
      </w:r>
      <w:proofErr w:type="spellEnd"/>
      <w:r>
        <w:rPr>
          <w:color w:val="000000"/>
        </w:rPr>
        <w:t>: a scalable tree boosting system. In: Proceedings of the 22nd ACM SIGKDD International Conference on Knowledge Discovery and Data Mining. San Francisco: ACM, 2016.</w:t>
      </w:r>
    </w:p>
    <w:p w14:paraId="0065D3D0" w14:textId="77777777" w:rsidR="00C16569" w:rsidRDefault="00202EB5">
      <w:pPr>
        <w:pStyle w:val="ReferenciaTCC"/>
      </w:pPr>
      <w:r>
        <w:rPr>
          <w:color w:val="000000"/>
        </w:rPr>
        <w:t>LUQUE, Joaquin et al. Machine learning estimation of battery state of health in residential photovoltaic systems. Future Batteries, v. 5, 100039, 2025.</w:t>
      </w:r>
    </w:p>
    <w:p w14:paraId="5D7B7CF8" w14:textId="77777777" w:rsidR="00C16569" w:rsidRDefault="00202EB5">
      <w:pPr>
        <w:pStyle w:val="ReferenciaTCC"/>
      </w:pPr>
      <w:r>
        <w:rPr>
          <w:color w:val="000000"/>
        </w:rPr>
        <w:t>PEDREGOSA, Fabian et al. Scikit-</w:t>
      </w:r>
      <w:proofErr w:type="gramStart"/>
      <w:r>
        <w:rPr>
          <w:color w:val="000000"/>
        </w:rPr>
        <w:t>learn:</w:t>
      </w:r>
      <w:proofErr w:type="gramEnd"/>
      <w:r>
        <w:rPr>
          <w:color w:val="000000"/>
        </w:rPr>
        <w:t xml:space="preserve"> machine learning in Python. Journal of Machine Learning Research, v. 12, p. 2825-2830, 2011.</w:t>
      </w:r>
    </w:p>
    <w:p w14:paraId="65762EF4" w14:textId="77777777" w:rsidR="00C16569" w:rsidRDefault="00202EB5">
      <w:pPr>
        <w:pStyle w:val="ReferenciaTCC"/>
      </w:pPr>
      <w:r>
        <w:rPr>
          <w:color w:val="000000"/>
        </w:rPr>
        <w:t>RASMUSSEN, Carl Edward; WILLIAMS, Christopher K. I. Gaussian Processes for Machine Learning. Cambridge: MIT Press, 2006.</w:t>
      </w:r>
    </w:p>
    <w:p w14:paraId="01F42E58" w14:textId="77777777" w:rsidR="00C16569" w:rsidRPr="00773FD2" w:rsidRDefault="00202EB5">
      <w:pPr>
        <w:pStyle w:val="ReferenciaTCC"/>
        <w:rPr>
          <w:lang w:val="pt-BR"/>
        </w:rPr>
      </w:pPr>
      <w:r w:rsidRPr="0007696B">
        <w:rPr>
          <w:color w:val="000000"/>
        </w:rPr>
        <w:t xml:space="preserve">SILVA, Ricardo Emanuel Gomes Fernandes da. </w:t>
      </w:r>
      <w:r>
        <w:rPr>
          <w:color w:val="000000"/>
        </w:rPr>
        <w:t xml:space="preserve">Artificial intelligence techniques applied for the predictive control of stationary storage. </w:t>
      </w:r>
      <w:r w:rsidRPr="00773FD2">
        <w:rPr>
          <w:color w:val="000000"/>
          <w:lang w:val="pt-BR"/>
        </w:rPr>
        <w:t xml:space="preserve">2018. Dissertação (Mestrado Integrado em Engenharia Eletrotécnica e de Computadores) - </w:t>
      </w:r>
      <w:proofErr w:type="spellStart"/>
      <w:r w:rsidRPr="00773FD2">
        <w:rPr>
          <w:color w:val="000000"/>
          <w:lang w:val="pt-BR"/>
        </w:rPr>
        <w:t>Faculty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Engineering</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the</w:t>
      </w:r>
      <w:proofErr w:type="spellEnd"/>
      <w:r w:rsidRPr="00773FD2">
        <w:rPr>
          <w:color w:val="000000"/>
          <w:lang w:val="pt-BR"/>
        </w:rPr>
        <w:t xml:space="preserve"> </w:t>
      </w:r>
      <w:proofErr w:type="spellStart"/>
      <w:r w:rsidRPr="00773FD2">
        <w:rPr>
          <w:color w:val="000000"/>
          <w:lang w:val="pt-BR"/>
        </w:rPr>
        <w:t>University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Porto, Porto, 2018.</w:t>
      </w:r>
    </w:p>
    <w:p w14:paraId="0FA2A86F" w14:textId="77777777" w:rsidR="00C16569" w:rsidRPr="00773FD2" w:rsidRDefault="00202EB5">
      <w:pPr>
        <w:rPr>
          <w:lang w:val="pt-BR"/>
        </w:rPr>
      </w:pPr>
      <w:r w:rsidRPr="00773FD2">
        <w:rPr>
          <w:color w:val="000000"/>
          <w:lang w:val="pt-BR"/>
        </w:rPr>
        <w:br w:type="page"/>
      </w:r>
    </w:p>
    <w:p w14:paraId="6E246238" w14:textId="77777777" w:rsidR="00C16569" w:rsidRPr="00773FD2" w:rsidRDefault="00202EB5">
      <w:pPr>
        <w:pStyle w:val="Ttulo1"/>
        <w:rPr>
          <w:lang w:val="pt-BR"/>
        </w:rPr>
      </w:pPr>
      <w:r w:rsidRPr="00773FD2">
        <w:rPr>
          <w:rFonts w:ascii="Arial" w:eastAsia="Arial" w:hAnsi="Arial"/>
          <w:lang w:val="pt-BR"/>
        </w:rPr>
        <w:lastRenderedPageBreak/>
        <w:t>CHECKLIST DE FORMATAÇÃO PARA REMOVER NA VERSÃO FINAL</w:t>
      </w:r>
    </w:p>
    <w:p w14:paraId="04D90285" w14:textId="77777777" w:rsidR="00C16569" w:rsidRPr="00773FD2" w:rsidRDefault="00202EB5">
      <w:pPr>
        <w:ind w:firstLine="0"/>
        <w:rPr>
          <w:lang w:val="pt-BR"/>
        </w:rPr>
      </w:pPr>
      <w:r w:rsidRPr="00773FD2">
        <w:rPr>
          <w:color w:val="000000"/>
          <w:lang w:val="pt-BR"/>
        </w:rPr>
        <w:t>• A primeira página deve manter títulos em fonte 12, bloco de autores em fonte 11, título em inglês em itálico e autores/e-mails alinhados à direita, conforme o padrão visual dos artigos de exemplo.</w:t>
      </w:r>
    </w:p>
    <w:p w14:paraId="14426BAE" w14:textId="77777777" w:rsidR="00C16569" w:rsidRPr="00773FD2" w:rsidRDefault="00202EB5">
      <w:pPr>
        <w:ind w:firstLine="0"/>
        <w:rPr>
          <w:lang w:val="pt-BR"/>
        </w:rPr>
      </w:pPr>
      <w:r w:rsidRPr="00773FD2">
        <w:rPr>
          <w:color w:val="000000"/>
          <w:lang w:val="pt-BR"/>
        </w:rPr>
        <w:t>• No corpo do artigo, todo parágrafo técnico deve apresentar citação direta ou indireta no padrão autor-data, evitando blocos explicativos sem fundamentação bibliográfica.</w:t>
      </w:r>
    </w:p>
    <w:p w14:paraId="5329B100"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As figuras, gráficos, quadros e tabelas devem possuir título e fonte, mesmo quando forem produzidos pelos autores.</w:t>
      </w:r>
    </w:p>
    <w:p w14:paraId="01782F16"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 extensão final do artigo deve permanecer entre 15 e 25 páginas, removendo este checklist antes da entrega.</w:t>
      </w:r>
    </w:p>
    <w:sectPr w:rsidR="00C16569" w:rsidRPr="00773FD2" w:rsidSect="00034616">
      <w:headerReference w:type="default" r:id="rId11"/>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6471" w14:textId="77777777" w:rsidR="00921A9A" w:rsidRDefault="00921A9A">
      <w:pPr>
        <w:spacing w:after="0" w:line="240" w:lineRule="auto"/>
      </w:pPr>
      <w:r>
        <w:separator/>
      </w:r>
    </w:p>
  </w:endnote>
  <w:endnote w:type="continuationSeparator" w:id="0">
    <w:p w14:paraId="1FBCE719" w14:textId="77777777" w:rsidR="00921A9A" w:rsidRDefault="00921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149FE" w14:textId="77777777" w:rsidR="00921A9A" w:rsidRDefault="00921A9A">
      <w:pPr>
        <w:spacing w:after="0" w:line="240" w:lineRule="auto"/>
      </w:pPr>
      <w:r>
        <w:separator/>
      </w:r>
    </w:p>
  </w:footnote>
  <w:footnote w:type="continuationSeparator" w:id="0">
    <w:p w14:paraId="5544C295" w14:textId="77777777" w:rsidR="00921A9A" w:rsidRDefault="00921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96B"/>
    <w:rsid w:val="0015074B"/>
    <w:rsid w:val="00202EB5"/>
    <w:rsid w:val="00252611"/>
    <w:rsid w:val="0028783E"/>
    <w:rsid w:val="0029639D"/>
    <w:rsid w:val="00326F90"/>
    <w:rsid w:val="003D291F"/>
    <w:rsid w:val="00445A13"/>
    <w:rsid w:val="005435A0"/>
    <w:rsid w:val="00577FEB"/>
    <w:rsid w:val="005B079F"/>
    <w:rsid w:val="005E70E2"/>
    <w:rsid w:val="006F10C5"/>
    <w:rsid w:val="00773FD2"/>
    <w:rsid w:val="008778EA"/>
    <w:rsid w:val="00921A9A"/>
    <w:rsid w:val="00976A0A"/>
    <w:rsid w:val="00977EC9"/>
    <w:rsid w:val="00984F41"/>
    <w:rsid w:val="00A6729D"/>
    <w:rsid w:val="00A955D7"/>
    <w:rsid w:val="00AA1D8D"/>
    <w:rsid w:val="00AE27DA"/>
    <w:rsid w:val="00B47730"/>
    <w:rsid w:val="00BA5218"/>
    <w:rsid w:val="00C16569"/>
    <w:rsid w:val="00CB0664"/>
    <w:rsid w:val="00D73B44"/>
    <w:rsid w:val="00D83B2F"/>
    <w:rsid w:val="00F0199F"/>
    <w:rsid w:val="00F52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3099</Words>
  <Characters>16737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11</cp:revision>
  <dcterms:created xsi:type="dcterms:W3CDTF">2026-05-27T02:37:00Z</dcterms:created>
  <dcterms:modified xsi:type="dcterms:W3CDTF">2026-05-28T03:52:00Z</dcterms:modified>
  <cp:category/>
</cp:coreProperties>
</file>