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dos Testes do Chatbot</w:t>
      </w:r>
    </w:p>
    <w:p>
      <w:pPr>
        <w:spacing w:after="160"/>
      </w:pPr>
      <w:r>
        <w:rPr>
          <w:color w:val="606775"/>
          <w:sz w:val="20"/>
        </w:rPr>
        <w:t>Casa Lorenzi  |  Benchmark Gemini e Groq  |  Atualizado em 27/10/2026</w:t>
      </w:r>
    </w:p>
    <w:p>
      <w:r>
        <w:rPr>
          <w:b/>
        </w:rPr>
        <w:t xml:space="preserve">Conclusao ate agora: </w:t>
      </w:r>
      <w:r>
        <w:t>o primeiro teste local da Groq passou no caso de estoque da Savassi. E apenas uma observacao de um caso e uma repeticao; ainda nao permite dizer qual modelo e melhor no geral.</w:t>
      </w:r>
    </w:p>
    <w:p>
      <w:pPr>
        <w:pStyle w:val="Heading1"/>
      </w:pPr>
      <w:r>
        <w:t>Objetivo e escopo</w:t>
      </w:r>
    </w:p>
    <w:p>
      <w:r>
        <w:t>O piloto compara a capacidade de responder corretamente, escolher ferramentas, tempo de resposta e consumo de tokens. Os casos usam dados ficticios locais; o benchmark nao consulta o banco real, nao chama endpoints da plataforma e nao altera o deploy.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Modo</w:t>
            </w:r>
          </w:p>
        </w:tc>
        <w:tc>
          <w:tcPr>
            <w:tcW w:type="dxa" w:w="770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 que mede</w:t>
            </w:r>
          </w:p>
        </w:tc>
      </w:tr>
      <w:t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run.py - baseline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Resposta com contexto ficticio no prompt, sem chamada de ferramenta.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run_tools.py - ferramentas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Escolha da funcao e dos argumentos, execucao de fixture local e resposta final.</w:t>
            </w:r>
          </w:p>
        </w:tc>
      </w:tr>
    </w:tbl>
    <w:p>
      <w:pPr>
        <w:spacing w:after="0"/>
      </w:pPr>
    </w:p>
    <w:p>
      <w:pPr>
        <w:pStyle w:val="Heading1"/>
      </w:pPr>
      <w:r>
        <w:t>Configuracao do comparativo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81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Groq</w:t>
            </w:r>
          </w:p>
        </w:tc>
        <w:tc>
          <w:tcPr>
            <w:tcW w:type="dxa" w:w="4752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Gemini</w:t>
            </w:r>
          </w:p>
        </w:tc>
      </w:tr>
      <w:tr>
        <w:tc>
          <w:tcPr>
            <w:tcW w:type="dxa" w:w="151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Modelo</w:t>
            </w:r>
          </w:p>
        </w:tc>
        <w:tc>
          <w:tcPr>
            <w:tcW w:type="dxa" w:w="381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openai/gpt-oss-20b</w:t>
            </w:r>
          </w:p>
        </w:tc>
        <w:tc>
          <w:tcPr>
            <w:tcW w:type="dxa" w:w="475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gemini-3.5-flash-lite (configurado; ainda sem resultado local)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Chave</w:t>
            </w:r>
          </w:p>
        </w:tc>
        <w:tc>
          <w:tcPr>
            <w:tcW w:type="dxa" w:w="38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GROQ_API_KEY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GEMINI_API_KEY</w:t>
            </w:r>
          </w:p>
        </w:tc>
      </w:tr>
      <w:tr>
        <w:tc>
          <w:tcPr>
            <w:tcW w:type="dxa" w:w="151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Situacao</w:t>
            </w:r>
          </w:p>
        </w:tc>
        <w:tc>
          <w:tcPr>
            <w:tcW w:type="dxa" w:w="381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Um caso local aprovado</w:t>
            </w:r>
          </w:p>
        </w:tc>
        <w:tc>
          <w:tcPr>
            <w:tcW w:type="dxa" w:w="475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Aguardando primeira medicao local</w:t>
            </w:r>
          </w:p>
        </w:tc>
      </w:tr>
    </w:tbl>
    <w:p>
      <w:pPr>
        <w:spacing w:after="0"/>
      </w:pPr>
    </w:p>
    <w:p>
      <w:r>
        <w:t>OpenAI foi substituida por Groq no comparativo padrao. O identificador openai/gpt-oss-20b e o nome do modelo servido pela API da Groq; o teste nao usa a API da OpenAI.</w:t>
      </w:r>
    </w:p>
    <w:p>
      <w:pPr>
        <w:pStyle w:val="Heading1"/>
      </w:pPr>
      <w:r>
        <w:t>Resultado confirmado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770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 da rodada Groq</w:t>
            </w:r>
          </w:p>
        </w:tc>
      </w:tr>
      <w:t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Arquivo de origem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ferramentas-20261027-085410.csv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Caso e repeticoes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estoque_savassi; 1 caso; 1 repeticao</w:t>
            </w:r>
          </w:p>
        </w:tc>
      </w:tr>
      <w:t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Pergunta ficticia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Quantas unidades da camiseta CAM-001 temos na Savassi?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 esperada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get_stock(sku=CAM-001, loja=Savassi)</w:t>
            </w:r>
          </w:p>
        </w:tc>
      </w:tr>
      <w:t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Resultado automatico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 correta: 100%; resposta aprovada: 100%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Latencia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966 ms para a rodada completa</w:t>
            </w:r>
          </w:p>
        </w:tc>
      </w:tr>
      <w:t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Tokens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813 entrada; 69 saida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Resposta registrada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Na loja Savassi temos 5 unidades da camiseta CAM-001.</w:t>
            </w:r>
          </w:p>
        </w:tc>
      </w:tr>
      <w:t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Custo estimado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Nao preenchido no CSV; tarifas por token nao estavam configuradas.</w:t>
            </w:r>
          </w:p>
        </w:tc>
      </w:tr>
    </w:tbl>
    <w:p>
      <w:pPr>
        <w:spacing w:after="0"/>
      </w:pPr>
    </w:p>
    <w:p>
      <w:pPr>
        <w:spacing w:before="40"/>
      </w:pPr>
      <w:r>
        <w:rPr>
          <w:b/>
        </w:rPr>
        <w:t xml:space="preserve">Leitura correta: </w:t>
      </w:r>
      <w:r>
        <w:t>o resultado confirma esse caso especifico. A checagem automatica e heuristica e precisa ser complementada por revisao das respostas.</w:t>
      </w:r>
    </w:p>
    <w:p>
      <w:r>
        <w:br w:type="page"/>
      </w:r>
    </w:p>
    <w:p>
      <w:pPr>
        <w:pStyle w:val="Heading1"/>
      </w:pPr>
      <w:r>
        <w:t>Como interpretar as metricas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792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Interpretacao para o grafico</w:t>
            </w:r>
          </w:p>
        </w:tc>
      </w:tr>
      <w:t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Acerto de ferramenta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Percentual de chamadas com funcao e argumentos iguais aos esperados.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Acerto da resposta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Percentual aprovado pela verificacao automatica de conteudos obrigatorios e proibidos; revisar manualmente.</w:t>
            </w:r>
          </w:p>
        </w:tc>
      </w:tr>
      <w:t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Latencia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Tempo total medido para completar a rodada. Usar a mediana de varias repeticoes, nao um unico tempo.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Tokens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Separar entrada e saida. O ciclo com ferramenta pode gerar mais de uma requisicao por caso.</w:t>
            </w:r>
          </w:p>
        </w:tc>
      </w:tr>
      <w:t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Custo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O campo fica vazio sem tarifas configuradas; vazio nao significa custo zero. Conferir tambem o painel do provedor.</w:t>
            </w:r>
          </w:p>
        </w:tc>
      </w:tr>
    </w:tbl>
    <w:p>
      <w:pPr>
        <w:spacing w:after="0"/>
      </w:pPr>
    </w:p>
    <w:p>
      <w:pPr>
        <w:pStyle w:val="Heading1"/>
      </w:pPr>
      <w:r>
        <w:t>Protocolo para comparar</w:t>
      </w:r>
    </w:p>
    <w:p>
      <w:pPr>
        <w:pStyle w:val="ListBullet"/>
        <w:spacing w:after="40"/>
        <w:ind w:left="288" w:hanging="173"/>
      </w:pPr>
      <w:r>
        <w:t>Comecar com um caso e uma repeticao por provedor para confirmar acesso e configuracao.</w:t>
      </w:r>
    </w:p>
    <w:p>
      <w:pPr>
        <w:pStyle w:val="ListBullet"/>
        <w:spacing w:after="40"/>
        <w:ind w:left="288" w:hanging="173"/>
      </w:pPr>
      <w:r>
        <w:t>Depois usar os mesmos casos, perguntas e numero de repeticoes para Gemini e Groq; registrar modelo e data de cada rodada.</w:t>
      </w:r>
    </w:p>
    <w:p>
      <w:pPr>
        <w:pStyle w:val="ListBullet"/>
        <w:spacing w:after="40"/>
        <w:ind w:left="288" w:hanging="173"/>
      </w:pPr>
      <w:r>
        <w:t>Para uma comparacao inicial, rodar tres repeticoes por caso e comparar medianas de latencia e percentuais de acerto. Revisar manualmente respostas importantes.</w:t>
      </w:r>
    </w:p>
    <w:p>
      <w:pPr>
        <w:pStyle w:val="ListBullet"/>
        <w:spacing w:after="40"/>
        <w:ind w:left="288" w:hanging="173"/>
      </w:pPr>
      <w:r>
        <w:t>Conferir cotas antes de ampliar o piloto. O script interrompe novas chamadas ao receber 402/429 ou indicacao de quota, mas isso nao substitui a verificacao do plano e do uso no painel.</w:t>
      </w:r>
    </w:p>
    <w:p>
      <w:pPr>
        <w:spacing w:before="40"/>
      </w:pPr>
      <w:r>
        <w:rPr>
          <w:b/>
        </w:rPr>
        <w:t xml:space="preserve">Teste isolado de Gemini: </w:t>
      </w:r>
      <w:r>
        <w:t>python scripts/benchmark_chatbot/run_tools.py --case estoque_savassi --repetitions 1 --providers gemini</w:t>
      </w:r>
    </w:p>
    <w:p>
      <w:r>
        <w:rPr>
          <w:b/>
        </w:rPr>
        <w:t xml:space="preserve">Repetir o mesmo caso na Groq: </w:t>
      </w:r>
      <w:r>
        <w:t>python scripts/benchmark_chatbot/run_tools.py --case estoque_savassi --repetitions 1 --providers groq</w:t>
      </w:r>
    </w:p>
    <w:p>
      <w:r>
        <w:rPr>
          <w:b/>
        </w:rPr>
        <w:t xml:space="preserve">Comparacao inicial, apos validar as cotas: </w:t>
      </w:r>
      <w:r>
        <w:t>python scripts/benchmark_chatbot/run_tools.py --repetitions 3 --providers gemini groq</w:t>
      </w:r>
    </w:p>
    <w:p>
      <w:pPr>
        <w:pStyle w:val="Heading1"/>
      </w:pPr>
      <w:r>
        <w:t>Planilha de acompanhamento</w:t>
      </w:r>
    </w:p>
    <w:p>
      <w:r>
        <w:t>Copiar uma linha por provedor e rodada. Os CSVs detalhados ficam em scripts/benchmark_chatbot/resultados/.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22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Rodada</w:t>
            </w:r>
          </w:p>
        </w:tc>
        <w:tc>
          <w:tcPr>
            <w:tcW w:type="dxa" w:w="2232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Provedor e modelo</w:t>
            </w:r>
          </w:p>
        </w:tc>
        <w:tc>
          <w:tcPr>
            <w:tcW w:type="dxa" w:w="122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Casos x reps</w:t>
            </w:r>
          </w:p>
        </w:tc>
        <w:tc>
          <w:tcPr>
            <w:tcW w:type="dxa" w:w="129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Ferramentas OK</w:t>
            </w:r>
          </w:p>
        </w:tc>
        <w:tc>
          <w:tcPr>
            <w:tcW w:type="dxa" w:w="122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Respostas OK</w:t>
            </w:r>
          </w:p>
        </w:tc>
        <w:tc>
          <w:tcPr>
            <w:tcW w:type="dxa" w:w="129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Mediana ms</w:t>
            </w:r>
          </w:p>
        </w:tc>
        <w:tc>
          <w:tcPr>
            <w:tcW w:type="dxa" w:w="158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Tokens E/S e custo</w:t>
            </w:r>
          </w:p>
        </w:tc>
      </w:tr>
      <w:tr>
        <w:tc>
          <w:tcPr>
            <w:tcW w:type="dxa" w:w="122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223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________________</w:t>
            </w:r>
          </w:p>
        </w:tc>
        <w:tc>
          <w:tcPr>
            <w:tcW w:type="dxa" w:w="122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9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2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9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58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________________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________________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________________</w:t>
            </w:r>
          </w:p>
        </w:tc>
      </w:tr>
      <w:tr>
        <w:tc>
          <w:tcPr>
            <w:tcW w:type="dxa" w:w="122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223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________________</w:t>
            </w:r>
          </w:p>
        </w:tc>
        <w:tc>
          <w:tcPr>
            <w:tcW w:type="dxa" w:w="122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9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2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9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58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________________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________________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5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Arquivos e seguranca</w:t>
      </w:r>
    </w:p>
    <w:p>
      <w:r>
        <w:t>A partir desta alteracao, cada execucao cria um CSV novo em scripts/benchmark_chatbot/resultados/, com identificador, horario, provedor, modelo, caso, repeticao, metricas, resposta, chamadas de ferramentas e erros. O primeiro CSV validado tambem foi preservado nessa pasta.</w:t>
      </w:r>
    </w:p>
    <w:p>
      <w:r>
        <w:t>As chaves antigas foram desativadas e substituidas. Manter apenas os valores atuais no .env local; nunca registrar chaves neste Word, nos CSVs, em capturas de tela ou em commits. O custo deste resultado nao foi calculado, entao nao deve ser apresentado como zero sem confirmar a cobranca no painel.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color w:val="606775"/>
        <w:sz w:val="16"/>
      </w:rPr>
      <w:t xml:space="preserve">Registro do benchmark  |  Pagina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428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A20E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A20E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2428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