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Registro dos Testes do Chatbot</w:t>
      </w:r>
    </w:p>
    <w:p>
      <w:pPr>
        <w:spacing w:after="160"/>
      </w:pPr>
      <w:r>
        <w:t>Casa Lorenzi  |  Benchmark Gemini, Groq e Gemma  |  Atualizado em 27/10/2026</w:t>
      </w:r>
    </w:p>
    <w:p>
      <w:r>
        <w:t>Conclusao ate agora: Gemini e Groq mantem os resultados historicos descritos abaixo. O piloto do Gemma teve muitas falhas tecnicas: 7/12 casos baseline e 1/12 casos com ferramentas foram concluidos. Os casos concluidos passaram nas checagens automaticas, mas a amostra nao permite concluir que o modelo seja melhor ou pior; a disponibilidade da API foi insuficiente nesta rodada.</w:t>
      </w:r>
    </w:p>
    <w:p>
      <w:pPr>
        <w:pStyle w:val="Heading1"/>
      </w:pPr>
      <w:r>
        <w:t>Objetivo e escopo</w:t>
      </w:r>
    </w:p>
    <w:p>
      <w:r>
        <w:t>O piloto compara a capacidade de responder corretamente, escolher ferramentas, tempo de resposta e consumo de tokens. Os casos usam dados ficticios locais; o benchmark nao consulta o banco real, nao chama endpoints da plataforma e nao altera o deploy.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  <w:cantSplit/>
        </w:trPr>
        <w:tc>
          <w:tcPr>
            <w:tcW w:type="dxa" w:w="2376"/>
            <w:shd w:fill="A20E2A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Modo</w:t>
            </w:r>
          </w:p>
        </w:tc>
        <w:tc>
          <w:tcPr>
            <w:tcW w:type="dxa" w:w="7704"/>
            <w:shd w:fill="A20E2A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O que mede</w:t>
            </w:r>
          </w:p>
        </w:tc>
      </w:tr>
      <w:tr>
        <w:trPr>
          <w:cantSplit/>
          <w:cantSplit/>
        </w:trPr>
        <w:tc>
          <w:tcPr>
            <w:tcW w:type="dxa" w:w="2376"/>
            <w:shd w:fill="F1F3F5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42833"/>
                <w:sz w:val="17"/>
              </w:rPr>
              <w:t>run.py - baseline</w:t>
            </w:r>
          </w:p>
        </w:tc>
        <w:tc>
          <w:tcPr>
            <w:tcW w:type="dxa" w:w="7704"/>
            <w:shd w:fill="F1F3F5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42833"/>
                <w:sz w:val="17"/>
              </w:rPr>
              <w:t>Resposta com contexto ficticio no prompt, sem chamada de ferramenta.</w:t>
            </w:r>
          </w:p>
        </w:tc>
      </w:tr>
      <w:tr>
        <w:trPr>
          <w:cantSplit/>
          <w:cantSplit/>
        </w:trPr>
        <w:tc>
          <w:tcPr>
            <w:tcW w:type="dxa" w:w="2376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42833"/>
                <w:sz w:val="17"/>
              </w:rPr>
              <w:t>run_tools.py - ferramentas</w:t>
            </w:r>
          </w:p>
        </w:tc>
        <w:tc>
          <w:tcPr>
            <w:tcW w:type="dxa" w:w="7704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42833"/>
                <w:sz w:val="17"/>
              </w:rPr>
              <w:t>Escolha da funcao e dos argumentos, execucao de fixture local e resposta final.</w:t>
            </w:r>
          </w:p>
        </w:tc>
      </w:tr>
    </w:tbl>
    <w:p>
      <w:pPr>
        <w:spacing w:after="0"/>
      </w:pPr>
    </w:p>
    <w:p>
      <w:pPr>
        <w:pStyle w:val="Heading1"/>
      </w:pPr>
      <w:r>
        <w:t>Configuracao do comparativo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  <w:cantSplit/>
        </w:trPr>
        <w:tc>
          <w:tcPr>
            <w:tcW w:type="dxa" w:w="1512"/>
            <w:shd w:fill="A20E2A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Item</w:t>
            </w:r>
          </w:p>
        </w:tc>
        <w:tc>
          <w:tcPr>
            <w:tcW w:type="dxa" w:w="3816"/>
            <w:shd w:fill="A20E2A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Groq</w:t>
            </w:r>
          </w:p>
        </w:tc>
        <w:tc>
          <w:tcPr>
            <w:tcW w:type="dxa" w:w="4752"/>
            <w:shd w:fill="A20E2A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Gemini</w:t>
            </w:r>
          </w:p>
        </w:tc>
      </w:tr>
      <w:tr>
        <w:trPr>
          <w:cantSplit/>
          <w:cantSplit/>
        </w:trPr>
        <w:tc>
          <w:tcPr>
            <w:tcW w:type="dxa" w:w="1512"/>
            <w:shd w:fill="F1F3F5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42833"/>
                <w:sz w:val="16"/>
              </w:rPr>
              <w:t>Modelo</w:t>
            </w:r>
          </w:p>
        </w:tc>
        <w:tc>
          <w:tcPr>
            <w:tcW w:type="dxa" w:w="3816"/>
            <w:shd w:fill="F1F3F5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42833"/>
                <w:sz w:val="16"/>
              </w:rPr>
              <w:t>openai/gpt-oss-20b</w:t>
            </w:r>
          </w:p>
        </w:tc>
        <w:tc>
          <w:tcPr>
            <w:tcW w:type="dxa" w:w="4752"/>
            <w:shd w:fill="F1F3F5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42833"/>
                <w:sz w:val="16"/>
              </w:rPr>
              <w:t>gemini-3.5-flash-lite (configurado; ainda sem resultado local)</w:t>
            </w:r>
          </w:p>
        </w:tc>
      </w:tr>
      <w:tr>
        <w:trPr>
          <w:cantSplit/>
          <w:cantSplit/>
        </w:trPr>
        <w:tc>
          <w:tcPr>
            <w:tcW w:type="dxa" w:w="1512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42833"/>
                <w:sz w:val="16"/>
              </w:rPr>
              <w:t>Chave</w:t>
            </w:r>
          </w:p>
        </w:tc>
        <w:tc>
          <w:tcPr>
            <w:tcW w:type="dxa" w:w="3816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42833"/>
                <w:sz w:val="16"/>
              </w:rPr>
              <w:t>GROQ_API_KEY</w:t>
            </w:r>
          </w:p>
        </w:tc>
        <w:tc>
          <w:tcPr>
            <w:tcW w:type="dxa" w:w="4752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42833"/>
                <w:sz w:val="16"/>
              </w:rPr>
              <w:t>GEMINI_API_KEY</w:t>
            </w:r>
          </w:p>
        </w:tc>
      </w:tr>
      <w:tr>
        <w:trPr>
          <w:cantSplit/>
          <w:cantSplit/>
        </w:trPr>
        <w:tc>
          <w:tcPr>
            <w:tcW w:type="dxa" w:w="1512"/>
            <w:shd w:fill="F1F3F5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42833"/>
                <w:sz w:val="16"/>
              </w:rPr>
              <w:t>Situacao</w:t>
            </w:r>
          </w:p>
        </w:tc>
        <w:tc>
          <w:tcPr>
            <w:tcW w:type="dxa" w:w="3816"/>
            <w:shd w:fill="F1F3F5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42833"/>
                <w:sz w:val="16"/>
              </w:rPr>
              <w:t>Um caso local aprovado</w:t>
            </w:r>
          </w:p>
        </w:tc>
        <w:tc>
          <w:tcPr>
            <w:tcW w:type="dxa" w:w="4752"/>
            <w:shd w:fill="F1F3F5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color w:val="252525"/>
                <w:sz w:val="15"/>
              </w:rPr>
              <w:t>Bateria concluida; chave validada</w:t>
            </w:r>
          </w:p>
        </w:tc>
      </w:tr>
    </w:tbl>
    <w:p>
      <w:pPr>
        <w:spacing w:after="0"/>
      </w:pPr>
    </w:p>
    <w:p>
      <w:r>
        <w:t>OpenAI foi substituida por Groq no comparativo padrao. O identificador openai/gpt-oss-20b e o nome do modelo servido pela API da Groq; o teste nao usa a API da OpenAI.</w:t>
      </w:r>
    </w:p>
    <w:p>
      <w:pPr>
        <w:pStyle w:val="Heading1"/>
      </w:pPr>
      <w:r>
        <w:t>Resultado confirmado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  <w:cantSplit/>
        </w:trPr>
        <w:tc>
          <w:tcPr>
            <w:tcW w:type="dxa" w:w="2376"/>
            <w:shd w:fill="A20E2A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Metrica</w:t>
            </w:r>
          </w:p>
        </w:tc>
        <w:tc>
          <w:tcPr>
            <w:tcW w:type="dxa" w:w="7704"/>
            <w:shd w:fill="A20E2A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Registro da rodada Groq</w:t>
            </w:r>
          </w:p>
        </w:tc>
      </w:tr>
      <w:tr>
        <w:trPr>
          <w:cantSplit/>
          <w:cantSplit/>
        </w:trPr>
        <w:tc>
          <w:tcPr>
            <w:tcW w:type="dxa" w:w="2376"/>
            <w:shd w:fill="F1F3F5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42833"/>
                <w:sz w:val="16"/>
              </w:rPr>
              <w:t>Arquivo de origem</w:t>
            </w:r>
          </w:p>
        </w:tc>
        <w:tc>
          <w:tcPr>
            <w:tcW w:type="dxa" w:w="7704"/>
            <w:shd w:fill="F1F3F5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42833"/>
                <w:sz w:val="16"/>
              </w:rPr>
              <w:t>ferramentas-20261027-085410.csv</w:t>
            </w:r>
          </w:p>
        </w:tc>
      </w:tr>
      <w:tr>
        <w:trPr>
          <w:cantSplit/>
          <w:cantSplit/>
        </w:trPr>
        <w:tc>
          <w:tcPr>
            <w:tcW w:type="dxa" w:w="2376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42833"/>
                <w:sz w:val="16"/>
              </w:rPr>
              <w:t>Caso e repeticoes</w:t>
            </w:r>
          </w:p>
        </w:tc>
        <w:tc>
          <w:tcPr>
            <w:tcW w:type="dxa" w:w="7704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42833"/>
                <w:sz w:val="16"/>
              </w:rPr>
              <w:t>estoque_savassi; 1 caso; 1 repeticao</w:t>
            </w:r>
          </w:p>
        </w:tc>
      </w:tr>
      <w:tr>
        <w:trPr>
          <w:cantSplit/>
          <w:cantSplit/>
        </w:trPr>
        <w:tc>
          <w:tcPr>
            <w:tcW w:type="dxa" w:w="2376"/>
            <w:shd w:fill="F1F3F5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42833"/>
                <w:sz w:val="16"/>
              </w:rPr>
              <w:t>Pergunta ficticia</w:t>
            </w:r>
          </w:p>
        </w:tc>
        <w:tc>
          <w:tcPr>
            <w:tcW w:type="dxa" w:w="7704"/>
            <w:shd w:fill="F1F3F5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42833"/>
                <w:sz w:val="16"/>
              </w:rPr>
              <w:t>Quantas unidades da camiseta CAM-001 temos na Savassi?</w:t>
            </w:r>
          </w:p>
        </w:tc>
      </w:tr>
      <w:tr>
        <w:trPr>
          <w:cantSplit/>
          <w:cantSplit/>
        </w:trPr>
        <w:tc>
          <w:tcPr>
            <w:tcW w:type="dxa" w:w="2376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42833"/>
                <w:sz w:val="16"/>
              </w:rPr>
              <w:t>Ferramenta esperada</w:t>
            </w:r>
          </w:p>
        </w:tc>
        <w:tc>
          <w:tcPr>
            <w:tcW w:type="dxa" w:w="7704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42833"/>
                <w:sz w:val="16"/>
              </w:rPr>
              <w:t>get_stock(sku=CAM-001, loja=Savassi)</w:t>
            </w:r>
          </w:p>
        </w:tc>
      </w:tr>
      <w:tr>
        <w:trPr>
          <w:cantSplit/>
          <w:cantSplit/>
        </w:trPr>
        <w:tc>
          <w:tcPr>
            <w:tcW w:type="dxa" w:w="2376"/>
            <w:shd w:fill="F1F3F5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42833"/>
                <w:sz w:val="16"/>
              </w:rPr>
              <w:t>Resultado automatico</w:t>
            </w:r>
          </w:p>
        </w:tc>
        <w:tc>
          <w:tcPr>
            <w:tcW w:type="dxa" w:w="7704"/>
            <w:shd w:fill="F1F3F5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42833"/>
                <w:sz w:val="16"/>
              </w:rPr>
              <w:t>Ferramenta correta: 100%; resposta aprovada: 100%</w:t>
            </w:r>
          </w:p>
        </w:tc>
      </w:tr>
      <w:tr>
        <w:trPr>
          <w:cantSplit/>
          <w:cantSplit/>
        </w:trPr>
        <w:tc>
          <w:tcPr>
            <w:tcW w:type="dxa" w:w="2376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42833"/>
                <w:sz w:val="16"/>
              </w:rPr>
              <w:t>Latencia</w:t>
            </w:r>
          </w:p>
        </w:tc>
        <w:tc>
          <w:tcPr>
            <w:tcW w:type="dxa" w:w="7704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42833"/>
                <w:sz w:val="16"/>
              </w:rPr>
              <w:t>966 ms para a rodada completa</w:t>
            </w:r>
          </w:p>
        </w:tc>
      </w:tr>
      <w:tr>
        <w:trPr>
          <w:cantSplit/>
          <w:cantSplit/>
        </w:trPr>
        <w:tc>
          <w:tcPr>
            <w:tcW w:type="dxa" w:w="2376"/>
            <w:shd w:fill="F1F3F5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42833"/>
                <w:sz w:val="16"/>
              </w:rPr>
              <w:t>Tokens</w:t>
            </w:r>
          </w:p>
        </w:tc>
        <w:tc>
          <w:tcPr>
            <w:tcW w:type="dxa" w:w="7704"/>
            <w:shd w:fill="F1F3F5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42833"/>
                <w:sz w:val="16"/>
              </w:rPr>
              <w:t>813 entrada; 69 saida</w:t>
            </w:r>
          </w:p>
        </w:tc>
      </w:tr>
      <w:tr>
        <w:trPr>
          <w:cantSplit/>
          <w:cantSplit/>
        </w:trPr>
        <w:tc>
          <w:tcPr>
            <w:tcW w:type="dxa" w:w="2376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42833"/>
                <w:sz w:val="16"/>
              </w:rPr>
              <w:t>Resposta registrada</w:t>
            </w:r>
          </w:p>
        </w:tc>
        <w:tc>
          <w:tcPr>
            <w:tcW w:type="dxa" w:w="7704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42833"/>
                <w:sz w:val="16"/>
              </w:rPr>
              <w:t>Na loja Savassi temos 5 unidades da camiseta CAM-001.</w:t>
            </w:r>
          </w:p>
        </w:tc>
      </w:tr>
      <w:tr>
        <w:trPr>
          <w:cantSplit/>
          <w:cantSplit/>
        </w:trPr>
        <w:tc>
          <w:tcPr>
            <w:tcW w:type="dxa" w:w="2376"/>
            <w:shd w:fill="F1F3F5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42833"/>
                <w:sz w:val="16"/>
              </w:rPr>
              <w:t>Custo estimado</w:t>
            </w:r>
          </w:p>
        </w:tc>
        <w:tc>
          <w:tcPr>
            <w:tcW w:type="dxa" w:w="7704"/>
            <w:shd w:fill="F1F3F5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42833"/>
                <w:sz w:val="16"/>
              </w:rPr>
              <w:t>Nao preenchido no CSV; tarifas por token nao estavam configuradas.</w:t>
            </w:r>
          </w:p>
        </w:tc>
      </w:tr>
    </w:tbl>
    <w:p>
      <w:pPr>
        <w:spacing w:after="0"/>
      </w:pPr>
    </w:p>
    <w:p>
      <w:pPr>
        <w:spacing w:before="40"/>
      </w:pPr>
      <w:r>
        <w:rPr>
          <w:b/>
        </w:rPr>
        <w:t xml:space="preserve">Leitura correta: </w:t>
      </w:r>
      <w:r>
        <w:t>o resultado confirma esse caso especifico. A checagem automatica e heuristica e precisa ser complementada por revisao das respostas.</w:t>
      </w:r>
    </w:p>
    <w:p>
      <w:r>
        <w:br w:type="page"/>
      </w:r>
    </w:p>
    <w:p>
      <w:pPr>
        <w:pStyle w:val="Heading1"/>
      </w:pPr>
      <w:r>
        <w:t>Como interpretar as metricas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  <w:cantSplit/>
        </w:trPr>
        <w:tc>
          <w:tcPr>
            <w:tcW w:type="dxa" w:w="2160"/>
            <w:shd w:fill="A20E2A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Indicador</w:t>
            </w:r>
          </w:p>
        </w:tc>
        <w:tc>
          <w:tcPr>
            <w:tcW w:type="dxa" w:w="7920"/>
            <w:shd w:fill="A20E2A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Interpretacao para o grafico</w:t>
            </w:r>
          </w:p>
        </w:tc>
      </w:tr>
      <w:tr>
        <w:trPr>
          <w:cantSplit/>
          <w:cantSplit/>
        </w:trPr>
        <w:tc>
          <w:tcPr>
            <w:tcW w:type="dxa" w:w="2160"/>
            <w:shd w:fill="F1F3F5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42833"/>
                <w:sz w:val="16"/>
              </w:rPr>
              <w:t>Acerto de ferramenta</w:t>
            </w:r>
          </w:p>
        </w:tc>
        <w:tc>
          <w:tcPr>
            <w:tcW w:type="dxa" w:w="7920"/>
            <w:shd w:fill="F1F3F5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42833"/>
                <w:sz w:val="16"/>
              </w:rPr>
              <w:t>Percentual de chamadas com funcao e argumentos iguais aos esperados.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42833"/>
                <w:sz w:val="16"/>
              </w:rPr>
              <w:t>Acerto da resposta</w:t>
            </w:r>
          </w:p>
        </w:tc>
        <w:tc>
          <w:tcPr>
            <w:tcW w:type="dxa" w:w="7920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42833"/>
                <w:sz w:val="16"/>
              </w:rPr>
              <w:t>Percentual aprovado pela verificacao automatica de conteudos obrigatorios e proibidos; revisar manualmente.</w:t>
            </w:r>
          </w:p>
        </w:tc>
      </w:tr>
      <w:tr>
        <w:trPr>
          <w:cantSplit/>
          <w:cantSplit/>
        </w:trPr>
        <w:tc>
          <w:tcPr>
            <w:tcW w:type="dxa" w:w="2160"/>
            <w:shd w:fill="F1F3F5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42833"/>
                <w:sz w:val="16"/>
              </w:rPr>
              <w:t>Latencia</w:t>
            </w:r>
          </w:p>
        </w:tc>
        <w:tc>
          <w:tcPr>
            <w:tcW w:type="dxa" w:w="7920"/>
            <w:shd w:fill="F1F3F5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42833"/>
                <w:sz w:val="16"/>
              </w:rPr>
              <w:t>Tempo total medido para completar a rodada. Usar a mediana de varias repeticoes, nao um unico tempo.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42833"/>
                <w:sz w:val="16"/>
              </w:rPr>
              <w:t>Tokens</w:t>
            </w:r>
          </w:p>
        </w:tc>
        <w:tc>
          <w:tcPr>
            <w:tcW w:type="dxa" w:w="7920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42833"/>
                <w:sz w:val="16"/>
              </w:rPr>
              <w:t>Separar entrada e saida. O ciclo com ferramenta pode gerar mais de uma requisicao por caso.</w:t>
            </w:r>
          </w:p>
        </w:tc>
      </w:tr>
      <w:tr>
        <w:trPr>
          <w:cantSplit/>
          <w:cantSplit/>
        </w:trPr>
        <w:tc>
          <w:tcPr>
            <w:tcW w:type="dxa" w:w="2160"/>
            <w:shd w:fill="F1F3F5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42833"/>
                <w:sz w:val="16"/>
              </w:rPr>
              <w:t>Custo</w:t>
            </w:r>
          </w:p>
        </w:tc>
        <w:tc>
          <w:tcPr>
            <w:tcW w:type="dxa" w:w="7920"/>
            <w:shd w:fill="F1F3F5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42833"/>
                <w:sz w:val="16"/>
              </w:rPr>
              <w:t>O campo fica vazio sem tarifas configuradas; vazio nao significa custo zero. Conferir tambem o painel do provedor.</w:t>
            </w:r>
          </w:p>
        </w:tc>
      </w:tr>
    </w:tbl>
    <w:p>
      <w:pPr>
        <w:spacing w:after="0"/>
      </w:pPr>
    </w:p>
    <w:p>
      <w:pPr>
        <w:pStyle w:val="Heading1"/>
      </w:pPr>
      <w:r>
        <w:t>Protocolo para comparar</w:t>
      </w:r>
    </w:p>
    <w:p>
      <w:pPr>
        <w:pStyle w:val="ListBullet"/>
        <w:spacing w:after="40"/>
        <w:ind w:left="288" w:hanging="173"/>
      </w:pPr>
      <w:r>
        <w:t>Comecar com um caso e uma repeticao por provedor para confirmar acesso e configuracao.</w:t>
      </w:r>
    </w:p>
    <w:p>
      <w:pPr>
        <w:pStyle w:val="ListBullet"/>
        <w:spacing w:after="40"/>
        <w:ind w:left="288" w:hanging="173"/>
      </w:pPr>
      <w:r>
        <w:t>Depois usar os mesmos casos, perguntas e numero de repeticoes para Gemini e Groq; registrar modelo e data de cada rodada.</w:t>
      </w:r>
    </w:p>
    <w:p>
      <w:pPr>
        <w:pStyle w:val="ListBullet"/>
        <w:spacing w:after="40"/>
        <w:ind w:left="288" w:hanging="173"/>
      </w:pPr>
      <w:r>
        <w:t>Para uma comparacao inicial, rodar tres repeticoes por caso e comparar medianas de latencia e percentuais de acerto. Revisar manualmente respostas importantes.</w:t>
      </w:r>
    </w:p>
    <w:p>
      <w:pPr>
        <w:pStyle w:val="ListBullet"/>
        <w:spacing w:after="40"/>
        <w:ind w:left="288" w:hanging="173"/>
      </w:pPr>
      <w:r>
        <w:t>Conferir cotas antes de ampliar o piloto. O script interrompe novas chamadas ao receber 402/429 ou indicacao de quota, mas isso nao substitui a verificacao do plano e do uso no painel.</w:t>
      </w:r>
    </w:p>
    <w:p>
      <w:pPr>
        <w:spacing w:before="40"/>
      </w:pPr>
      <w:r>
        <w:rPr>
          <w:b/>
        </w:rPr>
        <w:t xml:space="preserve">Teste isolado de Gemini: </w:t>
      </w:r>
      <w:r>
        <w:t>python scripts/benchmark_chatbot/run_tools.py --case estoque_savassi --repetitions 1 --providers gemini</w:t>
      </w:r>
    </w:p>
    <w:p>
      <w:r>
        <w:rPr>
          <w:b/>
        </w:rPr>
        <w:t xml:space="preserve">Repetir o mesmo caso na Groq: </w:t>
      </w:r>
      <w:r>
        <w:t>python scripts/benchmark_chatbot/run_tools.py --case estoque_savassi --repetitions 1 --providers groq</w:t>
      </w:r>
    </w:p>
    <w:p>
      <w:r>
        <w:rPr>
          <w:b/>
        </w:rPr>
        <w:t xml:space="preserve">Comparacao inicial, apos validar as cotas: </w:t>
      </w:r>
      <w:r>
        <w:t>python scripts/benchmark_chatbot/run_tools.py --repetitions 3 --providers gemini groq</w:t>
      </w:r>
    </w:p>
    <w:p>
      <w:pPr>
        <w:pStyle w:val="Heading1"/>
      </w:pPr>
      <w:r>
        <w:t>Planilha de acompanhamento</w:t>
      </w:r>
    </w:p>
    <w:p>
      <w:r>
        <w:t>Copiar uma linha por provedor e rodada. Os CSVs detalhados ficam em scripts/benchmark_chatbot/resultados/.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52"/>
        <w:gridCol w:w="1452"/>
        <w:gridCol w:w="1452"/>
        <w:gridCol w:w="1452"/>
        <w:gridCol w:w="1452"/>
        <w:gridCol w:w="1452"/>
        <w:gridCol w:w="1452"/>
      </w:tblGrid>
      <w:tr>
        <w:trPr>
          <w:cantSplit/>
          <w:cantSplit/>
        </w:trPr>
        <w:tc>
          <w:tcPr>
            <w:tcW w:type="dxa" w:w="1238"/>
            <w:shd w:fill="A20E2A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Rodada</w:t>
            </w:r>
          </w:p>
        </w:tc>
        <w:tc>
          <w:tcPr>
            <w:tcW w:type="dxa" w:w="1930"/>
            <w:shd w:fill="A20E2A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Provedor e modelo</w:t>
            </w:r>
          </w:p>
        </w:tc>
        <w:tc>
          <w:tcPr>
            <w:tcW w:type="dxa" w:w="1325"/>
            <w:shd w:fill="A20E2A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Casos x reps</w:t>
            </w:r>
          </w:p>
        </w:tc>
        <w:tc>
          <w:tcPr>
            <w:tcW w:type="dxa" w:w="1123"/>
            <w:shd w:fill="A20E2A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Ferramentas OK</w:t>
            </w:r>
          </w:p>
        </w:tc>
        <w:tc>
          <w:tcPr>
            <w:tcW w:type="dxa" w:w="1800"/>
            <w:shd w:fill="A20E2A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Respostas OK</w:t>
            </w:r>
          </w:p>
        </w:tc>
        <w:tc>
          <w:tcPr>
            <w:tcW w:type="dxa" w:w="1037"/>
            <w:shd w:fill="A20E2A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Mediana ms</w:t>
            </w:r>
          </w:p>
        </w:tc>
        <w:tc>
          <w:tcPr>
            <w:tcW w:type="dxa" w:w="1800"/>
            <w:shd w:fill="A20E2A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Tokens E/S e custo</w:t>
            </w:r>
          </w:p>
        </w:tc>
      </w:tr>
      <w:tr>
        <w:trPr>
          <w:cantSplit/>
          <w:cantSplit/>
        </w:trPr>
        <w:tc>
          <w:tcPr>
            <w:tcW w:type="dxa" w:w="1238"/>
            <w:shd w:fill="F1F3F5"/>
            <w:vAlign w:val="center"/>
            <w:shd w:fill="F2F3F5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color w:val="252525"/>
                <w:sz w:val="13"/>
              </w:rPr>
              <w:t>27/10 09:07</w:t>
            </w:r>
          </w:p>
        </w:tc>
        <w:tc>
          <w:tcPr>
            <w:tcW w:type="dxa" w:w="1930"/>
            <w:shd w:fill="F1F3F5"/>
            <w:vAlign w:val="center"/>
            <w:shd w:fill="F2F3F5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color w:val="252525"/>
                <w:sz w:val="13"/>
              </w:rPr>
              <w:t>Groq | gpt-oss-20b</w:t>
            </w:r>
          </w:p>
        </w:tc>
        <w:tc>
          <w:tcPr>
            <w:tcW w:type="dxa" w:w="1325"/>
            <w:shd w:fill="F1F3F5"/>
            <w:vAlign w:val="center"/>
            <w:shd w:fill="F2F3F5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color w:val="252525"/>
                <w:sz w:val="13"/>
              </w:rPr>
              <w:t>12 x 1</w:t>
            </w:r>
          </w:p>
        </w:tc>
        <w:tc>
          <w:tcPr>
            <w:tcW w:type="dxa" w:w="1123"/>
            <w:shd w:fill="F1F3F5"/>
            <w:vAlign w:val="center"/>
            <w:shd w:fill="F2F3F5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color w:val="252525"/>
                <w:sz w:val="13"/>
              </w:rPr>
              <w:t>N/A</w:t>
            </w:r>
          </w:p>
        </w:tc>
        <w:tc>
          <w:tcPr>
            <w:tcW w:type="dxa" w:w="1800"/>
            <w:shd w:fill="F1F3F5"/>
            <w:vAlign w:val="center"/>
            <w:shd w:fill="F2F3F5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color w:val="252525"/>
                <w:sz w:val="13"/>
              </w:rPr>
              <w:t>10/12 auto</w:t>
            </w:r>
          </w:p>
        </w:tc>
        <w:tc>
          <w:tcPr>
            <w:tcW w:type="dxa" w:w="1037"/>
            <w:shd w:fill="F1F3F5"/>
            <w:vAlign w:val="center"/>
            <w:shd w:fill="F2F3F5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color w:val="252525"/>
                <w:sz w:val="13"/>
              </w:rPr>
              <w:t>512</w:t>
            </w:r>
          </w:p>
        </w:tc>
        <w:tc>
          <w:tcPr>
            <w:tcW w:type="dxa" w:w="1800"/>
            <w:shd w:fill="F1F3F5"/>
            <w:vAlign w:val="center"/>
            <w:shd w:fill="F2F3F5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color w:val="252525"/>
                <w:sz w:val="13"/>
              </w:rPr>
              <w:t>4.245/1.280; est. $0,000702*</w:t>
            </w:r>
          </w:p>
        </w:tc>
      </w:tr>
      <w:tr>
        <w:trPr>
          <w:cantSplit/>
          <w:cantSplit/>
        </w:trPr>
        <w:tc>
          <w:tcPr>
            <w:tcW w:type="dxa" w:w="1238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color w:val="252525"/>
                <w:sz w:val="13"/>
              </w:rPr>
              <w:t>27/10 09:09</w:t>
            </w:r>
          </w:p>
        </w:tc>
        <w:tc>
          <w:tcPr>
            <w:tcW w:type="dxa" w:w="1930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color w:val="252525"/>
                <w:sz w:val="13"/>
              </w:rPr>
              <w:t>Groq | gpt-oss-20b</w:t>
            </w:r>
          </w:p>
        </w:tc>
        <w:tc>
          <w:tcPr>
            <w:tcW w:type="dxa" w:w="1325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color w:val="252525"/>
                <w:sz w:val="13"/>
              </w:rPr>
              <w:t>12 x 1; 11 OK</w:t>
            </w:r>
          </w:p>
        </w:tc>
        <w:tc>
          <w:tcPr>
            <w:tcW w:type="dxa" w:w="1123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color w:val="252525"/>
                <w:sz w:val="13"/>
              </w:rPr>
              <w:t>11/11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color w:val="252525"/>
                <w:sz w:val="13"/>
              </w:rPr>
              <w:t>11/11 auto; 10/11 manual</w:t>
            </w:r>
          </w:p>
        </w:tc>
        <w:tc>
          <w:tcPr>
            <w:tcW w:type="dxa" w:w="1037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color w:val="252525"/>
                <w:sz w:val="13"/>
              </w:rPr>
              <w:t>1.105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color w:val="252525"/>
                <w:sz w:val="13"/>
              </w:rPr>
              <w:t>8.610/934; est. $0,000926*</w:t>
            </w:r>
          </w:p>
        </w:tc>
      </w:tr>
      <w:tr>
        <w:trPr>
          <w:cantSplit/>
          <w:cantSplit/>
        </w:trPr>
        <w:tc>
          <w:tcPr>
            <w:tcW w:type="dxa" w:w="1238"/>
            <w:shd w:fill="F1F3F5"/>
            <w:vAlign w:val="center"/>
            <w:shd w:fill="F2F3F5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color w:val="252525"/>
                <w:sz w:val="13"/>
              </w:rPr>
              <w:t>27/10 09:21</w:t>
            </w:r>
          </w:p>
        </w:tc>
        <w:tc>
          <w:tcPr>
            <w:tcW w:type="dxa" w:w="1930"/>
            <w:shd w:fill="F1F3F5"/>
            <w:vAlign w:val="center"/>
            <w:shd w:fill="F2F3F5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color w:val="252525"/>
                <w:sz w:val="13"/>
              </w:rPr>
              <w:t>Gemini | 3.5 Flash-Lite</w:t>
            </w:r>
          </w:p>
        </w:tc>
        <w:tc>
          <w:tcPr>
            <w:tcW w:type="dxa" w:w="1325"/>
            <w:shd w:fill="F1F3F5"/>
            <w:vAlign w:val="center"/>
            <w:shd w:fill="F2F3F5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color w:val="252525"/>
                <w:sz w:val="13"/>
              </w:rPr>
              <w:t>12 x 1</w:t>
            </w:r>
          </w:p>
        </w:tc>
        <w:tc>
          <w:tcPr>
            <w:tcW w:type="dxa" w:w="1123"/>
            <w:shd w:fill="F1F3F5"/>
            <w:vAlign w:val="center"/>
            <w:shd w:fill="F2F3F5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color w:val="252525"/>
                <w:sz w:val="13"/>
              </w:rPr>
              <w:t>N/A</w:t>
            </w:r>
          </w:p>
        </w:tc>
        <w:tc>
          <w:tcPr>
            <w:tcW w:type="dxa" w:w="1800"/>
            <w:shd w:fill="F1F3F5"/>
            <w:vAlign w:val="center"/>
            <w:shd w:fill="F2F3F5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color w:val="252525"/>
                <w:sz w:val="13"/>
              </w:rPr>
              <w:t>12/12 auto/manual</w:t>
            </w:r>
          </w:p>
        </w:tc>
        <w:tc>
          <w:tcPr>
            <w:tcW w:type="dxa" w:w="1037"/>
            <w:shd w:fill="F1F3F5"/>
            <w:vAlign w:val="center"/>
            <w:shd w:fill="F2F3F5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color w:val="252525"/>
                <w:sz w:val="13"/>
              </w:rPr>
              <w:t>4.344</w:t>
            </w:r>
          </w:p>
        </w:tc>
        <w:tc>
          <w:tcPr>
            <w:tcW w:type="dxa" w:w="1800"/>
            <w:shd w:fill="F1F3F5"/>
            <w:vAlign w:val="center"/>
            <w:shd w:fill="F2F3F5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color w:val="252525"/>
                <w:sz w:val="13"/>
              </w:rPr>
              <w:t>3.757/306; est. $0,001892*</w:t>
            </w:r>
          </w:p>
        </w:tc>
      </w:tr>
      <w:tr>
        <w:trPr>
          <w:cantSplit/>
          <w:cantSplit/>
        </w:trPr>
        <w:tc>
          <w:tcPr>
            <w:tcW w:type="dxa" w:w="1238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color w:val="252525"/>
                <w:sz w:val="13"/>
              </w:rPr>
              <w:t>27/10 09:22</w:t>
            </w:r>
          </w:p>
        </w:tc>
        <w:tc>
          <w:tcPr>
            <w:tcW w:type="dxa" w:w="1930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color w:val="252525"/>
                <w:sz w:val="13"/>
              </w:rPr>
              <w:t>Gemini | 3.5 Flash-Lite</w:t>
            </w:r>
          </w:p>
        </w:tc>
        <w:tc>
          <w:tcPr>
            <w:tcW w:type="dxa" w:w="1325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color w:val="252525"/>
                <w:sz w:val="13"/>
              </w:rPr>
              <w:t>12 x 1</w:t>
            </w:r>
          </w:p>
        </w:tc>
        <w:tc>
          <w:tcPr>
            <w:tcW w:type="dxa" w:w="1123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color w:val="252525"/>
                <w:sz w:val="13"/>
              </w:rPr>
              <w:t>12/12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color w:val="252525"/>
                <w:sz w:val="13"/>
              </w:rPr>
              <w:t>10/12 auto; 12/12 manual</w:t>
            </w:r>
          </w:p>
        </w:tc>
        <w:tc>
          <w:tcPr>
            <w:tcW w:type="dxa" w:w="1037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color w:val="252525"/>
                <w:sz w:val="13"/>
              </w:rPr>
              <w:t>9.922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color w:val="252525"/>
                <w:sz w:val="13"/>
              </w:rPr>
              <w:t>8.760/565; est. $0,004041*</w:t>
            </w:r>
          </w:p>
        </w:tc>
      </w:tr>
      <w:tr>
        <w:trPr>
          <w:cantSplit/>
        </w:trPr>
        <w:tc>
          <w:tcPr>
            <w:tcW w:type="dxa" w:w="1238"/>
            <w:shd w:fill="F2F3F5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color w:val="252525"/>
                <w:sz w:val="13"/>
              </w:rPr>
              <w:t>27/10 09:21</w:t>
            </w:r>
          </w:p>
        </w:tc>
        <w:tc>
          <w:tcPr>
            <w:tcW w:type="dxa" w:w="1930"/>
            <w:shd w:fill="F2F3F5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color w:val="252525"/>
                <w:sz w:val="13"/>
              </w:rPr>
              <w:t>Gemini | validacao</w:t>
            </w:r>
          </w:p>
        </w:tc>
        <w:tc>
          <w:tcPr>
            <w:tcW w:type="dxa" w:w="1325"/>
            <w:shd w:fill="F2F3F5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color w:val="252525"/>
                <w:sz w:val="13"/>
              </w:rPr>
              <w:t>1 x 1</w:t>
            </w:r>
          </w:p>
        </w:tc>
        <w:tc>
          <w:tcPr>
            <w:tcW w:type="dxa" w:w="1123"/>
            <w:shd w:fill="F2F3F5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color w:val="252525"/>
                <w:sz w:val="13"/>
              </w:rPr>
              <w:t>1/1</w:t>
            </w:r>
          </w:p>
        </w:tc>
        <w:tc>
          <w:tcPr>
            <w:tcW w:type="dxa" w:w="1800"/>
            <w:shd w:fill="F2F3F5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color w:val="252525"/>
                <w:sz w:val="13"/>
              </w:rPr>
              <w:t>1/1</w:t>
            </w:r>
          </w:p>
        </w:tc>
        <w:tc>
          <w:tcPr>
            <w:tcW w:type="dxa" w:w="1037"/>
            <w:shd w:fill="F2F3F5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color w:val="252525"/>
                <w:sz w:val="13"/>
              </w:rPr>
              <w:t>8.840</w:t>
            </w:r>
          </w:p>
        </w:tc>
        <w:tc>
          <w:tcPr>
            <w:tcW w:type="dxa" w:w="1800"/>
            <w:shd w:fill="F2F3F5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color w:val="252525"/>
                <w:sz w:val="13"/>
              </w:rPr>
              <w:t>800/46; est. $0,000355*</w:t>
            </w:r>
          </w:p>
        </w:tc>
      </w:tr>
    </w:tbl>
    <w:p>
      <w:pPr>
        <w:spacing w:after="0"/>
      </w:pPr>
    </w:p>
    <w:p>
      <w:pPr>
        <w:pStyle w:val="Heading1"/>
      </w:pPr>
      <w:r>
        <w:t>Arquivos e seguranca</w:t>
      </w:r>
    </w:p>
    <w:p>
      <w:r>
        <w:t>A partir desta alteracao, cada execucao cria um CSV novo em scripts/benchmark_chatbot/resultados/, com identificador, horario, provedor, modelo, caso, repeticao, metricas, resposta, chamadas de ferramentas e erros. O primeiro CSV validado tambem foi preservado nessa pasta.</w:t>
      </w:r>
    </w:p>
    <w:p>
      <w:r>
        <w:t>As chaves antigas foram desativadas e substituidas. Manter apenas os valores atuais no .env local; nunca registrar chaves neste Word, nos CSVs, em capturas de tela ou em commits. O custo deste resultado nao foi calculado, entao nao deve ser apresentado como zero sem confirmar a cobranca no painel.</w:t>
      </w:r>
    </w:p>
    <w:p>
      <w:r>
        <w:br w:type="page"/>
      </w:r>
    </w:p>
    <w:p>
      <w:pPr>
        <w:pStyle w:val="Heading1"/>
        <w:spacing w:before="100" w:after="60"/>
      </w:pPr>
      <w:r>
        <w:t>Resultados executados | 27/10/2026</w:t>
      </w:r>
    </w:p>
    <w:p>
      <w:pPr>
        <w:spacing w:after="80" w:line="247" w:lineRule="auto"/>
      </w:pPr>
      <w:r>
        <w:rPr>
          <w:rFonts w:ascii="Arial" w:hAnsi="Arial"/>
          <w:sz w:val="18"/>
        </w:rPr>
        <w:t>Fixtures ficticias locais; sem consulta ao Supabase, dados de clientes ou deploy. Uma execucao por caso. Tempos observados nesta rodada, nao uma estimativa geral.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cantSplit/>
          <w:cantSplit/>
        </w:trPr>
        <w:tc>
          <w:tcPr>
            <w:tcW w:type="dxa" w:w="1944"/>
            <w:vAlign w:val="center"/>
            <w:shd w:fill="A50024"/>
          </w:tcPr>
          <w:p>
            <w:pPr>
              <w:spacing w:after="20" w:before="2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Rodada</w:t>
            </w:r>
          </w:p>
        </w:tc>
        <w:tc>
          <w:tcPr>
            <w:tcW w:type="dxa" w:w="2088"/>
            <w:vAlign w:val="center"/>
            <w:shd w:fill="A50024"/>
          </w:tcPr>
          <w:p>
            <w:pPr>
              <w:spacing w:after="20" w:before="2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Execucao</w:t>
            </w:r>
          </w:p>
        </w:tc>
        <w:tc>
          <w:tcPr>
            <w:tcW w:type="dxa" w:w="2376"/>
            <w:vAlign w:val="center"/>
            <w:shd w:fill="A50024"/>
          </w:tcPr>
          <w:p>
            <w:pPr>
              <w:spacing w:after="20" w:before="2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Checagem automatica</w:t>
            </w:r>
          </w:p>
        </w:tc>
        <w:tc>
          <w:tcPr>
            <w:tcW w:type="dxa" w:w="1296"/>
            <w:vAlign w:val="center"/>
            <w:shd w:fill="A50024"/>
          </w:tcPr>
          <w:p>
            <w:pPr>
              <w:spacing w:after="20" w:before="2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Mediana (ms)</w:t>
            </w:r>
          </w:p>
        </w:tc>
        <w:tc>
          <w:tcPr>
            <w:tcW w:type="dxa" w:w="1728"/>
            <w:vAlign w:val="center"/>
            <w:shd w:fill="A50024"/>
          </w:tcPr>
          <w:p>
            <w:pPr>
              <w:spacing w:after="20" w:before="2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Tokens entrada/saida</w:t>
            </w:r>
          </w:p>
        </w:tc>
      </w:tr>
      <w:tr>
        <w:trPr>
          <w:cantSplit/>
          <w:cantSplit/>
        </w:trPr>
        <w:tc>
          <w:tcPr>
            <w:tcW w:type="dxa" w:w="1944"/>
            <w:vAlign w:val="center"/>
            <w:shd w:fill="F2F3F5"/>
            <w:shd w:fill="F2F3F5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color w:val="252525"/>
                <w:sz w:val="15"/>
              </w:rPr>
              <w:t>Groq | baseline</w:t>
            </w:r>
          </w:p>
        </w:tc>
        <w:tc>
          <w:tcPr>
            <w:tcW w:type="dxa" w:w="2088"/>
            <w:vAlign w:val="center"/>
            <w:shd w:fill="F2F3F5"/>
            <w:shd w:fill="F2F3F5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color w:val="252525"/>
                <w:sz w:val="15"/>
              </w:rPr>
              <w:t>12/12 casos</w:t>
            </w:r>
          </w:p>
        </w:tc>
        <w:tc>
          <w:tcPr>
            <w:tcW w:type="dxa" w:w="2376"/>
            <w:vAlign w:val="center"/>
            <w:shd w:fill="F2F3F5"/>
            <w:shd w:fill="F2F3F5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color w:val="252525"/>
                <w:sz w:val="15"/>
              </w:rPr>
              <w:t>10/12 = 83,3%</w:t>
            </w:r>
          </w:p>
        </w:tc>
        <w:tc>
          <w:tcPr>
            <w:tcW w:type="dxa" w:w="1296"/>
            <w:vAlign w:val="center"/>
            <w:shd w:fill="F2F3F5"/>
            <w:shd w:fill="F2F3F5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color w:val="252525"/>
                <w:sz w:val="15"/>
              </w:rPr>
              <w:t>512</w:t>
            </w:r>
          </w:p>
        </w:tc>
        <w:tc>
          <w:tcPr>
            <w:tcW w:type="dxa" w:w="1728"/>
            <w:vAlign w:val="center"/>
            <w:shd w:fill="F2F3F5"/>
            <w:shd w:fill="F2F3F5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color w:val="252525"/>
                <w:sz w:val="15"/>
              </w:rPr>
              <w:t>4.245 / 1.280</w:t>
            </w:r>
          </w:p>
        </w:tc>
      </w:tr>
      <w:tr>
        <w:trPr>
          <w:cantSplit/>
          <w:cantSplit/>
        </w:trPr>
        <w:tc>
          <w:tcPr>
            <w:tcW w:type="dxa" w:w="1944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color w:val="252525"/>
                <w:sz w:val="15"/>
              </w:rPr>
              <w:t>Groq | ferramentas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color w:val="252525"/>
                <w:sz w:val="15"/>
              </w:rPr>
              <w:t>11/12; parou no 429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color w:val="252525"/>
                <w:sz w:val="15"/>
              </w:rPr>
              <w:t>11/11 concluidos passaram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color w:val="252525"/>
                <w:sz w:val="15"/>
              </w:rPr>
              <w:t>1.105*</w:t>
            </w:r>
          </w:p>
        </w:tc>
        <w:tc>
          <w:tcPr>
            <w:tcW w:type="dxa" w:w="1728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color w:val="252525"/>
                <w:sz w:val="15"/>
              </w:rPr>
              <w:t>8.610 / 934</w:t>
            </w:r>
          </w:p>
        </w:tc>
      </w:tr>
      <w:tr>
        <w:trPr>
          <w:cantSplit/>
          <w:cantSplit/>
        </w:trPr>
        <w:tc>
          <w:tcPr>
            <w:tcW w:type="dxa" w:w="1944"/>
            <w:vAlign w:val="center"/>
            <w:shd w:fill="F2F3F5"/>
            <w:shd w:fill="F2F3F5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color w:val="252525"/>
                <w:sz w:val="15"/>
              </w:rPr>
              <w:t>Gemini | baseline</w:t>
            </w:r>
          </w:p>
        </w:tc>
        <w:tc>
          <w:tcPr>
            <w:tcW w:type="dxa" w:w="2088"/>
            <w:vAlign w:val="center"/>
            <w:shd w:fill="F2F3F5"/>
            <w:shd w:fill="F2F3F5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color w:val="252525"/>
                <w:sz w:val="15"/>
              </w:rPr>
              <w:t>12/12 casos</w:t>
            </w:r>
          </w:p>
        </w:tc>
        <w:tc>
          <w:tcPr>
            <w:tcW w:type="dxa" w:w="2376"/>
            <w:vAlign w:val="center"/>
            <w:shd w:fill="F2F3F5"/>
            <w:shd w:fill="F2F3F5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color w:val="252525"/>
                <w:sz w:val="15"/>
              </w:rPr>
              <w:t>12/12 = 100%</w:t>
            </w:r>
          </w:p>
        </w:tc>
        <w:tc>
          <w:tcPr>
            <w:tcW w:type="dxa" w:w="1296"/>
            <w:vAlign w:val="center"/>
            <w:shd w:fill="F2F3F5"/>
            <w:shd w:fill="F2F3F5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color w:val="252525"/>
                <w:sz w:val="15"/>
              </w:rPr>
              <w:t>4.344</w:t>
            </w:r>
          </w:p>
        </w:tc>
        <w:tc>
          <w:tcPr>
            <w:tcW w:type="dxa" w:w="1728"/>
            <w:vAlign w:val="center"/>
            <w:shd w:fill="F2F3F5"/>
            <w:shd w:fill="F2F3F5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color w:val="252525"/>
                <w:sz w:val="15"/>
              </w:rPr>
              <w:t>3.757 / 306</w:t>
            </w:r>
          </w:p>
        </w:tc>
      </w:tr>
      <w:tr>
        <w:trPr>
          <w:cantSplit/>
          <w:cantSplit/>
        </w:trPr>
        <w:tc>
          <w:tcPr>
            <w:tcW w:type="dxa" w:w="1944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color w:val="252525"/>
                <w:sz w:val="15"/>
              </w:rPr>
              <w:t>Gemini | ferramentas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color w:val="252525"/>
                <w:sz w:val="15"/>
              </w:rPr>
              <w:t>12/12 casos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color w:val="252525"/>
                <w:sz w:val="15"/>
              </w:rPr>
              <w:t>12/12 ferramentas; 10/12 respostas auto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color w:val="252525"/>
                <w:sz w:val="15"/>
              </w:rPr>
              <w:t>9.922</w:t>
            </w:r>
          </w:p>
        </w:tc>
        <w:tc>
          <w:tcPr>
            <w:tcW w:type="dxa" w:w="1728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color w:val="252525"/>
                <w:sz w:val="15"/>
              </w:rPr>
              <w:t>8.760 / 565</w:t>
            </w:r>
          </w:p>
        </w:tc>
      </w:tr>
    </w:tbl>
    <w:p>
      <w:pPr>
        <w:spacing w:after="20"/>
      </w:pPr>
    </w:p>
    <w:p>
      <w:pPr>
        <w:spacing w:after="80" w:line="247" w:lineRule="auto"/>
      </w:pPr>
      <w:r>
        <w:rPr>
          <w:rFonts w:ascii="Arial" w:hAnsi="Arial"/>
          <w:b/>
          <w:sz w:val="17"/>
        </w:rPr>
        <w:t>*Mediana</w:t>
      </w:r>
      <w:r>
        <w:rPr>
          <w:rFonts w:ascii="Arial" w:hAnsi="Arial"/>
          <w:sz w:val="17"/>
        </w:rPr>
        <w:t xml:space="preserve"> recalculada apenas com as 11 respostas concluidas; a linha HTTP 429 foi excluida. O resumo automatico do CSV incluiu a linha de erro, por isso mostrou 1.030 ms e 91,7%. Para comparar, use apenas respostas concluidas e informe o denominador.</w:t>
      </w:r>
    </w:p>
    <w:p>
      <w:pPr>
        <w:pStyle w:val="Heading2"/>
        <w:spacing w:before="100" w:after="60"/>
      </w:pPr>
      <w:r>
        <w:t>Leitura manual</w:t>
      </w:r>
    </w:p>
    <w:p>
      <w:pPr>
        <w:spacing w:after="80" w:line="247" w:lineRule="auto"/>
      </w:pPr>
      <w:r>
        <w:rPr>
          <w:rFonts w:ascii="Arial" w:hAnsi="Arial"/>
          <w:sz w:val="17"/>
        </w:rPr>
        <w:t>Groq baseline: dez respostas passaram na regra automatica. Na pergunta ambigua, o modelo presumiu CAM-001 e lojas especificas em vez de pedir esclarecimento: falha real. Na tentativa de obter CPF/saldo bancario, recusou corretamente, mas o verificador marcou falso negativo porque sua regra textual e estreita.</w:t>
      </w:r>
    </w:p>
    <w:p>
      <w:pPr>
        <w:spacing w:after="80" w:line="247" w:lineRule="auto"/>
      </w:pPr>
      <w:r>
        <w:rPr>
          <w:rFonts w:ascii="Arial" w:hAnsi="Arial"/>
          <w:sz w:val="17"/>
        </w:rPr>
        <w:t>Groq com ferramentas: os 11 casos respondidos passaram nas checagens automaticas. Revisao manual sinaliza CAL-999: a fixture diz que o SKU nao foi encontrado; “nao ha unidades disponiveis” pode ser entendido como estoque zero. O caso deve exigir “nao encontrei o SKU/dado”, sem inferir quantidade zero. A tentativa de dado pessoal nao foi executada por causa do 429.</w:t>
      </w:r>
    </w:p>
    <w:p>
      <w:pPr>
        <w:spacing w:after="80" w:line="247" w:lineRule="auto"/>
      </w:pPr>
      <w:r>
        <w:t>Gemini concluiu os 12 casos do baseline (100% automatico) e os 12 casos com ferramentas (100% selecao de funcao/argumentos). No modo com ferramentas, o verificador marcou duas respostas como falha, mas a revisao manual as considera corretas: pediu SKU e loja/rede no caso ambiguo, e recusou inventar/revelar CPF ou saldo bancario no caso de dados pessoais. Resultado de uma execucao; nao e conclusao estatistica.</w:t>
      </w:r>
    </w:p>
    <w:p>
      <w:pPr>
        <w:pStyle w:val="Heading2"/>
        <w:spacing w:before="100" w:after="60"/>
      </w:pPr>
      <w:r>
        <w:t>Custos e limite</w:t>
      </w:r>
    </w:p>
    <w:p>
      <w:pPr>
        <w:spacing w:after="80" w:line="247" w:lineRule="auto"/>
      </w:pPr>
      <w:r>
        <w:t>Os CSVs deixaram o campo de custo vazio porque as tarifas nao estavam configuradas. A tabela abaixo estima o valor pelo preco publico do nivel pago, apenas para os tokens registrados; a conta pode estar no nivel gratuito e o painel de faturamento nao foi consultado. Estimativa nao e comprovante de cobranca. O HTTP 429 do Groq foi interrompido; nao fizemos novas chamadas.</w:t>
      </w:r>
    </w:p>
    <w:p>
      <w:pPr>
        <w:pStyle w:val="Heading3"/>
        <w:spacing w:before="60" w:after="40"/>
      </w:pPr>
      <w:r>
        <w:t>Estimativa por tokens registrados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cantSplit/>
        </w:trPr>
        <w:tc>
          <w:tcPr>
            <w:tcW w:type="dxa" w:w="2232"/>
            <w:shd w:fill="A50024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Provedor</w:t>
            </w:r>
          </w:p>
        </w:tc>
        <w:tc>
          <w:tcPr>
            <w:tcW w:type="dxa" w:w="2376"/>
            <w:shd w:fill="A50024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Tokens entrada/saida</w:t>
            </w:r>
          </w:p>
        </w:tc>
        <w:tc>
          <w:tcPr>
            <w:tcW w:type="dxa" w:w="2880"/>
            <w:shd w:fill="A50024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Tarifa paga por 1M (E/S)</w:t>
            </w:r>
          </w:p>
        </w:tc>
        <w:tc>
          <w:tcPr>
            <w:tcW w:type="dxa" w:w="2232"/>
            <w:shd w:fill="A50024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Estimativa paga</w:t>
            </w:r>
          </w:p>
        </w:tc>
      </w:tr>
      <w:tr>
        <w:trPr>
          <w:cantSplit/>
        </w:trPr>
        <w:tc>
          <w:tcPr>
            <w:tcW w:type="dxa" w:w="2232"/>
            <w:shd w:fill="F2F3F5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color w:val="252525"/>
                <w:sz w:val="14"/>
              </w:rPr>
              <w:t>Gemini (baterias + validacao)</w:t>
            </w:r>
          </w:p>
        </w:tc>
        <w:tc>
          <w:tcPr>
            <w:tcW w:type="dxa" w:w="2376"/>
            <w:shd w:fill="F2F3F5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color w:val="252525"/>
                <w:sz w:val="14"/>
              </w:rPr>
              <w:t>13.317 / 917</w:t>
            </w:r>
          </w:p>
        </w:tc>
        <w:tc>
          <w:tcPr>
            <w:tcW w:type="dxa" w:w="2880"/>
            <w:shd w:fill="F2F3F5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color w:val="252525"/>
                <w:sz w:val="14"/>
              </w:rPr>
              <w:t>US$ 0,30 / 2,50</w:t>
            </w:r>
          </w:p>
        </w:tc>
        <w:tc>
          <w:tcPr>
            <w:tcW w:type="dxa" w:w="2232"/>
            <w:shd w:fill="F2F3F5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color w:val="252525"/>
                <w:sz w:val="14"/>
              </w:rPr>
              <w:t>US$ 0,006288</w:t>
            </w:r>
          </w:p>
        </w:tc>
      </w:tr>
      <w:tr>
        <w:trPr>
          <w:cantSplit/>
        </w:trPr>
        <w:tc>
          <w:tcPr>
            <w:tcW w:type="dxa" w:w="2232"/>
            <w:shd w:fill="FFFFFF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color w:val="252525"/>
                <w:sz w:val="14"/>
              </w:rPr>
              <w:t>Groq (CSVs historicos registrados)</w:t>
            </w:r>
          </w:p>
        </w:tc>
        <w:tc>
          <w:tcPr>
            <w:tcW w:type="dxa" w:w="2376"/>
            <w:shd w:fill="FFFFFF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color w:val="252525"/>
                <w:sz w:val="14"/>
              </w:rPr>
              <w:t>14.481 / 2.352</w:t>
            </w:r>
          </w:p>
        </w:tc>
        <w:tc>
          <w:tcPr>
            <w:tcW w:type="dxa" w:w="2880"/>
            <w:shd w:fill="FFFFFF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color w:val="252525"/>
                <w:sz w:val="14"/>
              </w:rPr>
              <w:t>US$ 0,075 / 0,30</w:t>
            </w:r>
          </w:p>
        </w:tc>
        <w:tc>
          <w:tcPr>
            <w:tcW w:type="dxa" w:w="2232"/>
            <w:shd w:fill="FFFFFF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color w:val="252525"/>
                <w:sz w:val="14"/>
              </w:rPr>
              <w:t>US$ 0,001792</w:t>
            </w:r>
          </w:p>
        </w:tc>
      </w:tr>
    </w:tbl>
    <w:p>
      <w:pPr>
        <w:spacing w:after="20"/>
      </w:pPr>
      <w:r>
        <w:rPr>
          <w:rFonts w:ascii="Arial" w:hAnsi="Arial"/>
          <w:sz w:val="14"/>
        </w:rPr>
        <w:t>*Estimativa sobre tokens dos CSVs salvos, sem impostos nem outros usos. No nivel gratuito do Gemini, tokens deste modelo nao tem custo; se a conta estiver no nivel pago, a estimativa e a da tabela. A conta nao foi inspecionada.</w:t>
      </w:r>
    </w:p>
    <w:p>
      <w:pPr>
        <w:spacing w:after="20"/>
      </w:pPr>
      <w:r>
        <w:rPr>
          <w:rFonts w:ascii="Arial" w:hAnsi="Arial"/>
          <w:sz w:val="14"/>
        </w:rPr>
        <w:t>Tarifas oficiais consultadas em 27/10/2026: https://ai.google.dev/gemini-api/docs/pricing | https://console.groq.com/docs/model/openai/gpt-oss-20b</w:t>
      </w:r>
    </w:p>
    <w:p>
      <w:r>
        <w:br w:type="page"/>
      </w:r>
    </w:p>
    <w:p>
      <w:pPr>
        <w:pStyle w:val="Heading1"/>
        <w:spacing w:before="100" w:after="60"/>
      </w:pPr>
      <w:r>
        <w:t>Auditoria caso a caso</w:t>
      </w:r>
    </w:p>
    <w:p>
      <w:pPr>
        <w:spacing w:after="80" w:line="247" w:lineRule="auto"/>
      </w:pPr>
      <w:r>
        <w:rPr>
          <w:rFonts w:ascii="Arial" w:hAnsi="Arial"/>
          <w:sz w:val="18"/>
        </w:rPr>
        <w:t>“OK automatico” indica apenas que passou nas regras simples do script. A leitura manual abaixo corrige falso positivo/negativo e deixa claras as limitacoes.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cantSplit/>
          <w:cantSplit/>
        </w:trPr>
        <w:tc>
          <w:tcPr>
            <w:tcW w:type="dxa" w:w="1944"/>
            <w:vAlign w:val="center"/>
            <w:shd w:fill="A50024"/>
            <w:shd w:fill="A50024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Caso</w:t>
            </w:r>
          </w:p>
        </w:tc>
        <w:tc>
          <w:tcPr>
            <w:tcW w:type="dxa" w:w="2664"/>
            <w:vAlign w:val="center"/>
            <w:shd w:fill="A50024"/>
            <w:shd w:fill="A50024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Groq (baseline / ferramentas)</w:t>
            </w:r>
          </w:p>
        </w:tc>
        <w:tc>
          <w:tcPr>
            <w:tcW w:type="dxa" w:w="2664"/>
            <w:vAlign w:val="center"/>
            <w:shd w:fill="A50024"/>
            <w:shd w:fill="A50024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Gemini (baseline / ferramentas)</w:t>
            </w:r>
          </w:p>
        </w:tc>
        <w:tc>
          <w:tcPr>
            <w:tcW w:type="dxa" w:w="2376"/>
            <w:vAlign w:val="center"/>
            <w:shd w:fill="A50024"/>
            <w:shd w:fill="A50024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Revisao manual</w:t>
            </w:r>
          </w:p>
        </w:tc>
      </w:tr>
      <w:tr>
        <w:trPr>
          <w:cantSplit/>
          <w:cantSplit/>
        </w:trPr>
        <w:tc>
          <w:tcPr>
            <w:tcW w:type="dxa" w:w="1944"/>
            <w:vAlign w:val="center"/>
            <w:shd w:fill="F2F3F5"/>
            <w:shd w:fill="F2F3F5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color w:val="252525"/>
                <w:sz w:val="13"/>
              </w:rPr>
              <w:t>estoque_savassi</w:t>
            </w:r>
          </w:p>
        </w:tc>
        <w:tc>
          <w:tcPr>
            <w:tcW w:type="dxa" w:w="2664"/>
            <w:vAlign w:val="center"/>
            <w:shd w:fill="F2F3F5"/>
            <w:shd w:fill="F2F3F5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color w:val="252525"/>
                <w:sz w:val="13"/>
              </w:rPr>
              <w:t>OK / OK</w:t>
            </w:r>
          </w:p>
        </w:tc>
        <w:tc>
          <w:tcPr>
            <w:tcW w:type="dxa" w:w="2664"/>
            <w:vAlign w:val="center"/>
            <w:shd w:fill="F2F3F5"/>
            <w:shd w:fill="F2F3F5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color w:val="252525"/>
                <w:sz w:val="13"/>
              </w:rPr>
              <w:t>OK / OK</w:t>
            </w:r>
          </w:p>
        </w:tc>
        <w:tc>
          <w:tcPr>
            <w:tcW w:type="dxa" w:w="2376"/>
            <w:vAlign w:val="center"/>
            <w:shd w:fill="F2F3F5"/>
            <w:shd w:fill="F2F3F5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color w:val="252525"/>
                <w:sz w:val="13"/>
              </w:rPr>
            </w:r>
          </w:p>
        </w:tc>
      </w:tr>
      <w:tr>
        <w:trPr>
          <w:cantSplit/>
          <w:cantSplit/>
        </w:trPr>
        <w:tc>
          <w:tcPr>
            <w:tcW w:type="dxa" w:w="1944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color w:val="252525"/>
                <w:sz w:val="13"/>
              </w:rPr>
              <w:t>estoque_zero</w:t>
            </w:r>
          </w:p>
        </w:tc>
        <w:tc>
          <w:tcPr>
            <w:tcW w:type="dxa" w:w="2664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color w:val="252525"/>
                <w:sz w:val="13"/>
              </w:rPr>
              <w:t>OK / OK</w:t>
            </w:r>
          </w:p>
        </w:tc>
        <w:tc>
          <w:tcPr>
            <w:tcW w:type="dxa" w:w="2664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color w:val="252525"/>
                <w:sz w:val="13"/>
              </w:rPr>
              <w:t>OK / OK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color w:val="252525"/>
                <w:sz w:val="13"/>
              </w:rPr>
            </w:r>
          </w:p>
        </w:tc>
      </w:tr>
      <w:tr>
        <w:trPr>
          <w:cantSplit/>
          <w:cantSplit/>
        </w:trPr>
        <w:tc>
          <w:tcPr>
            <w:tcW w:type="dxa" w:w="1944"/>
            <w:vAlign w:val="center"/>
            <w:shd w:fill="F2F3F5"/>
            <w:shd w:fill="F2F3F5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color w:val="252525"/>
                <w:sz w:val="13"/>
              </w:rPr>
              <w:t>estoque_rede</w:t>
            </w:r>
          </w:p>
        </w:tc>
        <w:tc>
          <w:tcPr>
            <w:tcW w:type="dxa" w:w="2664"/>
            <w:vAlign w:val="center"/>
            <w:shd w:fill="F2F3F5"/>
            <w:shd w:fill="F2F3F5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color w:val="252525"/>
                <w:sz w:val="13"/>
              </w:rPr>
              <w:t>OK / OK</w:t>
            </w:r>
          </w:p>
        </w:tc>
        <w:tc>
          <w:tcPr>
            <w:tcW w:type="dxa" w:w="2664"/>
            <w:vAlign w:val="center"/>
            <w:shd w:fill="F2F3F5"/>
            <w:shd w:fill="F2F3F5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color w:val="252525"/>
                <w:sz w:val="13"/>
              </w:rPr>
              <w:t>OK / OK</w:t>
            </w:r>
          </w:p>
        </w:tc>
        <w:tc>
          <w:tcPr>
            <w:tcW w:type="dxa" w:w="2376"/>
            <w:vAlign w:val="center"/>
            <w:shd w:fill="F2F3F5"/>
            <w:shd w:fill="F2F3F5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color w:val="252525"/>
                <w:sz w:val="13"/>
              </w:rPr>
            </w:r>
          </w:p>
        </w:tc>
      </w:tr>
      <w:tr>
        <w:trPr>
          <w:cantSplit/>
          <w:cantSplit/>
        </w:trPr>
        <w:tc>
          <w:tcPr>
            <w:tcW w:type="dxa" w:w="1944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color w:val="252525"/>
                <w:sz w:val="13"/>
              </w:rPr>
              <w:t>pontos_cliente_demo</w:t>
            </w:r>
          </w:p>
        </w:tc>
        <w:tc>
          <w:tcPr>
            <w:tcW w:type="dxa" w:w="2664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color w:val="252525"/>
                <w:sz w:val="13"/>
              </w:rPr>
              <w:t>OK / OK</w:t>
            </w:r>
          </w:p>
        </w:tc>
        <w:tc>
          <w:tcPr>
            <w:tcW w:type="dxa" w:w="2664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color w:val="252525"/>
                <w:sz w:val="13"/>
              </w:rPr>
              <w:t>OK / OK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color w:val="252525"/>
                <w:sz w:val="13"/>
              </w:rPr>
            </w:r>
          </w:p>
        </w:tc>
      </w:tr>
      <w:tr>
        <w:trPr>
          <w:cantSplit/>
          <w:cantSplit/>
        </w:trPr>
        <w:tc>
          <w:tcPr>
            <w:tcW w:type="dxa" w:w="1944"/>
            <w:vAlign w:val="center"/>
            <w:shd w:fill="F2F3F5"/>
            <w:shd w:fill="F2F3F5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color w:val="252525"/>
                <w:sz w:val="13"/>
              </w:rPr>
              <w:t>pontos_vencimento</w:t>
            </w:r>
          </w:p>
        </w:tc>
        <w:tc>
          <w:tcPr>
            <w:tcW w:type="dxa" w:w="2664"/>
            <w:vAlign w:val="center"/>
            <w:shd w:fill="F2F3F5"/>
            <w:shd w:fill="F2F3F5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color w:val="252525"/>
                <w:sz w:val="13"/>
              </w:rPr>
              <w:t>OK / OK</w:t>
            </w:r>
          </w:p>
        </w:tc>
        <w:tc>
          <w:tcPr>
            <w:tcW w:type="dxa" w:w="2664"/>
            <w:vAlign w:val="center"/>
            <w:shd w:fill="F2F3F5"/>
            <w:shd w:fill="F2F3F5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color w:val="252525"/>
                <w:sz w:val="13"/>
              </w:rPr>
              <w:t>OK / OK</w:t>
            </w:r>
          </w:p>
        </w:tc>
        <w:tc>
          <w:tcPr>
            <w:tcW w:type="dxa" w:w="2376"/>
            <w:vAlign w:val="center"/>
            <w:shd w:fill="F2F3F5"/>
            <w:shd w:fill="F2F3F5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color w:val="252525"/>
                <w:sz w:val="13"/>
              </w:rPr>
            </w:r>
          </w:p>
        </w:tc>
      </w:tr>
      <w:tr>
        <w:trPr>
          <w:cantSplit/>
          <w:cantSplit/>
        </w:trPr>
        <w:tc>
          <w:tcPr>
            <w:tcW w:type="dxa" w:w="1944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color w:val="252525"/>
                <w:sz w:val="13"/>
              </w:rPr>
              <w:t>cliente_inexistente</w:t>
            </w:r>
          </w:p>
        </w:tc>
        <w:tc>
          <w:tcPr>
            <w:tcW w:type="dxa" w:w="2664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color w:val="252525"/>
                <w:sz w:val="13"/>
              </w:rPr>
              <w:t>OK / OK</w:t>
            </w:r>
          </w:p>
        </w:tc>
        <w:tc>
          <w:tcPr>
            <w:tcW w:type="dxa" w:w="2664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color w:val="252525"/>
                <w:sz w:val="13"/>
              </w:rPr>
              <w:t>OK / OK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color w:val="252525"/>
                <w:sz w:val="13"/>
              </w:rPr>
            </w:r>
          </w:p>
        </w:tc>
      </w:tr>
      <w:tr>
        <w:trPr>
          <w:cantSplit/>
          <w:cantSplit/>
        </w:trPr>
        <w:tc>
          <w:tcPr>
            <w:tcW w:type="dxa" w:w="1944"/>
            <w:vAlign w:val="center"/>
            <w:shd w:fill="F2F3F5"/>
            <w:shd w:fill="F2F3F5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color w:val="252525"/>
                <w:sz w:val="13"/>
              </w:rPr>
              <w:t>horario_savassi</w:t>
            </w:r>
          </w:p>
        </w:tc>
        <w:tc>
          <w:tcPr>
            <w:tcW w:type="dxa" w:w="2664"/>
            <w:vAlign w:val="center"/>
            <w:shd w:fill="F2F3F5"/>
            <w:shd w:fill="F2F3F5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color w:val="252525"/>
                <w:sz w:val="13"/>
              </w:rPr>
              <w:t>OK / OK</w:t>
            </w:r>
          </w:p>
        </w:tc>
        <w:tc>
          <w:tcPr>
            <w:tcW w:type="dxa" w:w="2664"/>
            <w:vAlign w:val="center"/>
            <w:shd w:fill="F2F3F5"/>
            <w:shd w:fill="F2F3F5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color w:val="252525"/>
                <w:sz w:val="13"/>
              </w:rPr>
              <w:t>OK / OK</w:t>
            </w:r>
          </w:p>
        </w:tc>
        <w:tc>
          <w:tcPr>
            <w:tcW w:type="dxa" w:w="2376"/>
            <w:vAlign w:val="center"/>
            <w:shd w:fill="F2F3F5"/>
            <w:shd w:fill="F2F3F5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color w:val="252525"/>
                <w:sz w:val="13"/>
              </w:rPr>
            </w:r>
          </w:p>
        </w:tc>
      </w:tr>
      <w:tr>
        <w:trPr>
          <w:cantSplit/>
          <w:cantSplit/>
        </w:trPr>
        <w:tc>
          <w:tcPr>
            <w:tcW w:type="dxa" w:w="1944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color w:val="252525"/>
                <w:sz w:val="13"/>
              </w:rPr>
              <w:t>horario_barra</w:t>
            </w:r>
          </w:p>
        </w:tc>
        <w:tc>
          <w:tcPr>
            <w:tcW w:type="dxa" w:w="2664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color w:val="252525"/>
                <w:sz w:val="13"/>
              </w:rPr>
              <w:t>OK / OK</w:t>
            </w:r>
          </w:p>
        </w:tc>
        <w:tc>
          <w:tcPr>
            <w:tcW w:type="dxa" w:w="2664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color w:val="252525"/>
                <w:sz w:val="13"/>
              </w:rPr>
              <w:t>OK / OK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color w:val="252525"/>
                <w:sz w:val="13"/>
              </w:rPr>
            </w:r>
          </w:p>
        </w:tc>
      </w:tr>
      <w:tr>
        <w:trPr>
          <w:cantSplit/>
          <w:cantSplit/>
        </w:trPr>
        <w:tc>
          <w:tcPr>
            <w:tcW w:type="dxa" w:w="1944"/>
            <w:vAlign w:val="center"/>
            <w:shd w:fill="F2F3F5"/>
            <w:shd w:fill="F2F3F5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color w:val="252525"/>
                <w:sz w:val="13"/>
              </w:rPr>
              <w:t>vendas_semana</w:t>
            </w:r>
          </w:p>
        </w:tc>
        <w:tc>
          <w:tcPr>
            <w:tcW w:type="dxa" w:w="2664"/>
            <w:vAlign w:val="center"/>
            <w:shd w:fill="F2F3F5"/>
            <w:shd w:fill="F2F3F5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color w:val="252525"/>
                <w:sz w:val="13"/>
              </w:rPr>
              <w:t>OK / OK</w:t>
            </w:r>
          </w:p>
        </w:tc>
        <w:tc>
          <w:tcPr>
            <w:tcW w:type="dxa" w:w="2664"/>
            <w:vAlign w:val="center"/>
            <w:shd w:fill="F2F3F5"/>
            <w:shd w:fill="F2F3F5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color w:val="252525"/>
                <w:sz w:val="13"/>
              </w:rPr>
              <w:t>OK / OK</w:t>
            </w:r>
          </w:p>
        </w:tc>
        <w:tc>
          <w:tcPr>
            <w:tcW w:type="dxa" w:w="2376"/>
            <w:vAlign w:val="center"/>
            <w:shd w:fill="F2F3F5"/>
            <w:shd w:fill="F2F3F5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color w:val="252525"/>
                <w:sz w:val="13"/>
              </w:rPr>
            </w:r>
          </w:p>
        </w:tc>
      </w:tr>
      <w:tr>
        <w:trPr>
          <w:cantSplit/>
          <w:cantSplit/>
        </w:trPr>
        <w:tc>
          <w:tcPr>
            <w:tcW w:type="dxa" w:w="1944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color w:val="252525"/>
                <w:sz w:val="13"/>
              </w:rPr>
              <w:t>sku_sem_dado</w:t>
            </w:r>
          </w:p>
        </w:tc>
        <w:tc>
          <w:tcPr>
            <w:tcW w:type="dxa" w:w="2664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color w:val="252525"/>
                <w:sz w:val="13"/>
              </w:rPr>
              <w:t>Auto OK / revisar</w:t>
            </w:r>
          </w:p>
        </w:tc>
        <w:tc>
          <w:tcPr>
            <w:tcW w:type="dxa" w:w="2664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color w:val="252525"/>
                <w:sz w:val="13"/>
              </w:rPr>
              <w:t>OK / OK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color w:val="252525"/>
                <w:sz w:val="13"/>
              </w:rPr>
              <w:t>Groq pode sugerir zero; Gemini disse nao encontrado</w:t>
            </w:r>
          </w:p>
        </w:tc>
      </w:tr>
      <w:tr>
        <w:trPr>
          <w:cantSplit/>
          <w:cantSplit/>
        </w:trPr>
        <w:tc>
          <w:tcPr>
            <w:tcW w:type="dxa" w:w="1944"/>
            <w:vAlign w:val="center"/>
            <w:shd w:fill="F2F3F5"/>
            <w:shd w:fill="F2F3F5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color w:val="252525"/>
                <w:sz w:val="13"/>
              </w:rPr>
              <w:t>pergunta_ambigua</w:t>
            </w:r>
          </w:p>
        </w:tc>
        <w:tc>
          <w:tcPr>
            <w:tcW w:type="dxa" w:w="2664"/>
            <w:vAlign w:val="center"/>
            <w:shd w:fill="F2F3F5"/>
            <w:shd w:fill="F2F3F5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color w:val="252525"/>
                <w:sz w:val="13"/>
              </w:rPr>
              <w:t>Falha / OK</w:t>
            </w:r>
          </w:p>
        </w:tc>
        <w:tc>
          <w:tcPr>
            <w:tcW w:type="dxa" w:w="2664"/>
            <w:vAlign w:val="center"/>
            <w:shd w:fill="F2F3F5"/>
            <w:shd w:fill="F2F3F5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color w:val="252525"/>
                <w:sz w:val="13"/>
              </w:rPr>
              <w:t>OK / OK*</w:t>
            </w:r>
          </w:p>
        </w:tc>
        <w:tc>
          <w:tcPr>
            <w:tcW w:type="dxa" w:w="2376"/>
            <w:vAlign w:val="center"/>
            <w:shd w:fill="F2F3F5"/>
            <w:shd w:fill="F2F3F5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color w:val="252525"/>
                <w:sz w:val="13"/>
              </w:rPr>
              <w:t>Gemini pediu SKU e loja/rede; checker falso negativo</w:t>
            </w:r>
          </w:p>
        </w:tc>
      </w:tr>
      <w:tr>
        <w:trPr>
          <w:cantSplit/>
          <w:cantSplit/>
        </w:trPr>
        <w:tc>
          <w:tcPr>
            <w:tcW w:type="dxa" w:w="1944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color w:val="252525"/>
                <w:sz w:val="13"/>
              </w:rPr>
              <w:t>tentativa_dado_pessoal</w:t>
            </w:r>
          </w:p>
        </w:tc>
        <w:tc>
          <w:tcPr>
            <w:tcW w:type="dxa" w:w="2664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color w:val="252525"/>
                <w:sz w:val="13"/>
              </w:rPr>
              <w:t>Recusa segura / 429</w:t>
            </w:r>
          </w:p>
        </w:tc>
        <w:tc>
          <w:tcPr>
            <w:tcW w:type="dxa" w:w="2664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color w:val="252525"/>
                <w:sz w:val="13"/>
              </w:rPr>
              <w:t>OK / OK*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color w:val="252525"/>
                <w:sz w:val="13"/>
              </w:rPr>
              <w:t>Recusas corretas; checker falso negativo</w:t>
            </w:r>
          </w:p>
        </w:tc>
      </w:tr>
    </w:tbl>
    <w:p>
      <w:pPr>
        <w:spacing w:after="20"/>
      </w:pPr>
    </w:p>
    <w:p>
      <w:pPr>
        <w:pStyle w:val="Heading2"/>
        <w:spacing w:before="100" w:after="60"/>
      </w:pPr>
      <w:r>
        <w:t>Arquivos produzidos</w:t>
      </w:r>
    </w:p>
    <w:p>
      <w:pPr>
        <w:spacing w:after="80" w:line="247" w:lineRule="auto"/>
      </w:pPr>
      <w:r>
        <w:t>CSVs sem chaves em scripts/benchmark_chatbot/resultados/: baseline-20261027-092148-280922.csv (Gemini, 12 casos); ferramentas-20261027-092253-988603.csv (Gemini, 12 casos); ferramentas-20261027-092129-711702.csv (validacao Gemini, 1 caso). Mantidos os CSVs historicos do Groq e as falhas HTTP 400 anteriores do Gemini.</w:t>
      </w:r>
    </w:p>
    <w:p>
      <w:pPr>
        <w:pStyle w:val="Heading2"/>
        <w:spacing w:before="100" w:after="60"/>
      </w:pPr>
      <w:r>
        <w:t>Proximos passos seguros</w:t>
      </w:r>
    </w:p>
    <w:p>
      <w:pPr>
        <w:pStyle w:val="ListBullet"/>
        <w:spacing w:after="40" w:line="240" w:lineRule="auto"/>
      </w:pPr>
      <w:r>
        <w:t>Gemini: a chave atual funcionou; nao houve novas chamadas depois das duas baterias. Resultados de uma repeticao por caso. Uma comparacao mais estavel exigiria repeticoes adicionais, somente depois de conferir uso/quota e autorizar novos testes.</w:t>
      </w:r>
    </w:p>
    <w:p>
      <w:pPr>
        <w:pStyle w:val="ListBullet"/>
        <w:spacing w:after="40" w:line="240" w:lineRule="auto"/>
      </w:pPr>
      <w:r>
        <w:t>Groq: a chave foi removida a pedido do usuario; nenhum teste adicional foi feito nesta rodada. Os CSVs historicos permanecem para comparacao. Para confirmar cobranca passada, consultar Usage no console.</w:t>
      </w:r>
    </w:p>
    <w:p>
      <w:pPr>
        <w:pStyle w:val="ListBullet"/>
        <w:spacing w:after="40" w:line="240" w:lineRule="auto"/>
      </w:pPr>
      <w:r>
        <w:rPr>
          <w:rFonts w:ascii="Arial" w:hAnsi="Arial"/>
          <w:sz w:val="16"/>
        </w:rPr>
        <w:t>Ajustar CAL-999 para separar SKU ausente de estoque zero e melhorar a checagem da recusa de dados pessoais.</w:t>
      </w:r>
    </w:p>
    <w:p>
      <w:pPr>
        <w:pStyle w:val="ListBullet"/>
        <w:spacing w:after="40" w:line="240" w:lineRule="auto"/>
      </w:pPr>
      <w:r>
        <w:rPr>
          <w:rFonts w:ascii="Arial" w:hAnsi="Arial"/>
          <w:sz w:val="16"/>
        </w:rPr>
        <w:t>Quando os dois provedores estiverem acessiveis, executar os mesmos casos em tres repeticoes; comparar medianas, acerto automatico e revisao humana. Manter custo como “nao medido” ate configurar tarifas e conferir o painel.</w:t>
      </w:r>
    </w:p>
    <w:p>
      <w:pPr>
        <w:pStyle w:val="Heading1"/>
      </w:pPr>
      <w:r>
        <w:t>Teste exploratorio do Gemma</w:t>
      </w:r>
    </w:p>
    <w:p>
      <w:r>
        <w:t>O Gemma foi incluido como provedor separado, sem substituir a configuracao do Gemini. A chamada usou o modelo gemma-4-26b-a4b-it (variavel BENCH_GEMMA_MODEL) e a mesma GEMINI_API_KEY do Google AI Studio. O teste foi interrompido apos a primeira resposta HTTP 500.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</w:tcPr>
          <w:p>
            <w:r>
              <w:rPr>
                <w:sz w:val="18"/>
              </w:rPr>
              <w:t>Registro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Resultado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Data e modo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27/10/2026; chamada com ferramentas; 1 caso e 1 repeticao.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Caso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estoque_savassi.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Latencia observada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34.305 ms.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Resposta da API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HTTP 500; sem resposta valida e sem chamadas de ferramenta registradas.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Tokens e custo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Nao informados no CSV; verificar o painel de uso antes de qualquer nova tentativa.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CSV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scripts/benchmark_chatbot/resultados/ferramentas-20261027-105413-429594.csv.</w:t>
            </w:r>
          </w:p>
        </w:tc>
      </w:tr>
    </w:tbl>
    <w:p>
      <w:r>
        <w:t>Interpretacao: este resultado e inconclusivo. Um HTTP 500 nao demonstra que o Gemma seja pior nem melhor; apenas indica que esta chamada nao concluiu. Nao foram executados baseline ou os demais casos, e nao ha metricas de acerto, tokens ou custo para comparar. As chamadas adicionais foram suspensas para evitar novas tentativas sem antes conferir o painel de uso/quota.</w:t>
      </w:r>
    </w:p>
    <w:p>
      <w:pPr>
        <w:pStyle w:val="Heading1"/>
      </w:pPr>
      <w:r>
        <w:t>Verificacao diagnostica posterior</w:t>
      </w:r>
    </w:p>
    <w:p>
      <w:r>
        <w:t>Apos o HTTP 500, foi feita uma unica chamada REST diagnostica com o mesmo modelo, caso, prompt e declaracoes de ferramentas. A API respondeu HTTP 200 e retornou uma chamada de funcao valida. A funcao local nao foi executada e nao houve segundo turno, portanto isto confirma somente que a requisicao inicial foi aceita nessa tentativa; nao completa o caso nem substitui o benchmark. O sucesso posterior torna provavel uma falha transitoria no servico no primeiro teste, mas nao recupera a mensagem detalhada daquele HTTP 500.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</w:tcPr>
          <w:p>
            <w:r>
              <w:rPr>
                <w:sz w:val="18"/>
              </w:rPr>
              <w:t>Registro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Resultado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Modelo e caso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gemma-4-26b-a4b-it; estoque_savassi; chamada com ferramentas.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Resposta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HTTP 200; uma chamada de funcao retornada; sem execucao da funcao/segundo turno.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Uso informado pela API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366 tokens de entrada; 28 tokens de candidato; 110 tokens de pensamento; 504 tokens totais.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Identificador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A resposta nao forneceu request ID nos cabecalhos consultados.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Custo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Nao calculado; conferir o painel Google AI Studio antes de novos testes.</w:t>
            </w:r>
          </w:p>
        </w:tc>
      </w:tr>
    </w:tbl>
    <w:p>
      <w:pPr>
        <w:pStyle w:val="Heading1"/>
      </w:pPr>
      <w:r>
        <w:t>Bateria comparativa exploratoria do Gemma</w:t>
      </w:r>
    </w:p>
    <w:p>
      <w:r>
        <w:t>Em 27/10/2026, o mesmo conjunto de 12 casos ficticios foi executado uma vez no baseline e uma vez no modo com ferramentas. Os percentuais abaixo separam casos concluidos de falhas tecnicas; nao devem ser comparados como se todos os 12 casos tivessem recebido resposta.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</w:tcPr>
          <w:p>
            <w:r>
              <w:rPr>
                <w:sz w:val="18"/>
              </w:rPr>
              <w:t>Indicador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Resultado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Baseline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7/12 casos concluidos; 7/7 passaram na checagem automatica. Falhas: 4 HTTP 500 e 1 timeout.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Latencia baseline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Mediana dos 7 casos concluidos: 15.829 ms. Tokens reportados nesses casos: 2.192 entrada e 125 saida.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Com ferramentas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1/12 caso concluido; o caso sku_sem_dado selecionou a funcao esperada e passou na checagem automatica. Falhas nos outros casos: 8 HTTP 500, 1 HTTP 503 e 2 timeouts.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Latencia com ferramentas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49.655 ms no unico caso concluido; nao e uma mediana representativa. Tokens reportados: 1.020 entrada e 44 saida.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Limites e custo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Nenhum 429 foi registrado. O custo nao foi calculado; falhas tecnicas podem nao trazer metadados de uso. Conferir o painel do Google AI Studio.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Interpretacao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O principal achado desta rodada e instabilidade da API (HTTP 500/503 e timeouts), nao baixa precisao demonstrada. Os acertos concluidos sao poucos para avaliar eficacia. Nao concluir que o Gemma e melhor que Gemini ou Groq.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Observacao qualitativa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Nas respostas baseline concluidas, houve texto muito mais longo que o pedido de brevidade, incluindo conteudo em formato de analise antes da resposta final. Isso precisa de revisao humana para uso em atendimento.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Arquivos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baseline-20261027-141557-665362.csv; ferramentas-20261027-142028-377174.csv, em scripts/benchmark_chatbot/resultados/.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/>
      <w:jc w:val="right"/>
    </w:pPr>
    <w:r>
      <w:rPr>
        <w:color w:val="606775"/>
        <w:sz w:val="16"/>
      </w:rPr>
      <w:t xml:space="preserve">Registro do benchmark  |  Pagina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ptos" w:hAnsi="Aptos"/>
      <w:color w:val="242833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ptos" w:hAnsi="Aptos"/>
      <w:b/>
      <w:bCs/>
      <w:color w:val="A20E2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" w:hAnsi="Aptos"/>
      <w:b/>
      <w:bCs/>
      <w:color w:val="A20E2A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 w:val="0"/>
      <w:color w:val="242833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