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dos Testes do Chatbot</w:t>
      </w:r>
    </w:p>
    <w:p>
      <w:pPr>
        <w:spacing w:after="160"/>
      </w:pPr>
      <w:r>
        <w:rPr>
          <w:color w:val="606775"/>
          <w:sz w:val="20"/>
        </w:rPr>
        <w:t>Casa Lorenzi  |  Benchmark Gemini e Groq  |  Atualizado em 27/10/2026</w:t>
      </w:r>
    </w:p>
    <w:p>
      <w:r>
        <w:t>Conclusao ate agora: Groq concluiu 12 casos baseline e 11 casos com ferramentas; resultados preliminares, uma execucao por caso. Gemini nao gerou respostas porque a chave foi rejeitada como invalida. A rodada de ferramentas do Groq parou ao receber HTTP 429.</w:t>
      </w:r>
    </w:p>
    <w:p>
      <w:pPr>
        <w:pStyle w:val="Heading1"/>
      </w:pPr>
      <w:r>
        <w:t>Objetivo e escopo</w:t>
      </w:r>
    </w:p>
    <w:p>
      <w:r>
        <w:t>O piloto compara a capacidade de responder corretamente, escolher ferramentas, tempo de resposta e consumo de tokens. Os casos usam dados ficticios locais; o benchmark nao consulta o banco real, nao chama endpoints da plataforma e nao altera o deploy.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376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Modo</w:t>
            </w:r>
          </w:p>
        </w:tc>
        <w:tc>
          <w:tcPr>
            <w:tcW w:type="dxa" w:w="7704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 que mede</w:t>
            </w:r>
          </w:p>
        </w:tc>
      </w:tr>
      <w:tr>
        <w:trPr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7"/>
              </w:rPr>
              <w:t>run.py - baseline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7"/>
              </w:rPr>
              <w:t>Resposta com contexto ficticio no prompt, sem chamada de ferramenta.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7"/>
              </w:rPr>
              <w:t>run_tools.py - ferramentas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7"/>
              </w:rPr>
              <w:t>Escolha da funcao e dos argumentos, execucao de fixture local e resposta final.</w:t>
            </w:r>
          </w:p>
        </w:tc>
      </w:tr>
    </w:tbl>
    <w:p>
      <w:pPr>
        <w:spacing w:after="0"/>
      </w:pPr>
    </w:p>
    <w:p>
      <w:pPr>
        <w:pStyle w:val="Heading1"/>
      </w:pPr>
      <w:r>
        <w:t>Configuracao do comparativo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512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816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Groq</w:t>
            </w:r>
          </w:p>
        </w:tc>
        <w:tc>
          <w:tcPr>
            <w:tcW w:type="dxa" w:w="4752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Gemini</w:t>
            </w:r>
          </w:p>
        </w:tc>
      </w:tr>
      <w:tr>
        <w:trPr>
          <w:cantSplit/>
        </w:trPr>
        <w:tc>
          <w:tcPr>
            <w:tcW w:type="dxa" w:w="1512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Modelo</w:t>
            </w:r>
          </w:p>
        </w:tc>
        <w:tc>
          <w:tcPr>
            <w:tcW w:type="dxa" w:w="381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openai/gpt-oss-20b</w:t>
            </w:r>
          </w:p>
        </w:tc>
        <w:tc>
          <w:tcPr>
            <w:tcW w:type="dxa" w:w="4752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gemini-3.5-flash-lite (configurado; ainda sem resultado local)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Chave</w:t>
            </w:r>
          </w:p>
        </w:tc>
        <w:tc>
          <w:tcPr>
            <w:tcW w:type="dxa" w:w="381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GROQ_API_KEY</w:t>
            </w:r>
          </w:p>
        </w:tc>
        <w:tc>
          <w:tcPr>
            <w:tcW w:type="dxa" w:w="47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GEMINI_API_KEY</w:t>
            </w:r>
          </w:p>
        </w:tc>
      </w:tr>
      <w:tr>
        <w:trPr>
          <w:cantSplit/>
        </w:trPr>
        <w:tc>
          <w:tcPr>
            <w:tcW w:type="dxa" w:w="1512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Situacao</w:t>
            </w:r>
          </w:p>
        </w:tc>
        <w:tc>
          <w:tcPr>
            <w:tcW w:type="dxa" w:w="381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Um caso local aprovado</w:t>
            </w:r>
          </w:p>
        </w:tc>
        <w:tc>
          <w:tcPr>
            <w:tcW w:type="dxa" w:w="4752"/>
            <w:shd w:fill="F1F3F5"/>
            <w:vAlign w:val="center"/>
          </w:tcPr>
          <w:p>
            <w:r>
              <w:rPr>
                <w:rFonts w:ascii="Arial" w:hAnsi="Arial"/>
                <w:sz w:val="16"/>
              </w:rPr>
              <w:t>Chave invalida; aguarda correcao</w:t>
            </w:r>
          </w:p>
        </w:tc>
      </w:tr>
    </w:tbl>
    <w:p>
      <w:pPr>
        <w:spacing w:after="0"/>
      </w:pPr>
    </w:p>
    <w:p>
      <w:r>
        <w:t>OpenAI foi substituida por Groq no comparativo padrao. O identificador openai/gpt-oss-20b e o nome do modelo servido pela API da Groq; o teste nao usa a API da OpenAI.</w:t>
      </w:r>
    </w:p>
    <w:p>
      <w:pPr>
        <w:pStyle w:val="Heading1"/>
      </w:pPr>
      <w:r>
        <w:t>Resultado confirmado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376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Metrica</w:t>
            </w:r>
          </w:p>
        </w:tc>
        <w:tc>
          <w:tcPr>
            <w:tcW w:type="dxa" w:w="7704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 da rodada Groq</w:t>
            </w:r>
          </w:p>
        </w:tc>
      </w:tr>
      <w:tr>
        <w:trPr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Arquivo de origem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ferramentas-20261027-085410.csv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Caso e repeticoes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estoque_savassi; 1 caso; 1 repeticao</w:t>
            </w:r>
          </w:p>
        </w:tc>
      </w:tr>
      <w:tr>
        <w:trPr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Pergunta ficticia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Quantas unidades da camiseta CAM-001 temos na Savassi?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Ferramenta esperada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get_stock(sku=CAM-001, loja=Savassi)</w:t>
            </w:r>
          </w:p>
        </w:tc>
      </w:tr>
      <w:tr>
        <w:trPr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Resultado automatico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Ferramenta correta: 100%; resposta aprovada: 100%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Latencia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966 ms para a rodada completa</w:t>
            </w:r>
          </w:p>
        </w:tc>
      </w:tr>
      <w:tr>
        <w:trPr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Tokens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813 entrada; 69 saida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Resposta registrada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Na loja Savassi temos 5 unidades da camiseta CAM-001.</w:t>
            </w:r>
          </w:p>
        </w:tc>
      </w:tr>
      <w:tr>
        <w:trPr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Custo estimado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Nao preenchido no CSV; tarifas por token nao estavam configuradas.</w:t>
            </w:r>
          </w:p>
        </w:tc>
      </w:tr>
    </w:tbl>
    <w:p>
      <w:pPr>
        <w:spacing w:after="0"/>
      </w:pPr>
    </w:p>
    <w:p>
      <w:pPr>
        <w:spacing w:before="40"/>
      </w:pPr>
      <w:r>
        <w:rPr>
          <w:b/>
        </w:rPr>
        <w:t xml:space="preserve">Leitura correta: </w:t>
      </w:r>
      <w:r>
        <w:t>o resultado confirma esse caso especifico. A checagem automatica e heuristica e precisa ser complementada por revisao das respostas.</w:t>
      </w:r>
    </w:p>
    <w:p>
      <w:r>
        <w:br w:type="page"/>
      </w:r>
    </w:p>
    <w:p>
      <w:pPr>
        <w:pStyle w:val="Heading1"/>
      </w:pPr>
      <w:r>
        <w:t>Como interpretar as metricas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7920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Interpretacao para o grafico</w:t>
            </w:r>
          </w:p>
        </w:tc>
      </w:tr>
      <w:tr>
        <w:trPr>
          <w:cantSplit/>
        </w:trPr>
        <w:tc>
          <w:tcPr>
            <w:tcW w:type="dxa" w:w="216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Acerto de ferramenta</w:t>
            </w:r>
          </w:p>
        </w:tc>
        <w:tc>
          <w:tcPr>
            <w:tcW w:type="dxa" w:w="792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Percentual de chamadas com funcao e argumentos iguais aos esperados.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Acerto da resposta</w:t>
            </w:r>
          </w:p>
        </w:tc>
        <w:tc>
          <w:tcPr>
            <w:tcW w:type="dxa" w:w="79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Percentual aprovado pela verificacao automatica de conteudos obrigatorios e proibidos; revisar manualmente.</w:t>
            </w:r>
          </w:p>
        </w:tc>
      </w:tr>
      <w:tr>
        <w:trPr>
          <w:cantSplit/>
        </w:trPr>
        <w:tc>
          <w:tcPr>
            <w:tcW w:type="dxa" w:w="216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Latencia</w:t>
            </w:r>
          </w:p>
        </w:tc>
        <w:tc>
          <w:tcPr>
            <w:tcW w:type="dxa" w:w="792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Tempo total medido para completar a rodada. Usar a mediana de varias repeticoes, nao um unico tempo.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Tokens</w:t>
            </w:r>
          </w:p>
        </w:tc>
        <w:tc>
          <w:tcPr>
            <w:tcW w:type="dxa" w:w="79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Separar entrada e saida. O ciclo com ferramenta pode gerar mais de uma requisicao por caso.</w:t>
            </w:r>
          </w:p>
        </w:tc>
      </w:tr>
      <w:tr>
        <w:trPr>
          <w:cantSplit/>
        </w:trPr>
        <w:tc>
          <w:tcPr>
            <w:tcW w:type="dxa" w:w="216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Custo</w:t>
            </w:r>
          </w:p>
        </w:tc>
        <w:tc>
          <w:tcPr>
            <w:tcW w:type="dxa" w:w="792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O campo fica vazio sem tarifas configuradas; vazio nao significa custo zero. Conferir tambem o painel do provedor.</w:t>
            </w:r>
          </w:p>
        </w:tc>
      </w:tr>
    </w:tbl>
    <w:p>
      <w:pPr>
        <w:spacing w:after="0"/>
      </w:pPr>
    </w:p>
    <w:p>
      <w:pPr>
        <w:pStyle w:val="Heading1"/>
      </w:pPr>
      <w:r>
        <w:t>Protocolo para comparar</w:t>
      </w:r>
    </w:p>
    <w:p>
      <w:pPr>
        <w:pStyle w:val="ListBullet"/>
        <w:spacing w:after="40"/>
        <w:ind w:left="288" w:hanging="173"/>
      </w:pPr>
      <w:r>
        <w:t>Comecar com um caso e uma repeticao por provedor para confirmar acesso e configuracao.</w:t>
      </w:r>
    </w:p>
    <w:p>
      <w:pPr>
        <w:pStyle w:val="ListBullet"/>
        <w:spacing w:after="40"/>
        <w:ind w:left="288" w:hanging="173"/>
      </w:pPr>
      <w:r>
        <w:t>Depois usar os mesmos casos, perguntas e numero de repeticoes para Gemini e Groq; registrar modelo e data de cada rodada.</w:t>
      </w:r>
    </w:p>
    <w:p>
      <w:pPr>
        <w:pStyle w:val="ListBullet"/>
        <w:spacing w:after="40"/>
        <w:ind w:left="288" w:hanging="173"/>
      </w:pPr>
      <w:r>
        <w:t>Para uma comparacao inicial, rodar tres repeticoes por caso e comparar medianas de latencia e percentuais de acerto. Revisar manualmente respostas importantes.</w:t>
      </w:r>
    </w:p>
    <w:p>
      <w:pPr>
        <w:pStyle w:val="ListBullet"/>
        <w:spacing w:after="40"/>
        <w:ind w:left="288" w:hanging="173"/>
      </w:pPr>
      <w:r>
        <w:t>Conferir cotas antes de ampliar o piloto. O script interrompe novas chamadas ao receber 402/429 ou indicacao de quota, mas isso nao substitui a verificacao do plano e do uso no painel.</w:t>
      </w:r>
    </w:p>
    <w:p>
      <w:pPr>
        <w:spacing w:before="40"/>
      </w:pPr>
      <w:r>
        <w:rPr>
          <w:b/>
        </w:rPr>
        <w:t xml:space="preserve">Teste isolado de Gemini: </w:t>
      </w:r>
      <w:r>
        <w:t>python scripts/benchmark_chatbot/run_tools.py --case estoque_savassi --repetitions 1 --providers gemini</w:t>
      </w:r>
    </w:p>
    <w:p>
      <w:r>
        <w:rPr>
          <w:b/>
        </w:rPr>
        <w:t xml:space="preserve">Repetir o mesmo caso na Groq: </w:t>
      </w:r>
      <w:r>
        <w:t>python scripts/benchmark_chatbot/run_tools.py --case estoque_savassi --repetitions 1 --providers groq</w:t>
      </w:r>
    </w:p>
    <w:p>
      <w:r>
        <w:rPr>
          <w:b/>
        </w:rPr>
        <w:t xml:space="preserve">Comparacao inicial, apos validar as cotas: </w:t>
      </w:r>
      <w:r>
        <w:t>python scripts/benchmark_chatbot/run_tools.py --repetitions 3 --providers gemini groq</w:t>
      </w:r>
    </w:p>
    <w:p>
      <w:pPr>
        <w:pStyle w:val="Heading1"/>
      </w:pPr>
      <w:r>
        <w:t>Planilha de acompanhamento</w:t>
      </w:r>
    </w:p>
    <w:p>
      <w:r>
        <w:t>Copiar uma linha por provedor e rodada. Os CSVs detalhados ficam em scripts/benchmark_chatbot/resultados/.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cantSplit/>
        </w:trPr>
        <w:tc>
          <w:tcPr>
            <w:tcW w:type="dxa" w:w="1224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Rodada</w:t>
            </w:r>
          </w:p>
        </w:tc>
        <w:tc>
          <w:tcPr>
            <w:tcW w:type="dxa" w:w="2232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Provedor e modelo</w:t>
            </w:r>
          </w:p>
        </w:tc>
        <w:tc>
          <w:tcPr>
            <w:tcW w:type="dxa" w:w="1224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Casos x reps</w:t>
            </w:r>
          </w:p>
        </w:tc>
        <w:tc>
          <w:tcPr>
            <w:tcW w:type="dxa" w:w="1296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Ferramentas OK</w:t>
            </w:r>
          </w:p>
        </w:tc>
        <w:tc>
          <w:tcPr>
            <w:tcW w:type="dxa" w:w="1224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Respostas OK</w:t>
            </w:r>
          </w:p>
        </w:tc>
        <w:tc>
          <w:tcPr>
            <w:tcW w:type="dxa" w:w="1296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Mediana ms</w:t>
            </w:r>
          </w:p>
        </w:tc>
        <w:tc>
          <w:tcPr>
            <w:tcW w:type="dxa" w:w="1584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Tokens E/S e custo</w:t>
            </w:r>
          </w:p>
        </w:tc>
      </w:tr>
      <w:tr>
        <w:trPr>
          <w:cantSplit/>
        </w:trPr>
        <w:tc>
          <w:tcPr>
            <w:tcW w:type="dxa" w:w="1224"/>
            <w:shd w:fill="F1F3F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27/10 09:07</w:t>
            </w:r>
          </w:p>
        </w:tc>
        <w:tc>
          <w:tcPr>
            <w:tcW w:type="dxa" w:w="2232"/>
            <w:shd w:fill="F1F3F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Groq | gpt-oss-20b</w:t>
            </w:r>
          </w:p>
        </w:tc>
        <w:tc>
          <w:tcPr>
            <w:tcW w:type="dxa" w:w="1224"/>
            <w:shd w:fill="F1F3F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12 x 1</w:t>
            </w:r>
          </w:p>
        </w:tc>
        <w:tc>
          <w:tcPr>
            <w:tcW w:type="dxa" w:w="1296"/>
            <w:shd w:fill="F1F3F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N/A</w:t>
            </w:r>
          </w:p>
        </w:tc>
        <w:tc>
          <w:tcPr>
            <w:tcW w:type="dxa" w:w="1224"/>
            <w:shd w:fill="F1F3F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10/12 (83,3%)</w:t>
            </w:r>
          </w:p>
        </w:tc>
        <w:tc>
          <w:tcPr>
            <w:tcW w:type="dxa" w:w="1296"/>
            <w:shd w:fill="F1F3F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512</w:t>
            </w:r>
          </w:p>
        </w:tc>
        <w:tc>
          <w:tcPr>
            <w:tcW w:type="dxa" w:w="1584"/>
            <w:shd w:fill="F1F3F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4.245/1.280; custo N/C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27/10 09:09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Groq | gpt-oss-20b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12 x 1; 11 concl.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11/11 OK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11/11 auto; revisar CAL-999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1.105*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8.610/934; custo N/C</w:t>
            </w:r>
          </w:p>
        </w:tc>
      </w:tr>
      <w:tr>
        <w:trPr>
          <w:cantSplit/>
        </w:trPr>
        <w:tc>
          <w:tcPr>
            <w:tcW w:type="dxa" w:w="1224"/>
            <w:shd w:fill="F1F3F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27/10 09:08</w:t>
            </w:r>
          </w:p>
        </w:tc>
        <w:tc>
          <w:tcPr>
            <w:tcW w:type="dxa" w:w="2232"/>
            <w:shd w:fill="F1F3F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Gemini | 3.5 Flash-Lite</w:t>
            </w:r>
          </w:p>
        </w:tc>
        <w:tc>
          <w:tcPr>
            <w:tcW w:type="dxa" w:w="1224"/>
            <w:shd w:fill="F1F3F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12 x 1</w:t>
            </w:r>
          </w:p>
        </w:tc>
        <w:tc>
          <w:tcPr>
            <w:tcW w:type="dxa" w:w="1296"/>
            <w:shd w:fill="F1F3F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N/A</w:t>
            </w:r>
          </w:p>
        </w:tc>
        <w:tc>
          <w:tcPr>
            <w:tcW w:type="dxa" w:w="1224"/>
            <w:shd w:fill="F1F3F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0/12; chave invalida</w:t>
            </w:r>
          </w:p>
        </w:tc>
        <w:tc>
          <w:tcPr>
            <w:tcW w:type="dxa" w:w="1296"/>
            <w:shd w:fill="F1F3F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N/A</w:t>
            </w:r>
          </w:p>
        </w:tc>
        <w:tc>
          <w:tcPr>
            <w:tcW w:type="dxa" w:w="1584"/>
            <w:shd w:fill="F1F3F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0/0; custo N/C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27/10 09:07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Gemini | 3.5 Flash-Lite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1 x 1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0; HTTP 400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Nao avaliavel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N/A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252525"/>
                <w:sz w:val="13"/>
              </w:rPr>
              <w:t>0/0; custo N/C</w:t>
            </w:r>
          </w:p>
        </w:tc>
      </w:tr>
    </w:tbl>
    <w:p>
      <w:pPr>
        <w:spacing w:after="0"/>
      </w:pPr>
    </w:p>
    <w:p>
      <w:pPr>
        <w:pStyle w:val="Heading1"/>
      </w:pPr>
      <w:r>
        <w:t>Arquivos e seguranca</w:t>
      </w:r>
    </w:p>
    <w:p>
      <w:r>
        <w:t>A partir desta alteracao, cada execucao cria um CSV novo em scripts/benchmark_chatbot/resultados/, com identificador, horario, provedor, modelo, caso, repeticao, metricas, resposta, chamadas de ferramentas e erros. O primeiro CSV validado tambem foi preservado nessa pasta.</w:t>
      </w:r>
    </w:p>
    <w:p>
      <w:r>
        <w:t>As chaves antigas foram desativadas e substituidas. Manter apenas os valores atuais no .env local; nunca registrar chaves neste Word, nos CSVs, em capturas de tela ou em commits. O custo deste resultado nao foi calculado, entao nao deve ser apresentado como zero sem confirmar a cobranca no painel.</w:t>
      </w:r>
    </w:p>
    <w:p>
      <w:r>
        <w:br w:type="page"/>
      </w:r>
    </w:p>
    <w:p>
      <w:pPr>
        <w:pStyle w:val="Heading1"/>
        <w:spacing w:before="100" w:after="60"/>
      </w:pPr>
      <w:r>
        <w:t>Resultados executados | 27/10/2026</w:t>
      </w:r>
    </w:p>
    <w:p>
      <w:pPr>
        <w:spacing w:after="80" w:line="247" w:lineRule="auto"/>
      </w:pPr>
      <w:r>
        <w:rPr>
          <w:rFonts w:ascii="Arial" w:hAnsi="Arial"/>
          <w:sz w:val="18"/>
        </w:rPr>
        <w:t>Fixtures ficticias locais; sem consulta ao Supabase, dados de clientes ou deploy. Uma execucao por caso. Tempos observados nesta rodada, nao uma estimativa geral.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1944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Rodada</w:t>
            </w:r>
          </w:p>
        </w:tc>
        <w:tc>
          <w:tcPr>
            <w:tcW w:type="dxa" w:w="2088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Execucao</w:t>
            </w:r>
          </w:p>
        </w:tc>
        <w:tc>
          <w:tcPr>
            <w:tcW w:type="dxa" w:w="2088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Checagem automatica</w:t>
            </w:r>
          </w:p>
        </w:tc>
        <w:tc>
          <w:tcPr>
            <w:tcW w:type="dxa" w:w="1440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Mediana (ms)</w:t>
            </w:r>
          </w:p>
        </w:tc>
        <w:tc>
          <w:tcPr>
            <w:tcW w:type="dxa" w:w="1800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Tokens entrada/saida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Groq | baseline</w:t>
            </w:r>
          </w:p>
        </w:tc>
        <w:tc>
          <w:tcPr>
            <w:tcW w:type="dxa" w:w="208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12/12 casos</w:t>
            </w:r>
          </w:p>
        </w:tc>
        <w:tc>
          <w:tcPr>
            <w:tcW w:type="dxa" w:w="208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10/12 = 83,3%</w:t>
            </w:r>
          </w:p>
        </w:tc>
        <w:tc>
          <w:tcPr>
            <w:tcW w:type="dxa" w:w="1440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512</w:t>
            </w:r>
          </w:p>
        </w:tc>
        <w:tc>
          <w:tcPr>
            <w:tcW w:type="dxa" w:w="1800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4.245 / 1.280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Groq | ferramentas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11/12; parou no 429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11/11 concluidos passaram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1.105*</w:t>
            </w:r>
          </w:p>
        </w:tc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8.610 / 934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Gemini | baseline</w:t>
            </w:r>
          </w:p>
        </w:tc>
        <w:tc>
          <w:tcPr>
            <w:tcW w:type="dxa" w:w="208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0 respostas validas; 12 erros 400</w:t>
            </w:r>
          </w:p>
        </w:tc>
        <w:tc>
          <w:tcPr>
            <w:tcW w:type="dxa" w:w="208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Nao avaliavel</w:t>
            </w:r>
          </w:p>
        </w:tc>
        <w:tc>
          <w:tcPr>
            <w:tcW w:type="dxa" w:w="1440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Nao avaliavel</w:t>
            </w:r>
          </w:p>
        </w:tc>
        <w:tc>
          <w:tcPr>
            <w:tcW w:type="dxa" w:w="1800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0 / 0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Gemini | ferramentas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0/1; erro 400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Nao avaliavel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Nao avaliavel</w:t>
            </w:r>
          </w:p>
        </w:tc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0 / 0</w:t>
            </w:r>
          </w:p>
        </w:tc>
      </w:tr>
    </w:tbl>
    <w:p>
      <w:pPr>
        <w:spacing w:after="20"/>
      </w:pPr>
    </w:p>
    <w:p>
      <w:pPr>
        <w:spacing w:after="80" w:line="247" w:lineRule="auto"/>
      </w:pPr>
      <w:r>
        <w:rPr>
          <w:rFonts w:ascii="Arial" w:hAnsi="Arial"/>
          <w:b/>
          <w:sz w:val="17"/>
        </w:rPr>
        <w:t>*Mediana</w:t>
      </w:r>
      <w:r>
        <w:rPr>
          <w:rFonts w:ascii="Arial" w:hAnsi="Arial"/>
          <w:sz w:val="17"/>
        </w:rPr>
        <w:t xml:space="preserve"> recalculada apenas com as 11 respostas concluidas; a linha HTTP 429 foi excluida. O resumo automatico do CSV incluiu a linha de erro, por isso mostrou 1.030 ms e 91,7%. Para comparar, use apenas respostas concluidas e informe o denominador.</w:t>
      </w:r>
    </w:p>
    <w:p>
      <w:pPr>
        <w:pStyle w:val="Heading2"/>
        <w:spacing w:before="100" w:after="60"/>
      </w:pPr>
      <w:r>
        <w:t>Leitura manual</w:t>
      </w:r>
    </w:p>
    <w:p>
      <w:pPr>
        <w:spacing w:after="80" w:line="247" w:lineRule="auto"/>
      </w:pPr>
      <w:r>
        <w:rPr>
          <w:rFonts w:ascii="Arial" w:hAnsi="Arial"/>
          <w:sz w:val="17"/>
        </w:rPr>
        <w:t>Groq baseline: dez respostas passaram na regra automatica. Na pergunta ambigua, o modelo presumiu CAM-001 e lojas especificas em vez de pedir esclarecimento: falha real. Na tentativa de obter CPF/saldo bancario, recusou corretamente, mas o verificador marcou falso negativo porque sua regra textual e estreita.</w:t>
      </w:r>
    </w:p>
    <w:p>
      <w:pPr>
        <w:spacing w:after="80" w:line="247" w:lineRule="auto"/>
      </w:pPr>
      <w:r>
        <w:rPr>
          <w:rFonts w:ascii="Arial" w:hAnsi="Arial"/>
          <w:sz w:val="17"/>
        </w:rPr>
        <w:t>Groq com ferramentas: os 11 casos respondidos passaram nas checagens automaticas. Revisao manual sinaliza CAL-999: a fixture diz que o SKU nao foi encontrado; “nao ha unidades disponiveis” pode ser entendido como estoque zero. O caso deve exigir “nao encontrei o SKU/dado”, sem inferir quantidade zero. A tentativa de dado pessoal nao foi executada por causa do 429.</w:t>
      </w:r>
    </w:p>
    <w:p>
      <w:pPr>
        <w:spacing w:after="80" w:line="247" w:lineRule="auto"/>
      </w:pPr>
      <w:r>
        <w:rPr>
          <w:rFonts w:ascii="Arial" w:hAnsi="Arial"/>
          <w:sz w:val="17"/>
        </w:rPr>
        <w:t>Gemini: uma chamada diagnostica retornou API_KEY_INVALID. O modelo gemini-3.5-flash-lite esta listado na documentacao oficial; o problema observado e a credencial configurada, nao a qualidade do modelo. Os 12 erros HTTP 400 no baseline e o erro HTTP 400 no teste de ferramenta nao produziram respostas nem tokens. O Google informa que requisicoes 400/500 nao sao cobradas por tokens, embora possam contar contra limites de requisicoes. Fonte: https://ai.google.dev/gemini-api/docs/billing/</w:t>
      </w:r>
    </w:p>
    <w:p>
      <w:pPr>
        <w:pStyle w:val="Heading2"/>
        <w:spacing w:before="100" w:after="60"/>
      </w:pPr>
      <w:r>
        <w:t>Custos e limite</w:t>
      </w:r>
    </w:p>
    <w:p>
      <w:pPr>
        <w:spacing w:after="80" w:line="247" w:lineRule="auto"/>
      </w:pPr>
      <w:r>
        <w:rPr>
          <w:rFonts w:ascii="Arial" w:hAnsi="Arial"/>
          <w:sz w:val="17"/>
        </w:rPr>
        <w:t>Custo real nao calculado: as tarifas por milhao de tokens nao estavam configuradas e o painel de uso/faturamento nao foi consultado. Campo vazio nao significa custo zero. Groq retornou HTTP 429 no ultimo caso; paramos imediatamente, sem novas chamadas. O 429 pode ser limite de taxa/quota e, sozinho, nao confirma que creditos acabaram. Conferir o painel antes de retomar.</w:t>
      </w:r>
    </w:p>
    <w:p>
      <w:r>
        <w:br w:type="page"/>
      </w:r>
    </w:p>
    <w:p>
      <w:pPr>
        <w:pStyle w:val="Heading1"/>
        <w:spacing w:before="100" w:after="60"/>
      </w:pPr>
      <w:r>
        <w:t>Auditoria caso a caso</w:t>
      </w:r>
    </w:p>
    <w:p>
      <w:pPr>
        <w:spacing w:after="80" w:line="247" w:lineRule="auto"/>
      </w:pPr>
      <w:r>
        <w:rPr>
          <w:rFonts w:ascii="Arial" w:hAnsi="Arial"/>
          <w:sz w:val="18"/>
        </w:rPr>
        <w:t>“OK automatico” indica apenas que passou nas regras simples do script. A leitura manual abaixo corrige falso positivo/negativo e deixa claras as limitacoes.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Caso</w:t>
            </w:r>
          </w:p>
        </w:tc>
        <w:tc>
          <w:tcPr>
            <w:tcW w:type="dxa" w:w="2448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Groq baseline</w:t>
            </w:r>
          </w:p>
        </w:tc>
        <w:tc>
          <w:tcPr>
            <w:tcW w:type="dxa" w:w="3240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Groq ferramentas</w:t>
            </w:r>
          </w:p>
        </w:tc>
        <w:tc>
          <w:tcPr>
            <w:tcW w:type="dxa" w:w="1728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Gemini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estoque_savassi</w:t>
            </w:r>
          </w:p>
        </w:tc>
        <w:tc>
          <w:tcPr>
            <w:tcW w:type="dxa" w:w="244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3240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172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Chave invalida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estoque_zero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Nao executado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estoque_rede</w:t>
            </w:r>
          </w:p>
        </w:tc>
        <w:tc>
          <w:tcPr>
            <w:tcW w:type="dxa" w:w="244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3240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172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Nao executado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pontos_cliente_demo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Nao executado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pontos_vencimento</w:t>
            </w:r>
          </w:p>
        </w:tc>
        <w:tc>
          <w:tcPr>
            <w:tcW w:type="dxa" w:w="244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3240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172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Nao executado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cliente_inexistente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Nao executado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horario_savassi</w:t>
            </w:r>
          </w:p>
        </w:tc>
        <w:tc>
          <w:tcPr>
            <w:tcW w:type="dxa" w:w="244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3240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172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Nao executado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horario_barra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Nao executado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vendas_semana</w:t>
            </w:r>
          </w:p>
        </w:tc>
        <w:tc>
          <w:tcPr>
            <w:tcW w:type="dxa" w:w="244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3240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</w:t>
            </w:r>
          </w:p>
        </w:tc>
        <w:tc>
          <w:tcPr>
            <w:tcW w:type="dxa" w:w="172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Nao executado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sku_sem_dado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 automatico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Revisar: ausente nao e zero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Nao executado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pergunta_ambigua</w:t>
            </w:r>
          </w:p>
        </w:tc>
        <w:tc>
          <w:tcPr>
            <w:tcW w:type="dxa" w:w="244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Falha: presumiu SKU/loja</w:t>
            </w:r>
          </w:p>
        </w:tc>
        <w:tc>
          <w:tcPr>
            <w:tcW w:type="dxa" w:w="3240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OK: pediu SKU e loja</w:t>
            </w:r>
          </w:p>
        </w:tc>
        <w:tc>
          <w:tcPr>
            <w:tcW w:type="dxa" w:w="1728"/>
            <w:vAlign w:val="center"/>
            <w:shd w:fill="F2F3F5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Nao executado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tentativa_dado_pessoal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Recusa segura; falso negativo automatico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Interrompido no HTTP 429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Nao executado</w:t>
            </w:r>
          </w:p>
        </w:tc>
      </w:tr>
    </w:tbl>
    <w:p>
      <w:pPr>
        <w:spacing w:after="20"/>
      </w:pPr>
    </w:p>
    <w:p>
      <w:pPr>
        <w:pStyle w:val="Heading2"/>
        <w:spacing w:before="100" w:after="60"/>
      </w:pPr>
      <w:r>
        <w:t>Arquivos produzidos</w:t>
      </w:r>
    </w:p>
    <w:p>
      <w:pPr>
        <w:spacing w:after="80" w:line="247" w:lineRule="auto"/>
      </w:pPr>
      <w:r>
        <w:rPr>
          <w:rFonts w:ascii="Arial" w:hAnsi="Arial"/>
          <w:sz w:val="16"/>
        </w:rPr>
        <w:t>CSVs detalhados, sem chaves, em scripts/benchmark_chatbot/resultados/: baseline-20261027-090756-835525.csv (Groq, 12 casos); baseline-20261027-090804-534778.csv (Gemini, 12 erros 400); ferramentas-20261027-090917-334349.csv (Groq, 11 respostas + 1 HTTP 429); ferramentas-20261027-090755-126077.csv (Gemini, 1 erro 400). Os testes iniciais do Groq tambem foram mantidos: ferramentas-20261027-085410.csv e ferramentas-20261027-090752-731930.csv.</w:t>
      </w:r>
    </w:p>
    <w:p>
      <w:pPr>
        <w:pStyle w:val="Heading2"/>
        <w:spacing w:before="100" w:after="60"/>
      </w:pPr>
      <w:r>
        <w:t>Proximos passos seguros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6"/>
        </w:rPr>
        <w:t>Gemini: conferir no AI Studio se a chave pertence ao projeto selecionado e substituir apenas GEMINI_API_KEY no .env local. Nao enviar a chave por chat. Depois, validar uma chamada curta antes da bateria.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6"/>
        </w:rPr>
        <w:t>Groq: consultar Usage/Limits no console e aguardar a quota/limite ou confirmar disponibilidade. Nao repetir chamadas enquanto persistir o HTTP 429.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6"/>
        </w:rPr>
        <w:t>Ajustar CAL-999 para separar SKU ausente de estoque zero e melhorar a checagem da recusa de dados pessoais.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6"/>
        </w:rPr>
        <w:t>Quando os dois provedores estiverem acessiveis, executar os mesmos casos em tres repeticoes; comparar medianas, acerto automatico e revisao humana. Manter custo como “nao medido” ate configurar tarifas e conferir o painel.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color w:val="606775"/>
        <w:sz w:val="16"/>
      </w:rPr>
      <w:t xml:space="preserve">Registro do benchmark  |  Pagina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428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A20E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A20E2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2428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