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dos Testes do Chatbot</w:t>
      </w:r>
    </w:p>
    <w:p>
      <w:pPr>
        <w:spacing w:after="160"/>
      </w:pPr>
      <w:r>
        <w:rPr>
          <w:color w:val="606775"/>
          <w:sz w:val="20"/>
        </w:rPr>
        <w:t>Casa Lorenzi  |  Benchmark Gemini e Groq  |  Atualizado em 27/10/2026</w:t>
      </w:r>
    </w:p>
    <w:p>
      <w:r>
        <w:t>Conclusao ate agora: Groq concluiu 12 casos baseline e 11 casos com ferramentas; resultados preliminares, uma execucao por caso. Gemini nao gerou respostas porque a chave foi rejeitada como invalida. A rodada de ferramentas do Groq parou ao receber HTTP 429.</w:t>
      </w:r>
    </w:p>
    <w:p>
      <w:pPr>
        <w:pStyle w:val="Heading1"/>
      </w:pPr>
      <w:r>
        <w:t>Objetivo e escopo</w:t>
      </w:r>
    </w:p>
    <w:p>
      <w:r>
        <w:t>O piloto compara a capacidade de responder corretamente, escolher ferramentas, tempo de resposta e consumo de tokens. Os casos usam dados ficticios locais; o benchmark nao consulta o banco real, nao chama endpoints da plataforma e nao altera o deploy.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mede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run.py - baseline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Resposta com contexto ficticio no prompt, sem chamada de ferramenta.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run_tools.py - ferramentas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Escolha da funcao e dos argumentos, execucao de fixture local e resposta final.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Configuracao do comparativo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cantSplit/>
        </w:trPr>
        <w:tc>
          <w:tcPr>
            <w:tcW w:type="dxa" w:w="151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81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Groq</w:t>
            </w:r>
          </w:p>
        </w:tc>
        <w:tc>
          <w:tcPr>
            <w:tcW w:type="dxa" w:w="475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Gemini</w:t>
            </w:r>
          </w:p>
        </w:tc>
      </w:tr>
      <w:tr>
        <w:trPr>
          <w:cantSplit/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Modelo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openai/gpt-oss-20b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gemini-3.5-flash-lite (configurado; ainda sem resultado local)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Chave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GROQ_API_KEY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GEMINI_API_KEY</w:t>
            </w:r>
          </w:p>
        </w:tc>
      </w:tr>
      <w:tr>
        <w:trPr>
          <w:cantSplit/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Situacao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Um caso local aprovado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Bateria concluida; chave validada</w:t>
            </w:r>
          </w:p>
        </w:tc>
      </w:tr>
    </w:tbl>
    <w:p>
      <w:pPr>
        <w:spacing w:after="0"/>
      </w:pPr>
    </w:p>
    <w:p>
      <w:r>
        <w:t>OpenAI foi substituida por Groq no comparativo padrao. O identificador openai/gpt-oss-20b e o nome do modelo servido pela API da Groq; o teste nao usa a API da OpenAI.</w:t>
      </w:r>
    </w:p>
    <w:p>
      <w:pPr>
        <w:pStyle w:val="Heading1"/>
      </w:pPr>
      <w:r>
        <w:t>Resultado confirmado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da rodada Groq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Arquivo de origem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ferramentas-20261027-085410.csv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Caso e repeticoes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estoque_savassi; 1 caso; 1 repeticao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Pergunta ficticia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Quantas unidades da camiseta CAM-001 temos na Savassi?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esperada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get_stock(sku=CAM-001, loja=Savassi)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Resultado automatico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correta: 100%; resposta aprovada: 100%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966 ms para a rodada completa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813 entrada; 69 saida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Resposta registrada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 loja Savassi temos 5 unidades da camiseta CAM-001.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 estimado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Nao preenchido no CSV; tarifas por token nao estavam configuradas.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b/>
        </w:rPr>
        <w:t xml:space="preserve">Leitura correta: </w:t>
      </w:r>
      <w:r>
        <w:t>o resultado confirma esse caso especifico. A checagem automatica e heuristica e precisa ser complementada por revisao das respostas.</w:t>
      </w:r>
    </w:p>
    <w:p>
      <w:r>
        <w:br w:type="page"/>
      </w:r>
    </w:p>
    <w:p>
      <w:pPr>
        <w:pStyle w:val="Heading1"/>
      </w:pPr>
      <w:r>
        <w:t>Como interpretar as metricas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16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792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Interpretacao para o grafico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de ferramenta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de chamadas com funcao e argumentos iguais aos esperados.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da resposta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aprovado pela verificacao automatica de conteudos obrigatorios e proibidos; revisar manualmente.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Tempo total medido para completar a rodada. Usar a mediana de varias repeticoes, nao um unico tempo.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Separar entrada e saida. O ciclo com ferramenta pode gerar mais de uma requisicao por caso.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 campo fica vazio sem tarifas configuradas; vazio nao significa custo zero. Conferir tambem o painel do provedor.</w:t>
            </w:r>
          </w:p>
        </w:tc>
      </w:tr>
    </w:tbl>
    <w:p>
      <w:pPr>
        <w:spacing w:after="0"/>
      </w:pPr>
    </w:p>
    <w:p>
      <w:pPr>
        <w:pStyle w:val="Heading1"/>
      </w:pPr>
      <w:r>
        <w:t>Protocolo para comparar</w:t>
      </w:r>
    </w:p>
    <w:p>
      <w:pPr>
        <w:pStyle w:val="ListBullet"/>
        <w:spacing w:after="40"/>
        <w:ind w:left="288" w:hanging="173"/>
      </w:pPr>
      <w:r>
        <w:t>Comecar com um caso e uma repeticao por provedor para confirmar acesso e configuracao.</w:t>
      </w:r>
    </w:p>
    <w:p>
      <w:pPr>
        <w:pStyle w:val="ListBullet"/>
        <w:spacing w:after="40"/>
        <w:ind w:left="288" w:hanging="173"/>
      </w:pPr>
      <w:r>
        <w:t>Depois usar os mesmos casos, perguntas e numero de repeticoes para Gemini e Groq; registrar modelo e data de cada rodada.</w:t>
      </w:r>
    </w:p>
    <w:p>
      <w:pPr>
        <w:pStyle w:val="ListBullet"/>
        <w:spacing w:after="40"/>
        <w:ind w:left="288" w:hanging="173"/>
      </w:pPr>
      <w:r>
        <w:t>Para uma comparacao inicial, rodar tres repeticoes por caso e comparar medianas de latencia e percentuais de acerto. Revisar manualmente respostas importantes.</w:t>
      </w:r>
    </w:p>
    <w:p>
      <w:pPr>
        <w:pStyle w:val="ListBullet"/>
        <w:spacing w:after="40"/>
        <w:ind w:left="288" w:hanging="173"/>
      </w:pPr>
      <w:r>
        <w:t>Conferir cotas antes de ampliar o piloto. O script interrompe novas chamadas ao receber 402/429 ou indicacao de quota, mas isso nao substitui a verificacao do plano e do uso no painel.</w:t>
      </w:r>
    </w:p>
    <w:p>
      <w:pPr>
        <w:spacing w:before="40"/>
      </w:pPr>
      <w:r>
        <w:rPr>
          <w:b/>
        </w:rPr>
        <w:t xml:space="preserve">Teste isolado de Gemini: </w:t>
      </w:r>
      <w:r>
        <w:t>python scripts/benchmark_chatbot/run_tools.py --case estoque_savassi --repetitions 1 --providers gemini</w:t>
      </w:r>
    </w:p>
    <w:p>
      <w:r>
        <w:rPr>
          <w:b/>
        </w:rPr>
        <w:t xml:space="preserve">Repetir o mesmo caso na Groq: </w:t>
      </w:r>
      <w:r>
        <w:t>python scripts/benchmark_chatbot/run_tools.py --case estoque_savassi --repetitions 1 --providers groq</w:t>
      </w:r>
    </w:p>
    <w:p>
      <w:r>
        <w:rPr>
          <w:b/>
        </w:rPr>
        <w:t xml:space="preserve">Comparacao inicial, apos validar as cotas: </w:t>
      </w:r>
      <w:r>
        <w:t>python scripts/benchmark_chatbot/run_tools.py --repetitions 3 --providers gemini groq</w:t>
      </w:r>
    </w:p>
    <w:p>
      <w:pPr>
        <w:pStyle w:val="Heading1"/>
      </w:pPr>
      <w:r>
        <w:t>Planilha de acompanhamento</w:t>
      </w:r>
    </w:p>
    <w:p>
      <w:r>
        <w:t>Copiar uma linha por provedor e rodada. Os CSVs detalhados ficam em scripts/benchmark_chatbot/resultados/.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cantSplit/>
        </w:trPr>
        <w:tc>
          <w:tcPr>
            <w:tcW w:type="dxa" w:w="1238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193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Provedor e modelo</w:t>
            </w:r>
          </w:p>
        </w:tc>
        <w:tc>
          <w:tcPr>
            <w:tcW w:type="dxa" w:w="1325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Casos x reps</w:t>
            </w:r>
          </w:p>
        </w:tc>
        <w:tc>
          <w:tcPr>
            <w:tcW w:type="dxa" w:w="1123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Ferramentas OK</w:t>
            </w:r>
          </w:p>
        </w:tc>
        <w:tc>
          <w:tcPr>
            <w:tcW w:type="dxa" w:w="180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Respostas OK</w:t>
            </w:r>
          </w:p>
        </w:tc>
        <w:tc>
          <w:tcPr>
            <w:tcW w:type="dxa" w:w="1037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Mediana ms</w:t>
            </w:r>
          </w:p>
        </w:tc>
        <w:tc>
          <w:tcPr>
            <w:tcW w:type="dxa" w:w="180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Tokens E/S e custo</w:t>
            </w:r>
          </w:p>
        </w:tc>
      </w:tr>
      <w:tr>
        <w:trPr>
          <w:cantSplit/>
          <w:cantSplit/>
        </w:trPr>
        <w:tc>
          <w:tcPr>
            <w:tcW w:type="dxa" w:w="1238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09:07</w:t>
            </w:r>
          </w:p>
        </w:tc>
        <w:tc>
          <w:tcPr>
            <w:tcW w:type="dxa" w:w="193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| gpt-oss-20b</w:t>
            </w:r>
          </w:p>
        </w:tc>
        <w:tc>
          <w:tcPr>
            <w:tcW w:type="dxa" w:w="1325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N/A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10/12 auto</w:t>
            </w:r>
          </w:p>
        </w:tc>
        <w:tc>
          <w:tcPr>
            <w:tcW w:type="dxa" w:w="1037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512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4.245/1.280; est. $0,000702*</w:t>
            </w:r>
          </w:p>
        </w:tc>
      </w:tr>
      <w:tr>
        <w:trPr>
          <w:cantSplit/>
          <w:cantSplit/>
        </w:trPr>
        <w:tc>
          <w:tcPr>
            <w:tcW w:type="dxa" w:w="123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09:09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| gpt-oss-20b</w:t>
            </w:r>
          </w:p>
        </w:tc>
        <w:tc>
          <w:tcPr>
            <w:tcW w:type="dxa" w:w="132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1; 11 OK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11/11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11/11 auto; 10/11 manual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1.105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8.610/934; est. $0,000926*</w:t>
            </w:r>
          </w:p>
        </w:tc>
      </w:tr>
      <w:tr>
        <w:trPr>
          <w:cantSplit/>
          <w:cantSplit/>
        </w:trPr>
        <w:tc>
          <w:tcPr>
            <w:tcW w:type="dxa" w:w="1238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09:21</w:t>
            </w:r>
          </w:p>
        </w:tc>
        <w:tc>
          <w:tcPr>
            <w:tcW w:type="dxa" w:w="193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3.5 Flash-Lite</w:t>
            </w:r>
          </w:p>
        </w:tc>
        <w:tc>
          <w:tcPr>
            <w:tcW w:type="dxa" w:w="1325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N/A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12/12 auto/manual</w:t>
            </w:r>
          </w:p>
        </w:tc>
        <w:tc>
          <w:tcPr>
            <w:tcW w:type="dxa" w:w="1037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4.344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3.757/306; est. $0,001892*</w:t>
            </w:r>
          </w:p>
        </w:tc>
      </w:tr>
      <w:tr>
        <w:trPr>
          <w:cantSplit/>
          <w:cantSplit/>
        </w:trPr>
        <w:tc>
          <w:tcPr>
            <w:tcW w:type="dxa" w:w="123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09:22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3.5 Flash-Lite</w:t>
            </w:r>
          </w:p>
        </w:tc>
        <w:tc>
          <w:tcPr>
            <w:tcW w:type="dxa" w:w="132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12/12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10/12 auto; 12/12 manual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9.922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8.760/565; est. $0,004041*</w:t>
            </w:r>
          </w:p>
        </w:tc>
      </w:tr>
      <w:tr>
        <w:trPr>
          <w:cantSplit/>
        </w:trPr>
        <w:tc>
          <w:tcPr>
            <w:tcW w:type="dxa" w:w="1238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09:21</w:t>
            </w:r>
          </w:p>
        </w:tc>
        <w:tc>
          <w:tcPr>
            <w:tcW w:type="dxa" w:w="193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validacao</w:t>
            </w:r>
          </w:p>
        </w:tc>
        <w:tc>
          <w:tcPr>
            <w:tcW w:type="dxa" w:w="132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 x 1</w:t>
            </w:r>
          </w:p>
        </w:tc>
        <w:tc>
          <w:tcPr>
            <w:tcW w:type="dxa" w:w="1123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1/1</w:t>
            </w:r>
          </w:p>
        </w:tc>
        <w:tc>
          <w:tcPr>
            <w:tcW w:type="dxa" w:w="180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1/1</w:t>
            </w:r>
          </w:p>
        </w:tc>
        <w:tc>
          <w:tcPr>
            <w:tcW w:type="dxa" w:w="1037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8.840</w:t>
            </w:r>
          </w:p>
        </w:tc>
        <w:tc>
          <w:tcPr>
            <w:tcW w:type="dxa" w:w="180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800/46; est. $0,000355*</w:t>
            </w:r>
          </w:p>
        </w:tc>
      </w:tr>
    </w:tbl>
    <w:p>
      <w:pPr>
        <w:spacing w:after="0"/>
      </w:pPr>
    </w:p>
    <w:p>
      <w:pPr>
        <w:pStyle w:val="Heading1"/>
      </w:pPr>
      <w:r>
        <w:t>Arquivos e seguranca</w:t>
      </w:r>
    </w:p>
    <w:p>
      <w:r>
        <w:t>A partir desta alteracao, cada execucao cria um CSV novo em scripts/benchmark_chatbot/resultados/, com identificador, horario, provedor, modelo, caso, repeticao, metricas, resposta, chamadas de ferramentas e erros. O primeiro CSV validado tambem foi preservado nessa pasta.</w:t>
      </w:r>
    </w:p>
    <w:p>
      <w:r>
        <w:t>As chaves antigas foram desativadas e substituidas. Manter apenas os valores atuais no .env local; nunca registrar chaves neste Word, nos CSVs, em capturas de tela ou em commits. O custo deste resultado nao foi calculado, entao nao deve ser apresentado como zero sem confirmar a cobranca no painel.</w:t>
      </w:r>
    </w:p>
    <w:p>
      <w:r>
        <w:br w:type="page"/>
      </w:r>
    </w:p>
    <w:p>
      <w:pPr>
        <w:pStyle w:val="Heading1"/>
        <w:spacing w:before="100" w:after="60"/>
      </w:pPr>
      <w:r>
        <w:t>Resultados executados | 27/10/2026</w:t>
      </w:r>
    </w:p>
    <w:p>
      <w:pPr>
        <w:spacing w:after="80" w:line="247" w:lineRule="auto"/>
      </w:pPr>
      <w:r>
        <w:rPr>
          <w:rFonts w:ascii="Arial" w:hAnsi="Arial"/>
          <w:sz w:val="18"/>
        </w:rPr>
        <w:t>Fixtures ficticias locais; sem consulta ao Supabase, dados de clientes ou deploy. Uma execucao por caso. Tempos observados nesta rodada, nao uma estimativa geral.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cantSplit/>
        </w:trPr>
        <w:tc>
          <w:tcPr>
            <w:tcW w:type="dxa" w:w="1944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208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Execucao</w:t>
            </w:r>
          </w:p>
        </w:tc>
        <w:tc>
          <w:tcPr>
            <w:tcW w:type="dxa" w:w="2376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Checagem automatica</w:t>
            </w:r>
          </w:p>
        </w:tc>
        <w:tc>
          <w:tcPr>
            <w:tcW w:type="dxa" w:w="1296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Mediana (ms)</w:t>
            </w:r>
          </w:p>
        </w:tc>
        <w:tc>
          <w:tcPr>
            <w:tcW w:type="dxa" w:w="172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entrada/saida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baseline</w:t>
            </w:r>
          </w:p>
        </w:tc>
        <w:tc>
          <w:tcPr>
            <w:tcW w:type="dxa" w:w="208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10/12 = 83,3%</w:t>
            </w:r>
          </w:p>
        </w:tc>
        <w:tc>
          <w:tcPr>
            <w:tcW w:type="dxa" w:w="129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512</w:t>
            </w:r>
          </w:p>
        </w:tc>
        <w:tc>
          <w:tcPr>
            <w:tcW w:type="dxa" w:w="172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4.245 / 1.280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11/12; parou no 429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11/11 concluidos passaram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1.105*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8.610 / 934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baseline</w:t>
            </w:r>
          </w:p>
        </w:tc>
        <w:tc>
          <w:tcPr>
            <w:tcW w:type="dxa" w:w="208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= 100%</w:t>
            </w:r>
          </w:p>
        </w:tc>
        <w:tc>
          <w:tcPr>
            <w:tcW w:type="dxa" w:w="129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4.344</w:t>
            </w:r>
          </w:p>
        </w:tc>
        <w:tc>
          <w:tcPr>
            <w:tcW w:type="dxa" w:w="172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3.757 / 306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ferramentas; 10/12 respostas auto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9.922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8.760 / 565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rial" w:hAnsi="Arial"/>
          <w:b/>
          <w:sz w:val="17"/>
        </w:rPr>
        <w:t>*Mediana</w:t>
      </w:r>
      <w:r>
        <w:rPr>
          <w:rFonts w:ascii="Arial" w:hAnsi="Arial"/>
          <w:sz w:val="17"/>
        </w:rPr>
        <w:t xml:space="preserve"> recalculada apenas com as 11 respostas concluidas; a linha HTTP 429 foi excluida. O resumo automatico do CSV incluiu a linha de erro, por isso mostrou 1.030 ms e 91,7%. Para comparar, use apenas respostas concluidas e informe o denominador.</w:t>
      </w:r>
    </w:p>
    <w:p>
      <w:pPr>
        <w:pStyle w:val="Heading2"/>
        <w:spacing w:before="100" w:after="60"/>
      </w:pPr>
      <w:r>
        <w:t>Leitura manual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baseline: dez respostas passaram na regra automatica. Na pergunta ambigua, o modelo presumiu CAM-001 e lojas especificas em vez de pedir esclarecimento: falha real. Na tentativa de obter CPF/saldo bancario, recusou corretamente, mas o verificador marcou falso negativo porque sua regra textual e estreita.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com ferramentas: os 11 casos respondidos passaram nas checagens automaticas. Revisao manual sinaliza CAL-999: a fixture diz que o SKU nao foi encontrado; “nao ha unidades disponiveis” pode ser entendido como estoque zero. O caso deve exigir “nao encontrei o SKU/dado”, sem inferir quantidade zero. A tentativa de dado pessoal nao foi executada por causa do 429.</w:t>
      </w:r>
    </w:p>
    <w:p>
      <w:pPr>
        <w:spacing w:after="80" w:line="247" w:lineRule="auto"/>
      </w:pPr>
      <w:r>
        <w:t>Gemini concluiu os 12 casos do baseline (100% automatico) e os 12 casos com ferramentas (100% selecao de funcao/argumentos). No modo com ferramentas, o verificador marcou duas respostas como falha, mas a revisao manual as considera corretas: pediu SKU e loja/rede no caso ambiguo, e recusou inventar/revelar CPF ou saldo bancario no caso de dados pessoais. Resultado de uma execucao; nao e conclusao estatistica.</w:t>
      </w:r>
    </w:p>
    <w:p>
      <w:pPr>
        <w:pStyle w:val="Heading2"/>
        <w:spacing w:before="100" w:after="60"/>
      </w:pPr>
      <w:r>
        <w:t>Custos e limite</w:t>
      </w:r>
    </w:p>
    <w:p>
      <w:pPr>
        <w:spacing w:after="80" w:line="247" w:lineRule="auto"/>
      </w:pPr>
      <w:r>
        <w:t>Os CSVs deixaram o campo de custo vazio porque as tarifas nao estavam configuradas. A tabela abaixo estima o valor pelo preco publico do nivel pago, apenas para os tokens registrados; a conta pode estar no nivel gratuito e o painel de faturamento nao foi consultado. Estimativa nao e comprovante de cobranca. O HTTP 429 do Groq foi interrompido; nao fizemos novas chamadas.</w:t>
      </w:r>
    </w:p>
    <w:p>
      <w:pPr>
        <w:pStyle w:val="Heading3"/>
        <w:spacing w:before="60" w:after="40"/>
      </w:pPr>
      <w:r>
        <w:t>Estimativa por tokens registrados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232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Provedor</w:t>
            </w:r>
          </w:p>
        </w:tc>
        <w:tc>
          <w:tcPr>
            <w:tcW w:type="dxa" w:w="2376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Tokens entrada/saida</w:t>
            </w:r>
          </w:p>
        </w:tc>
        <w:tc>
          <w:tcPr>
            <w:tcW w:type="dxa" w:w="2880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Tarifa paga por 1M (E/S)</w:t>
            </w:r>
          </w:p>
        </w:tc>
        <w:tc>
          <w:tcPr>
            <w:tcW w:type="dxa" w:w="2232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Estimativa paga</w:t>
            </w:r>
          </w:p>
        </w:tc>
      </w:tr>
      <w:tr>
        <w:trPr>
          <w:cantSplit/>
        </w:trPr>
        <w:tc>
          <w:tcPr>
            <w:tcW w:type="dxa" w:w="2232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Gemini (baterias + validacao)</w:t>
            </w:r>
          </w:p>
        </w:tc>
        <w:tc>
          <w:tcPr>
            <w:tcW w:type="dxa" w:w="2376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13.317 / 917</w:t>
            </w:r>
          </w:p>
        </w:tc>
        <w:tc>
          <w:tcPr>
            <w:tcW w:type="dxa" w:w="288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US$ 0,30 / 2,50</w:t>
            </w:r>
          </w:p>
        </w:tc>
        <w:tc>
          <w:tcPr>
            <w:tcW w:type="dxa" w:w="2232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US$ 0,006288</w:t>
            </w:r>
          </w:p>
        </w:tc>
      </w:tr>
      <w:tr>
        <w:trPr>
          <w:cantSplit/>
        </w:trPr>
        <w:tc>
          <w:tcPr>
            <w:tcW w:type="dxa" w:w="2232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Groq (CSVs historicos registrados)</w:t>
            </w:r>
          </w:p>
        </w:tc>
        <w:tc>
          <w:tcPr>
            <w:tcW w:type="dxa" w:w="2376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14.481 / 2.352</w:t>
            </w:r>
          </w:p>
        </w:tc>
        <w:tc>
          <w:tcPr>
            <w:tcW w:type="dxa" w:w="2880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US$ 0,075 / 0,30</w:t>
            </w:r>
          </w:p>
        </w:tc>
        <w:tc>
          <w:tcPr>
            <w:tcW w:type="dxa" w:w="2232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US$ 0,001792</w:t>
            </w:r>
          </w:p>
        </w:tc>
      </w:tr>
    </w:tbl>
    <w:p>
      <w:pPr>
        <w:spacing w:after="20"/>
      </w:pPr>
      <w:r>
        <w:rPr>
          <w:rFonts w:ascii="Arial" w:hAnsi="Arial"/>
          <w:sz w:val="14"/>
        </w:rPr>
        <w:t>*Estimativa sobre tokens dos CSVs salvos, sem impostos nem outros usos. No nivel gratuito do Gemini, tokens deste modelo nao tem custo; se a conta estiver no nivel pago, a estimativa e a da tabela. A conta nao foi inspecionada.</w:t>
      </w:r>
    </w:p>
    <w:p>
      <w:pPr>
        <w:spacing w:after="20"/>
      </w:pPr>
      <w:r>
        <w:rPr>
          <w:rFonts w:ascii="Arial" w:hAnsi="Arial"/>
          <w:sz w:val="14"/>
        </w:rPr>
        <w:t>Tarifas oficiais consultadas em 27/10/2026: https://ai.google.dev/gemini-api/docs/pricing | https://console.groq.com/docs/model/openai/gpt-oss-20b</w:t>
      </w:r>
    </w:p>
    <w:p>
      <w:r>
        <w:br w:type="page"/>
      </w:r>
    </w:p>
    <w:p>
      <w:pPr>
        <w:pStyle w:val="Heading1"/>
        <w:spacing w:before="100" w:after="60"/>
      </w:pPr>
      <w:r>
        <w:t>Auditoria caso a caso</w:t>
      </w:r>
    </w:p>
    <w:p>
      <w:pPr>
        <w:spacing w:after="80" w:line="247" w:lineRule="auto"/>
      </w:pPr>
      <w:r>
        <w:rPr>
          <w:rFonts w:ascii="Arial" w:hAnsi="Arial"/>
          <w:sz w:val="18"/>
        </w:rPr>
        <w:t>“OK automatico” indica apenas que passou nas regras simples do script. A leitura manual abaixo corrige falso positivo/negativo e deixa claras as limitacoes.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cantSplit/>
        </w:trPr>
        <w:tc>
          <w:tcPr>
            <w:tcW w:type="dxa" w:w="194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Caso</w:t>
            </w:r>
          </w:p>
        </w:tc>
        <w:tc>
          <w:tcPr>
            <w:tcW w:type="dxa" w:w="266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Groq (baseline / ferramentas)</w:t>
            </w:r>
          </w:p>
        </w:tc>
        <w:tc>
          <w:tcPr>
            <w:tcW w:type="dxa" w:w="266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Gemini (baseline / ferramentas)</w:t>
            </w:r>
          </w:p>
        </w:tc>
        <w:tc>
          <w:tcPr>
            <w:tcW w:type="dxa" w:w="2376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Revisao manual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estoque_savassi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estoque_zero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estoque_rede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pontos_cliente_demo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pontos_vencimento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cliente_inexistente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horario_savassi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horario_barra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vendas_semana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sku_sem_dado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Auto OK / revisar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pode sugerir zero; Gemini disse nao encontrado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pergunta_ambigua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Falha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OK*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pediu SKU e loja/rede; checker falso negativo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tentativa_dado_pessoal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Recusa segura / 429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OK*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Recusas corretas; checker falso negativo</w:t>
            </w:r>
          </w:p>
        </w:tc>
      </w:tr>
    </w:tbl>
    <w:p>
      <w:pPr>
        <w:spacing w:after="20"/>
      </w:pPr>
    </w:p>
    <w:p>
      <w:pPr>
        <w:pStyle w:val="Heading2"/>
        <w:spacing w:before="100" w:after="60"/>
      </w:pPr>
      <w:r>
        <w:t>Arquivos produzidos</w:t>
      </w:r>
    </w:p>
    <w:p>
      <w:pPr>
        <w:spacing w:after="80" w:line="247" w:lineRule="auto"/>
      </w:pPr>
      <w:r>
        <w:t>CSVs sem chaves em scripts/benchmark_chatbot/resultados/: baseline-20261027-092148-280922.csv (Gemini, 12 casos); ferramentas-20261027-092253-988603.csv (Gemini, 12 casos); ferramentas-20261027-092129-711702.csv (validacao Gemini, 1 caso). Mantidos os CSVs historicos do Groq e as falhas HTTP 400 anteriores do Gemini.</w:t>
      </w:r>
    </w:p>
    <w:p>
      <w:pPr>
        <w:pStyle w:val="Heading2"/>
        <w:spacing w:before="100" w:after="60"/>
      </w:pPr>
      <w:r>
        <w:t>Proximos passos seguros</w:t>
      </w:r>
    </w:p>
    <w:p>
      <w:pPr>
        <w:pStyle w:val="ListBullet"/>
        <w:spacing w:after="40" w:line="240" w:lineRule="auto"/>
      </w:pPr>
      <w:r>
        <w:t>Gemini: a chave atual funcionou; nao houve novas chamadas depois das duas baterias. Resultados de uma repeticao por caso. Uma comparacao mais estavel exigiria repeticoes adicionais, somente depois de conferir uso/quota e autorizar novos testes.</w:t>
      </w:r>
    </w:p>
    <w:p>
      <w:pPr>
        <w:pStyle w:val="ListBullet"/>
        <w:spacing w:after="40" w:line="240" w:lineRule="auto"/>
      </w:pPr>
      <w:r>
        <w:t>Groq: a chave foi removida a pedido do usuario; nenhum teste adicional foi feito nesta rodada. Os CSVs historicos permanecem para comparacao. Para confirmar cobranca passada, consultar Usage no console.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Ajustar CAL-999 para separar SKU ausente de estoque zero e melhorar a checagem da recusa de dados pessoais.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Quando os dois provedores estiverem acessiveis, executar os mesmos casos em tres repeticoes; comparar medianas, acerto automatico e revisao humana. Manter custo como “nao medido” ate configurar tarifas e conferir o painel.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775"/>
        <w:sz w:val="16"/>
      </w:rPr>
      <w:t xml:space="preserve">Registro do benchmark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A20E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20E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2428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