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Material fonte da proposta técnica NexusPay</w:t>
      </w:r>
    </w:p>
    <w:p>
      <w:r>
        <w:rPr>
          <w:b/>
          <w:sz w:val="24"/>
        </w:rPr>
        <w:t>Transcrição simulada, entradas originais e decisões utilizadas na proposta V4</w:t>
      </w:r>
    </w:p>
    <w:p>
      <w:r>
        <w:t>Este documento reúne os insumos efetivamente usados na demonstração NexusPay. O caso, as pessoas e a reunião são fictícios e foram gerados para teste; portanto, não constituem evidência fornecida por um cliente real.</w:t>
      </w:r>
    </w:p>
    <w:p>
      <w:pPr>
        <w:pStyle w:val="Heading1"/>
      </w:pPr>
      <w:r>
        <w:t>1. Proveniência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912"/>
      </w:tblGrid>
      <w:tr>
        <w:tc>
          <w:tcPr>
            <w:tcW w:type="dxa" w:w="4896"/>
            <w:shd w:fill="1F2A5E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896"/>
            <w:shd w:fill="1F2A5E"/>
          </w:tcPr>
          <w:p>
            <w:r>
              <w:rPr>
                <w:b/>
                <w:color w:val="FFFFFF"/>
              </w:rPr>
              <w:t>Registro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Cliente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NexusPay Brasil — caso fictício</w:t>
            </w:r>
          </w:p>
        </w:tc>
      </w:tr>
      <w:tr>
        <w:tc>
          <w:tcPr>
            <w:tcW w:type="dxa" w:w="2736"/>
            <w:vAlign w:val="center"/>
            <w:shd w:fill="F3F4F6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Oportunidade</w:t>
            </w:r>
          </w:p>
        </w:tc>
        <w:tc>
          <w:tcPr>
            <w:tcW w:type="dxa" w:w="6912"/>
            <w:vAlign w:val="center"/>
            <w:shd w:fill="F3F4F6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Resiliência e proteção da plataforma de pagamentos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Modelo registrado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gemini-3.5-flash-lite</w:t>
            </w:r>
          </w:p>
        </w:tc>
      </w:tr>
      <w:tr>
        <w:tc>
          <w:tcPr>
            <w:tcW w:type="dxa" w:w="2736"/>
            <w:vAlign w:val="center"/>
            <w:shd w:fill="F3F4F6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Data da geração inicial</w:t>
            </w:r>
          </w:p>
        </w:tc>
        <w:tc>
          <w:tcPr>
            <w:tcW w:type="dxa" w:w="6912"/>
            <w:vAlign w:val="center"/>
            <w:shd w:fill="F3F4F6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2026-09-24T02:43:30.631174+00:00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Estado canônico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nexuspay-competitive-v4.json</w:t>
            </w:r>
          </w:p>
        </w:tc>
      </w:tr>
      <w:tr>
        <w:tc>
          <w:tcPr>
            <w:tcW w:type="dxa" w:w="2736"/>
            <w:vAlign w:val="center"/>
            <w:shd w:fill="F3F4F6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Template</w:t>
            </w:r>
          </w:p>
        </w:tc>
        <w:tc>
          <w:tcPr>
            <w:tcW w:type="dxa" w:w="6912"/>
            <w:vAlign w:val="center"/>
            <w:shd w:fill="F3F4F6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proposal_neutral_template.docx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Skill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akamai-proposal-authoring</w:t>
            </w:r>
          </w:p>
        </w:tc>
      </w:tr>
    </w:tbl>
    <w:p/>
    <w:p>
      <w:pPr>
        <w:pStyle w:val="Heading1"/>
      </w:pPr>
      <w:r>
        <w:t>2. Transcrição simulada da reunião</w:t>
      </w:r>
    </w:p>
    <w:p>
      <w:r>
        <w:rPr>
          <w:b/>
        </w:rPr>
        <w:t xml:space="preserve">[00:00:15] </w:t>
      </w:r>
      <w:r>
        <w:rPr>
          <w:b/>
        </w:rPr>
        <w:t>Carlos (Consultor Akamai):</w:t>
      </w:r>
      <w:r>
        <w:t xml:space="preserve"> Olá a todos, obrigado por dedicarem este tempo. Meu objetivo hoje é entendermos a fundo os desafios atuais da NexusPay, especialmente com o crescimento acelerado das transações e os novos planos de expansão.</w:t>
      </w:r>
    </w:p>
    <w:p>
      <w:r>
        <w:rPr>
          <w:b/>
        </w:rPr>
        <w:t xml:space="preserve">[00:00:42] </w:t>
      </w:r>
      <w:r>
        <w:rPr>
          <w:b/>
        </w:rPr>
        <w:t>Marina (CTO NexusPay):</w:t>
      </w:r>
      <w:r>
        <w:t xml:space="preserve"> Obrigado, Carlos. Nossa dor principal hoje é a estabilidade durante campanhas de grande porte, como a Black Friday e o Pix Day. No ano passado, tivemos gargalos no gateway e quedas parciais de API causadas por tráfego malicioso e tentativas de credential stuffing.</w:t>
      </w:r>
    </w:p>
    <w:p>
      <w:r>
        <w:rPr>
          <w:b/>
        </w:rPr>
        <w:t xml:space="preserve">[00:01:10] </w:t>
      </w:r>
      <w:r>
        <w:rPr>
          <w:b/>
        </w:rPr>
        <w:t>Roberto (CISO NexusPay):</w:t>
      </w:r>
      <w:r>
        <w:t xml:space="preserve"> Exatamente, Marina. Além disso, a regulação do Banco Central nos obriga a manter uma auditoria rigorosa e baixa latência. Qualquer atraso superior a dois segundos no checkout resulta em abandono de carrinho. Também estamos sofrendo com bots raspadores que tentam copiar nossas tabelas de taxas e roubar dados de novos lojistas no cadastro.</w:t>
      </w:r>
    </w:p>
    <w:p>
      <w:r>
        <w:rPr>
          <w:b/>
        </w:rPr>
        <w:t xml:space="preserve">[00:01:45] </w:t>
      </w:r>
      <w:r>
        <w:rPr>
          <w:b/>
        </w:rPr>
        <w:t>Carlos (Consultor Akamai):</w:t>
      </w:r>
      <w:r>
        <w:t xml:space="preserve"> Compreendo perfeitamente. Vocês hospedam a infraestrutura atual em um ambiente multi-cloud, certo? Como é feita a gestão do tráfego entre esses datacenters?</w:t>
      </w:r>
    </w:p>
    <w:p>
      <w:r>
        <w:rPr>
          <w:b/>
        </w:rPr>
        <w:t xml:space="preserve">[00:02:05] </w:t>
      </w:r>
      <w:r>
        <w:rPr>
          <w:b/>
        </w:rPr>
        <w:t>Marina (CTO NexusPay):</w:t>
      </w:r>
      <w:r>
        <w:t xml:space="preserve"> Temos aplicações em dois provedores de nuvem pública e parte em um datacenter próprio. O roteamento atual é DNS tradicional com failover manual, o que nos custa preciosos minutos quando ocorre indisponibilidade em uma das pontas. Precisamos automatizar essa resiliência sem impactar o SLA.</w:t>
      </w:r>
    </w:p>
    <w:p>
      <w:r>
        <w:rPr>
          <w:b/>
        </w:rPr>
        <w:t xml:space="preserve">[00:02:35] </w:t>
      </w:r>
      <w:r>
        <w:rPr>
          <w:b/>
        </w:rPr>
        <w:t>Roberto (CISO NexusPay):</w:t>
      </w:r>
      <w:r>
        <w:t xml:space="preserve"> E tem o desafio do compliance. Precisamos garantir que dados sensíveis de cartões e PII (Personally Identifiable Information) não fiquem expostos em logs ou sejam interceptados no trânsito, mantendo total conformidade com a LGPD e normas do PCI-DSS.</w:t>
      </w:r>
    </w:p>
    <w:p>
      <w:r>
        <w:rPr>
          <w:b/>
        </w:rPr>
        <w:t xml:space="preserve">[00:03:10] </w:t>
      </w:r>
      <w:r>
        <w:rPr>
          <w:b/>
        </w:rPr>
        <w:t>Carlos (Consultor Akamai):</w:t>
      </w:r>
      <w:r>
        <w:t xml:space="preserve"> Perfeito. Entendi que precisamos endereçar a resiliência multi-cloud, a proteção avançada contra bots e ataques volumétricos de negação de serviço, a aceleração de APIs transacionais e a segurança de dados sensíveis na borda. Vou consolidar esses pontos para desenharmos nossa proposta técnica na próxima etapa.</w:t>
      </w:r>
    </w:p>
    <w:p>
      <w:pPr>
        <w:pStyle w:val="Heading1"/>
      </w:pPr>
      <w:r>
        <w:t>3. Requisitos originais</w:t>
      </w:r>
    </w:p>
    <w:p>
      <w:pPr>
        <w:pStyle w:val="ListBullet"/>
      </w:pPr>
      <w:r>
        <w:t>Garantir alta disponibilidade e failover automatizado entre ambientes multi-cloud</w:t>
      </w:r>
    </w:p>
    <w:p>
      <w:pPr>
        <w:pStyle w:val="ListBullet"/>
      </w:pPr>
      <w:r>
        <w:t>Proteger APIs de pagamento e portais de cadastro contra ataques de bot e fraudes automatizadas</w:t>
      </w:r>
    </w:p>
    <w:p>
      <w:pPr>
        <w:pStyle w:val="ListBullet"/>
      </w:pPr>
      <w:r>
        <w:t>Mitigar ataques de negação de serviço (DDoS) volumétricos e direcionados à aplicação</w:t>
      </w:r>
    </w:p>
    <w:p>
      <w:pPr>
        <w:pStyle w:val="ListBullet"/>
      </w:pPr>
      <w:r>
        <w:t>Reduzir a latência do checkout para melhorar a conversão de vendas</w:t>
      </w:r>
    </w:p>
    <w:p>
      <w:pPr>
        <w:pStyle w:val="ListBullet"/>
      </w:pPr>
      <w:r>
        <w:t>Assegurar conformidade com requisitos regulatórios de proteção de dados (LGPD e PCI-DSS)</w:t>
      </w:r>
    </w:p>
    <w:p>
      <w:pPr>
        <w:pStyle w:val="ListBullet"/>
      </w:pPr>
      <w:r>
        <w:t>Oferecer visibilidade em tempo real do tráfego legítimo versus malicioso para o time de SOC.</w:t>
      </w:r>
    </w:p>
    <w:p>
      <w:pPr>
        <w:pStyle w:val="Heading1"/>
      </w:pPr>
      <w:r>
        <w:t>4. Escopo informado originalmente</w:t>
      </w:r>
    </w:p>
    <w:p>
      <w:r>
        <w:t>Incluso: Análise de arquitetura de rede e DNS; avaliação de estratégias de mitigação de ameaças web e de API; cenários de roteamento global de tráfego; inspeção de conformidade de dados sensíveis em trânsito; dimensionamento de cenários de pico para e-commerce e serviços financeiros. Excluído: Alterações diretas no código interno do gateway de pagamentos; implementação prática de infraestrutura nesta fase de descoberta; homologação jurídica formal de contratos.</w:t>
      </w:r>
    </w:p>
    <w:p>
      <w:pPr>
        <w:pStyle w:val="Heading1"/>
      </w:pPr>
      <w:r>
        <w:t>5. Premissas originais</w:t>
      </w:r>
    </w:p>
    <w:p>
      <w:pPr>
        <w:pStyle w:val="ListBullet"/>
      </w:pPr>
      <w:r>
        <w:t>A NexusPay possui acesso administrativo aos seus atuais provedores de DNS e infraestrutura de nuvem</w:t>
      </w:r>
    </w:p>
    <w:p>
      <w:pPr>
        <w:pStyle w:val="ListBullet"/>
      </w:pPr>
      <w:r>
        <w:t>A equipe técnica da NexusPay participará das sessões de desenho técnico subsequentes</w:t>
      </w:r>
    </w:p>
    <w:p>
      <w:pPr>
        <w:pStyle w:val="ListBullet"/>
      </w:pPr>
      <w:r>
        <w:t>Os ambientes de homologação e produção possuem documentação de arquitetura atualizada disponível para análise.</w:t>
      </w:r>
    </w:p>
    <w:p>
      <w:pPr>
        <w:pStyle w:val="Heading1"/>
      </w:pPr>
      <w:r>
        <w:t>6. Decisões internas fornecidas para o caso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912"/>
      </w:tblGrid>
      <w:tr>
        <w:tc>
          <w:tcPr>
            <w:tcW w:type="dxa" w:w="4896"/>
            <w:shd w:fill="1F2A5E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896"/>
            <w:shd w:fill="1F2A5E"/>
          </w:tcPr>
          <w:p>
            <w:r>
              <w:rPr>
                <w:b/>
                <w:color w:val="FFFFFF"/>
              </w:rPr>
              <w:t>Registro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Garantia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 POPULOS corrigirá defeitos diretamente atribuíveis aos serviços executados por 90 dias corridos após o aceite final.</w:t>
            </w:r>
          </w:p>
        </w:tc>
      </w:tr>
      <w:tr>
        <w:tc>
          <w:tcPr>
            <w:tcW w:type="dxa" w:w="2736"/>
            <w:vAlign w:val="center"/>
            <w:shd w:fill="F3F4F6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Licenciamento</w:t>
            </w:r>
          </w:p>
        </w:tc>
        <w:tc>
          <w:tcPr>
            <w:tcW w:type="dxa" w:w="6912"/>
            <w:vAlign w:val="center"/>
            <w:shd w:fill="F3F4F6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As licenças e subscrições Akamai serão fornecidas pela POPULOS por meio de revenda autorizada e deverão estar ativas antes da configuração.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SLA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tabela institucional do template POPULOS</w:t>
            </w:r>
          </w:p>
        </w:tc>
      </w:tr>
    </w:tbl>
    <w:p/>
    <w:p>
      <w:pPr>
        <w:pStyle w:val="Heading1"/>
      </w:pPr>
      <w:r>
        <w:t>7. Outros materiais utilizados</w:t>
      </w:r>
    </w:p>
    <w:p>
      <w:pPr>
        <w:pStyle w:val="ListBullet"/>
      </w:pPr>
      <w:r>
        <w:t>Catálogo técnico implementado em sales_engineer/catalog.py.</w:t>
      </w:r>
    </w:p>
    <w:p>
      <w:pPr>
        <w:pStyle w:val="ListBullet"/>
      </w:pPr>
      <w:r>
        <w:t>Skill global e contratos dos agentes em skills/akamai-proposal-authoring.</w:t>
      </w:r>
    </w:p>
    <w:p>
      <w:pPr>
        <w:pStyle w:val="ListBullet"/>
      </w:pPr>
      <w:r>
        <w:t>Template visual e estrutural em assets/proposal_neutral_template.docx.</w:t>
      </w:r>
    </w:p>
    <w:p>
      <w:pPr>
        <w:pStyle w:val="ListBullet"/>
      </w:pPr>
      <w:r>
        <w:t>Estado estruturado final em data/proposals/nexuspay-competitive-v4.json.</w:t>
      </w:r>
    </w:p>
    <w:p>
      <w:pPr>
        <w:pStyle w:val="ListBullet"/>
      </w:pPr>
      <w:r>
        <w:t>Compositor determinístico em sales_engineer/neutral_template_builder.py.</w:t>
      </w:r>
    </w:p>
    <w:p>
      <w:pPr>
        <w:pStyle w:val="Heading1"/>
      </w:pPr>
      <w:r>
        <w:t>8. Observação de auditoria</w:t>
      </w:r>
    </w:p>
    <w:p>
      <w:r>
        <w:t>A transcrição e as entradas acima constituem o material inicial. A arquitetura, a seleção de produtos, a rastreabilidade, as ondas de implantação, os critérios de aceite e o plano de evento foram produzidos posteriormente no estado estruturado da proposta, sujeitos às regras da skill e às decisões registradas.</w:t>
      </w:r>
    </w:p>
    <w:sectPr w:rsidR="00FC693F" w:rsidRPr="0006063C" w:rsidSect="00034616">
      <w:footerReference w:type="default" r:id="rId9"/>
      <w:pgSz w:w="12240" w:h="15840"/>
      <w:pgMar w:top="835" w:right="1224" w:bottom="835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POPULOS | Material de apoio para auditoria da demonstração NexusPay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fonte da proposta técnica NexusPay</dc:title>
  <dc:subject>Transcrição e entradas da demonstração NexusPay</dc:subject>
  <dc:creator>POPULOS Sales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