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8EE2A33" w14:textId="0B40027C" w:rsidR="00AC3773" w:rsidRDefault="00B55639" w:rsidP="00AC3773">
      <w:pPr>
        <w:pStyle w:val="Subtitle0"/>
        <w:spacing w:after="0" w:line="276" w:lineRule="auto"/>
        <w:ind w:left="0"/>
        <w:rPr>
          <w:color w:val="FFFFFF" w:themeColor="background1"/>
          <w:sz w:val="48"/>
          <w:szCs w:val="48"/>
        </w:rPr>
      </w:pPr>
      <w:r>
        <w:fldChar w:fldCharType="begin"/>
      </w:r>
      <w:r>
        <w:instrText xml:space="preserve"> INCLUDEPICTURE "https://yt3.googleusercontent.com/GM9aUAG2BP22F7JircpALbMAoRz2rOY94R9NJwkmcJ8NxGaWWXNtYA3hYYKkNvVyK3_utBIL=s900-c-k-c0x00ffffff-no-rj" \* MERGEFORMATINET </w:instrText>
      </w:r>
      <w:r>
        <w:fldChar w:fldCharType="separate"/>
      </w:r>
      <w:r>
        <w:fldChar w:fldCharType="end"/>
      </w:r>
      <w:r>
        <w:rPr>
          <w:rFonts w:ascii="Open Sans" w:eastAsia="Open Sans" w:hAnsi="Open Sans" w:cs="Open Sans"/>
          <w:noProof/>
          <w:color w:val="695D46"/>
        </w:rPr>
        <w:drawing>
          <wp:anchor distT="0" distB="0" distL="114300" distR="114300" simplePos="0" relativeHeight="251659264" behindDoc="1" locked="0" layoutInCell="1" allowOverlap="1" wp14:anchorId="43DCC4BD" wp14:editId="023D3B8F">
            <wp:simplePos x="0" y="0"/>
            <wp:positionH relativeFrom="page">
              <wp:posOffset>0</wp:posOffset>
            </wp:positionH>
            <wp:positionV relativeFrom="paragraph">
              <wp:posOffset>-339984</wp:posOffset>
            </wp:positionV>
            <wp:extent cx="7781192" cy="10729945"/>
            <wp:effectExtent l="0" t="0" r="4445" b="1905"/>
            <wp:wrapNone/>
            <wp:docPr id="130306582" name="Imagem 1" descr="A blue and white background with text  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06582" name="Imagem 1" descr="A blue and white background with text  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81192" cy="10729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E754C45" w14:textId="7E032A73" w:rsidR="00C50EC5" w:rsidRDefault="00C50EC5" w:rsidP="00C50EC5">
      <w:pPr>
        <w:pStyle w:val="Subtitle0"/>
        <w:spacing w:after="0" w:line="276" w:lineRule="auto"/>
        <w:ind w:left="0"/>
        <w:rPr>
          <w:color w:val="FFFFFF" w:themeColor="background1"/>
          <w:sz w:val="48"/>
          <w:szCs w:val="48"/>
        </w:rPr>
      </w:pPr>
    </w:p>
    <w:p w14:paraId="3A5E188D" w14:textId="00A8B694" w:rsidR="00C50EC5" w:rsidRDefault="00C50EC5" w:rsidP="00C50EC5">
      <w:pPr>
        <w:pStyle w:val="Subtitle0"/>
        <w:spacing w:after="0" w:line="276" w:lineRule="auto"/>
        <w:ind w:left="0"/>
        <w:rPr>
          <w:color w:val="FFFFFF" w:themeColor="background1"/>
          <w:sz w:val="48"/>
          <w:szCs w:val="48"/>
        </w:rPr>
      </w:pPr>
    </w:p>
    <w:p w14:paraId="323181CB" w14:textId="00855A1A" w:rsidR="00C50EC5" w:rsidRDefault="00C50EC5" w:rsidP="00C50EC5">
      <w:pPr>
        <w:pStyle w:val="Subtitle0"/>
        <w:spacing w:after="0" w:line="276" w:lineRule="auto"/>
        <w:ind w:left="0"/>
        <w:rPr>
          <w:color w:val="FFFFFF" w:themeColor="background1"/>
          <w:sz w:val="48"/>
          <w:szCs w:val="48"/>
        </w:rPr>
      </w:pPr>
    </w:p>
    <w:p w14:paraId="1643B38F" w14:textId="3A5BA659" w:rsidR="00C50EC5" w:rsidRDefault="00C50EC5" w:rsidP="00C50EC5">
      <w:pPr>
        <w:pStyle w:val="Subtitle0"/>
        <w:spacing w:after="0" w:line="276" w:lineRule="auto"/>
        <w:ind w:left="0"/>
        <w:rPr>
          <w:color w:val="FFFFFF" w:themeColor="background1"/>
          <w:sz w:val="48"/>
          <w:szCs w:val="48"/>
        </w:rPr>
      </w:pPr>
    </w:p>
    <w:p w14:paraId="0EB4215D" w14:textId="0767440C" w:rsidR="00C50EC5" w:rsidRDefault="00C50EC5" w:rsidP="00C50EC5">
      <w:pPr>
        <w:pStyle w:val="Subtitle0"/>
        <w:spacing w:after="0" w:line="276" w:lineRule="auto"/>
        <w:ind w:left="0"/>
        <w:rPr>
          <w:color w:val="FFFFFF" w:themeColor="background1"/>
          <w:sz w:val="48"/>
          <w:szCs w:val="48"/>
        </w:rPr>
      </w:pPr>
    </w:p>
    <w:p w14:paraId="0DE965B7" w14:textId="2148EEE9" w:rsidR="00C50EC5" w:rsidRDefault="00C50EC5" w:rsidP="00C50EC5">
      <w:pPr>
        <w:pStyle w:val="Subtitle0"/>
        <w:spacing w:after="0" w:line="276" w:lineRule="auto"/>
        <w:ind w:left="0"/>
        <w:rPr>
          <w:color w:val="FFFFFF" w:themeColor="background1"/>
          <w:sz w:val="48"/>
          <w:szCs w:val="48"/>
        </w:rPr>
      </w:pPr>
    </w:p>
    <w:p w14:paraId="047235B5" w14:textId="360FA79E" w:rsidR="00C50EC5" w:rsidRDefault="00C50EC5" w:rsidP="00C50EC5">
      <w:pPr>
        <w:pStyle w:val="Subtitle0"/>
        <w:spacing w:after="0" w:line="276" w:lineRule="auto"/>
        <w:ind w:left="0"/>
        <w:rPr>
          <w:color w:val="FFFFFF" w:themeColor="background1"/>
          <w:sz w:val="48"/>
          <w:szCs w:val="48"/>
        </w:rPr>
      </w:pPr>
    </w:p>
    <w:p w14:paraId="38E5ED0D" w14:textId="307D5FAD" w:rsidR="00C50EC5" w:rsidRDefault="00C50EC5" w:rsidP="00C50EC5">
      <w:pPr>
        <w:pStyle w:val="Subtitle0"/>
        <w:spacing w:after="0" w:line="276" w:lineRule="auto"/>
        <w:ind w:left="0"/>
        <w:rPr>
          <w:color w:val="FFFFFF" w:themeColor="background1"/>
          <w:sz w:val="48"/>
          <w:szCs w:val="48"/>
        </w:rPr>
      </w:pPr>
    </w:p>
    <w:p w14:paraId="51E2F662" w14:textId="4F63DEF6" w:rsidR="00C50EC5" w:rsidRPr="009A297D" w:rsidRDefault="00C50EC5" w:rsidP="00C50EC5">
      <w:pPr>
        <w:pStyle w:val="Subtitle0"/>
        <w:spacing w:after="0" w:line="276" w:lineRule="auto"/>
        <w:ind w:left="0" w:firstLine="1134"/>
        <w:rPr>
          <w:color w:val="FFFFFF" w:themeColor="background1"/>
          <w:sz w:val="48"/>
          <w:szCs w:val="48"/>
        </w:rPr>
      </w:pPr>
      <w:r>
        <w:rPr>
          <w:color w:val="FFFFFF" w:themeColor="background1"/>
          <w:sz w:val="48"/>
          <w:szCs w:val="48"/>
        </w:rPr>
        <w:t>PROPOSTA TÉCNICA</w:t>
      </w:r>
    </w:p>
    <w:p w14:paraId="0B130125" w14:textId="6D9BC620" w:rsidR="00C50EC5" w:rsidRDefault="00C50EC5" w:rsidP="00C50EC5">
      <w:pPr>
        <w:pStyle w:val="Subtitle0"/>
        <w:spacing w:after="0" w:line="276" w:lineRule="auto"/>
        <w:ind w:firstLine="1134"/>
        <w:rPr>
          <w:color w:val="FFFFFF" w:themeColor="background1"/>
        </w:rPr>
      </w:pPr>
    </w:p>
    <w:p>
      <w:pPr>
        <w:pStyle w:val="Subtitle0"/>
        <w:spacing w:after="0" w:line="276" w:lineRule="auto"/>
        <w:ind w:left="1134" w:right="758"/>
        <w:rPr>
          <w:b w:val="0"/>
          <w:bCs/>
          <w:color w:val="FFFFFF" w:themeColor="background1"/>
        </w:rPr>
      </w:pPr>
      <w:r>
        <w:rPr>
          <w:b w:val="0"/>
          <w:bCs/>
          <w:color w:val="FFFFFF" w:themeColor="background1"/>
        </w:rPr>
        <w:t>Migração do DNS autoritativo para o Edge DNS com DNSSEC · Vértice Educação · VERTICE-EDGEDNS-2026</w:t>
      </w:r>
    </w:p>
    <w:p>
      <w:pPr>
        <w:pStyle w:val="Normal0"/>
        <w:ind w:firstLine="1134"/>
        <w:rPr>
          <w:color w:val="FFFFFF" w:themeColor="background1"/>
        </w:rPr>
      </w:pPr>
      <w:r>
        <w:rPr>
          <w:color w:val="FFFFFF" w:themeColor="background1"/>
        </w:rPr>
        <w:t>EMPRESA: Vértice Educação</w:t>
      </w:r>
    </w:p>
    <w:p>
      <w:pPr>
        <w:pStyle w:val="Normal0"/>
        <w:spacing w:after="0" w:line="276" w:lineRule="auto"/>
        <w:ind w:firstLine="1134"/>
        <w:rPr>
          <w:color w:val="FFFFFF" w:themeColor="background1"/>
        </w:rPr>
      </w:pPr>
      <w:r>
        <w:rPr>
          <w:color w:val="FFFFFF" w:themeColor="background1"/>
        </w:rPr>
        <w:t>| SETEMBRO 2026 |</w:t>
      </w:r>
    </w:p>
    <w:p w14:paraId="498C438A" w14:textId="799C8663" w:rsidR="00F227EA" w:rsidRDefault="00B55639" w:rsidP="00BC59F2">
      <w:pPr>
        <w:spacing w:line="240" w:lineRule="exact"/>
        <w:jc w:val="left"/>
        <w:sectPr w:rsidR="00F227EA">
          <w:headerReference w:type="default" r:id="rId12"/>
          <w:footerReference w:type="default" r:id="rId13"/>
          <w:headerReference w:type="first" r:id="rId14"/>
          <w:footerReference w:type="first" r:id="rId15"/>
          <w:pgSz w:w="12240" w:h="15840"/>
          <w:pgMar w:top="0" w:right="0" w:bottom="0" w:left="0" w:header="0" w:footer="0" w:gutter="0"/>
          <w:cols w:space="720"/>
          <w:titlePg/>
          <w:docGrid w:linePitch="360"/>
        </w:sectPr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305B9463" wp14:editId="09D1AD0E">
            <wp:simplePos x="0" y="0"/>
            <wp:positionH relativeFrom="column">
              <wp:posOffset>2580640</wp:posOffset>
            </wp:positionH>
            <wp:positionV relativeFrom="paragraph">
              <wp:posOffset>499745</wp:posOffset>
            </wp:positionV>
            <wp:extent cx="2092960" cy="2092960"/>
            <wp:effectExtent l="0" t="0" r="2540" b="2540"/>
            <wp:wrapNone/>
            <wp:docPr id="497703951" name="Imagem 2" descr="Logo do cli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Logo do cliente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6641" cy="2096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507EEC9" w14:textId="77777777" w:rsidR="00F227EA" w:rsidRDefault="00000000">
      <w:pPr>
        <w:pStyle w:val="Ttulo1"/>
        <w:keepNext/>
        <w:keepLines/>
        <w:pBdr>
          <w:bottom w:val="single" w:sz="6" w:space="4" w:color="6B46C1"/>
        </w:pBdr>
        <w:spacing w:before="320" w:after="140"/>
      </w:pPr>
      <w:r>
        <w:rPr>
          <w:rFonts w:ascii="Lato" w:eastAsia="Lato" w:hAnsi="Lato" w:cs="Lato"/>
          <w:b/>
          <w:bCs/>
          <w:color w:val="6B46C1"/>
          <w:sz w:val="30"/>
          <w:szCs w:val="30"/>
        </w:rPr>
        <w:lastRenderedPageBreak/>
        <w:t xml:space="preserve">1.  </w:t>
      </w:r>
      <w:r>
        <w:rPr>
          <w:rFonts w:ascii="Lato" w:eastAsia="Lato" w:hAnsi="Lato" w:cs="Lato"/>
          <w:b/>
          <w:bCs/>
          <w:color w:val="1F2A5E"/>
          <w:sz w:val="30"/>
          <w:szCs w:val="30"/>
        </w:rPr>
        <w:t>Sobre a POPULOS</w:t>
      </w:r>
    </w:p>
    <w:p w14:paraId="3C604CD7" w14:textId="77777777" w:rsidR="00F227EA" w:rsidRDefault="00000000">
      <w:pPr>
        <w:spacing w:after="120" w:line="276" w:lineRule="auto"/>
      </w:pPr>
      <w:r>
        <w:t>A POPULOS nasceu em São Paulo com o objetivo de levar o futuro para organizações de todos os tipos e tamanhos, através da entrega de soluções que têm o poder de transformar radicalmente a forma como as pessoas trabalham, criam e colaboram.</w:t>
      </w:r>
    </w:p>
    <w:p w14:paraId="5570BA4F" w14:textId="61F7A7ED" w:rsidR="00F227EA" w:rsidRDefault="00000000">
      <w:pPr>
        <w:spacing w:after="120" w:line="276" w:lineRule="auto"/>
      </w:pPr>
      <w:r>
        <w:t>Muito mais do que entregar ferramentas tecnológicas, temos como objetivo ajudar organizações a pensar e executar o trabalho de forma diferente, entrando na era do trabalho 3.0. A POPULOS é especialista e líder na América Latina em soluções de Segurança, End-User Computing, Infraestrutura, Redes e Cloud.</w:t>
      </w:r>
    </w:p>
    <w:p w14:paraId="60A8393F" w14:textId="77777777" w:rsidR="00F227EA" w:rsidRDefault="00000000">
      <w:pPr>
        <w:spacing w:after="120" w:line="276" w:lineRule="auto"/>
      </w:pPr>
      <w:r>
        <w:t>Somos um agente da transformação digital. Nossa missão é compartilhar a visão do futuro do trabalho e entregar os meios para que organizações obtenham os melhores resultados em um mundo que se transforma rápido, suprindo os interesses das áreas de TI, segurança e operações.</w:t>
      </w:r>
    </w:p>
    <w:p>
      <w:pPr>
        <w:pStyle w:val="Ttulo2"/>
        <w:keepNext/>
        <w:keepLines/>
        <w:spacing w:before="220" w:after="90"/>
      </w:pPr>
      <w:r>
        <w:rPr>
          <w:rFonts w:ascii="Lato" w:eastAsia="Lato" w:hAnsi="Lato" w:cs="Lato"/>
          <w:b/>
          <w:bCs/>
          <w:sz w:val="25"/>
          <w:szCs w:val="25"/>
        </w:rPr>
        <w:t>Sobre a Akamai</w:t>
      </w:r>
    </w:p>
    <w:p>
      <w:pPr>
        <w:spacing w:after="120" w:line="276" w:lineRule="auto"/>
      </w:pPr>
      <w:r>
        <w:t>A Akamai opera uma plataforma distribuída de borda que oferece serviços de entrega, segurança e DNS autoritativo.</w:t>
      </w:r>
    </w:p>
    <w:p>
      <w:pPr>
        <w:spacing w:after="120" w:line="276" w:lineRule="auto"/>
      </w:pPr>
      <w:r>
        <w:t>O Edge DNS responde pelas zonas da Vértice a partir da rede Anycast da Akamai, com assinatura DNSSEC e gestão de registros por portal e API.</w:t>
      </w:r>
    </w:p>
    <w:p>
      <w:pPr>
        <w:pStyle w:val="Ttulo2"/>
        <w:keepNext/>
        <w:keepLines/>
        <w:spacing w:before="220" w:after="90"/>
      </w:pPr>
      <w:r>
        <w:rPr>
          <w:rFonts w:ascii="Lato" w:eastAsia="Lato" w:hAnsi="Lato" w:cs="Lato"/>
          <w:b/>
          <w:bCs/>
          <w:sz w:val="25"/>
          <w:szCs w:val="25"/>
        </w:rPr>
        <w:t>Parceria POPULOS e Akamai</w:t>
      </w:r>
    </w:p>
    <w:p>
      <w:pPr>
        <w:spacing w:after="120" w:line="276" w:lineRule="auto"/>
      </w:pPr>
      <w:r>
        <w:t>A POPULOS atua como parceira Akamai na implantação de soluções da plataforma, com equipe técnica própria para desenho, configuração e repasse de conhecimento.</w:t>
      </w:r>
    </w:p>
    <w:p>
      <w:pPr>
        <w:pStyle w:val="PargrafodaLista"/>
        <w:numPr>
          <w:ilvl w:val="0"/>
          <w:numId w:val="3"/>
        </w:numPr>
        <w:spacing w:after="120" w:line="276" w:lineRule="auto"/>
      </w:pPr>
      <w:r>
        <w:t>Arquitetura e migração de DNS autoritativo</w:t>
      </w:r>
    </w:p>
    <w:p>
      <w:pPr>
        <w:pStyle w:val="PargrafodaLista"/>
        <w:numPr>
          <w:ilvl w:val="0"/>
          <w:numId w:val="3"/>
        </w:numPr>
        <w:spacing w:after="120" w:line="276" w:lineRule="auto"/>
      </w:pPr>
      <w:r>
        <w:t>Configuração de DNSSEC e gestão de chaves</w:t>
      </w:r>
    </w:p>
    <w:p>
      <w:pPr>
        <w:pStyle w:val="PargrafodaLista"/>
        <w:numPr>
          <w:ilvl w:val="0"/>
          <w:numId w:val="3"/>
        </w:numPr>
        <w:spacing w:after="120" w:line="276" w:lineRule="auto"/>
      </w:pPr>
      <w:r>
        <w:t>Configuração e operação do Edge DNS</w:t>
      </w:r>
    </w:p>
    <w:p>
      <w:pPr>
        <w:spacing w:after="120" w:line="276" w:lineRule="auto"/>
      </w:pPr>
      <w:r>
        <w:t>A composição final da equipe será confirmada no plano de projeto, preservando as competências exigidas para cada frente.</w:t>
      </w:r>
    </w:p>
    <w:tbl>
      <w:tblPr>
        <w:tblW w:w="10080" w:type="dxa"/>
        <w:tblBorders>
          <w:top w:val="single" w:sz="2" w:space="0" w:color="E5E7EB"/>
          <w:left w:val="single" w:sz="24" w:space="0" w:color="6B46C1"/>
          <w:bottom w:val="single" w:sz="2" w:space="0" w:color="E5E7EB"/>
          <w:right w:val="single" w:sz="2" w:space="0" w:color="E5E7E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F227EA" w14:paraId="3AFBBE49" w14:textId="77777777">
        <w:trPr>
          <w:cantSplit/>
        </w:trPr>
        <w:tc>
          <w:tcPr>
            <w:tcW w:w="10080" w:type="dxa"/>
            <w:shd w:val="clear" w:color="auto" w:fill="F9FAFB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keepNext/>
              <w:keepLines/>
              <w:spacing w:after="60"/>
            </w:pPr>
            <w:r>
              <w:rPr>
                <w:rFonts w:ascii="Lato" w:eastAsia="Lato" w:hAnsi="Lato" w:cs="Lato"/>
                <w:b/>
                <w:bCs/>
                <w:color w:val="1F2A5E"/>
              </w:rPr>
              <w:t>Aderência e qualificações</w:t>
            </w:r>
          </w:p>
          <w:p>
            <w:pPr>
              <w:keepLines/>
              <w:spacing w:before="40" w:after="0"/>
            </w:pPr>
            <w:r>
              <w:rPr>
                <w:rFonts w:ascii="Lato" w:hAnsi="Lato"/>
                <w:b w:val="0"/>
                <w:sz w:val="17"/>
              </w:rPr>
              <w:t>A equipe designada reúne experiência em arquitetura de DNS, DNSSEC e configuração do Edge DNS.</w:t>
            </w:r>
          </w:p>
        </w:tc>
      </w:tr>
    </w:tbl>
    <w:p w14:paraId="594D7819" w14:textId="77777777" w:rsidR="00ED2387" w:rsidRDefault="00ED2387">
      <w:pPr>
        <w:pStyle w:val="Ttulo1"/>
        <w:keepNext/>
        <w:keepLines/>
        <w:pBdr>
          <w:bottom w:val="single" w:sz="6" w:space="4" w:color="6B46C1"/>
        </w:pBdr>
        <w:spacing w:before="320" w:after="140"/>
        <w:rPr>
          <w:rFonts w:ascii="Lato" w:eastAsia="Lato" w:hAnsi="Lato" w:cs="Lato"/>
          <w:b/>
          <w:bCs/>
          <w:color w:val="6B46C1"/>
          <w:sz w:val="30"/>
          <w:szCs w:val="30"/>
        </w:rPr>
      </w:pPr>
    </w:p>
    <w:p w14:paraId="66BFB71B" w14:textId="0C054DC3" w:rsidR="00F227EA" w:rsidRDefault="00000000">
      <w:pPr>
        <w:pStyle w:val="Ttulo1"/>
        <w:keepNext/>
        <w:keepLines/>
        <w:pBdr>
          <w:bottom w:val="single" w:sz="6" w:space="4" w:color="6B46C1"/>
        </w:pBdr>
        <w:spacing w:before="320" w:after="140"/>
      </w:pPr>
      <w:r>
        <w:rPr>
          <w:rFonts w:ascii="Lato" w:eastAsia="Lato" w:hAnsi="Lato" w:cs="Lato"/>
          <w:b/>
          <w:bCs/>
          <w:color w:val="6B46C1"/>
          <w:sz w:val="30"/>
          <w:szCs w:val="30"/>
        </w:rPr>
        <w:lastRenderedPageBreak/>
        <w:t xml:space="preserve">2.  </w:t>
      </w:r>
      <w:r>
        <w:rPr>
          <w:rFonts w:ascii="Lato" w:eastAsia="Lato" w:hAnsi="Lato" w:cs="Lato"/>
          <w:b/>
          <w:bCs/>
          <w:color w:val="1F2A5E"/>
          <w:sz w:val="30"/>
          <w:szCs w:val="30"/>
        </w:rPr>
        <w:t>Sumário Executivo</w:t>
      </w:r>
    </w:p>
    <w:p>
      <w:pPr>
        <w:spacing w:after="120" w:line="276" w:lineRule="auto"/>
      </w:pPr>
      <w:r>
        <w:rPr>
          <w:b/>
          <w:bCs/>
        </w:rPr>
        <w:t>A Vértice Educação mantém o DNS de seus domínios no painel do registrador e teve dois episódios este ano em que o painel ficou fora do ar e não foi possível alterar registros. Para eliminar essa dependência, a POPULOS propõe a implantação do Edge DNS como DNS autoritativo das zonas vertice.edu.br, vertice.com.br, portalaluno.vertice.edu.br e vestibularvertice.com.br, com DNSSEC ativo.</w:t>
      </w:r>
    </w:p>
    <w:p>
      <w:pPr>
        <w:spacing w:after="120" w:line="276" w:lineRule="auto"/>
      </w:pPr>
      <w:r>
        <w:t>A implantação replica os cerca de 380 registros no Edge DNS, valida cada resposta antes da troca de delegação e realiza a troca em janela aprovada pela Vértice, com TTL reduzido e plano de reversão, para preservar a disponibilidade do portal do aluno.</w:t>
      </w:r>
    </w:p>
    <w:p>
      <w:pPr>
        <w:keepLines/>
        <w:spacing w:after="120" w:line="276" w:lineRule="auto"/>
      </w:pPr>
      <w:r>
        <w:t>Viabilidade para o período de matrículas (11/01/2027): o esforço estimado é de 3 a 4 semanas. Contadas a partir de 24/09/2026, as fases terminariam entre 15/10/2026 e 22/10/2026; o prazo corrido, porém, depende da ativação das licenças, adquiridas diretamente pela Vértice junto à Akamai, cujo prazo ainda não foi informado. Para concluir antes das matrículas, as licenças precisam estar ativas até 14/12, data-limite para iniciar a implantação.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rPr>
          <w:b/>
          <w:bCs/>
        </w:rPr>
        <w:t>DNS autoritativo resiliente com DNSSEC — Edge DNS.</w:t>
      </w:r>
    </w:p>
    <w:p>
      <w:pPr>
        <w:spacing w:after="60" w:line="276" w:lineRule="auto"/>
      </w:pPr>
      <w:r>
        <w:rPr>
          <w:b/>
          <w:bCs/>
        </w:rPr>
        <w:t>Esta proposta cobre a migração do DNS autoritativo das 4 zonas da Vértice para o Edge DNS, com DNSSEC, preservando os destinos atuais dos registros.</w:t>
      </w:r>
    </w:p>
    <w:p w14:paraId="71911788" w14:textId="77777777" w:rsidR="003D6743" w:rsidRDefault="003D6743">
      <w:pPr>
        <w:spacing w:after="60" w:line="276" w:lineRule="auto"/>
      </w:pPr>
    </w:p>
    <w:tbl>
      <w:tblPr>
        <w:tblW w:w="10080" w:type="dxa"/>
        <w:tblBorders>
          <w:top w:val="single" w:sz="2" w:space="0" w:color="E5E7EB"/>
          <w:left w:val="single" w:sz="24" w:space="0" w:color="6B46C1"/>
          <w:bottom w:val="single" w:sz="2" w:space="0" w:color="E5E7EB"/>
          <w:right w:val="single" w:sz="2" w:space="0" w:color="E5E7E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F227EA" w14:paraId="60F0B8BA" w14:textId="77777777">
        <w:trPr>
          <w:cantSplit/>
        </w:trPr>
        <w:tc>
          <w:tcPr>
            <w:tcW w:w="10080" w:type="dxa"/>
            <w:shd w:val="clear" w:color="auto" w:fill="F9FAFB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keepNext/>
              <w:keepLines/>
              <w:spacing w:after="60"/>
            </w:pPr>
            <w:r>
              <w:rPr>
                <w:rFonts w:ascii="Lato" w:eastAsia="Lato" w:hAnsi="Lato" w:cs="Lato"/>
                <w:b/>
                <w:bCs/>
                <w:color w:val="1F2A5E"/>
              </w:rPr>
              <w:t>Modelo de fornecimento</w:t>
            </w:r>
          </w:p>
          <w:p>
            <w:pPr>
              <w:keepLines/>
              <w:spacing w:before="40" w:after="0"/>
            </w:pPr>
            <w:r>
              <w:rPr>
                <w:rFonts w:ascii="Lato" w:hAnsi="Lato"/>
                <w:b w:val="0"/>
                <w:sz w:val="17"/>
              </w:rPr>
              <w:t>As licenças Akamai serão adquiridas diretamente pela Vértice Educação junto à Akamai.</w:t>
            </w:r>
          </w:p>
        </w:tc>
      </w:tr>
    </w:tbl>
    <w:p w14:paraId="0DEBA0B3" w14:textId="77777777" w:rsidR="00F227EA" w:rsidRDefault="00000000">
      <w:pPr>
        <w:pStyle w:val="Ttulo2"/>
        <w:keepNext/>
        <w:keepLines/>
        <w:spacing w:before="220" w:after="90"/>
      </w:pPr>
      <w:r>
        <w:rPr>
          <w:rFonts w:ascii="Lato" w:eastAsia="Lato" w:hAnsi="Lato" w:cs="Lato"/>
          <w:b/>
          <w:bCs/>
          <w:sz w:val="25"/>
          <w:szCs w:val="25"/>
        </w:rPr>
        <w:t>Objetivos do Projeto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>Migrar o DNS autoritativo das 4 zonas da Vértice para o Edge DNS, com DNSSEC ativo (REQ-01, REQ-02)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>Eliminar a dependência do painel do registrador para alterar registros DNS (REQ-03)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>Concluir e estabilizar a migração antes do início das matrículas em 11/01/2027, sem indisponibilidade do portal do aluno (REQ-04, REQ-05)</w:t>
      </w:r>
    </w:p>
    <w:p w14:paraId="6845968B" w14:textId="77777777" w:rsidR="00BC59F2" w:rsidRDefault="00BC59F2" w:rsidP="00BC59F2">
      <w:pPr>
        <w:spacing w:after="60" w:line="270" w:lineRule="auto"/>
      </w:pPr>
    </w:p>
    <w:p w14:paraId="60915E81" w14:textId="77777777" w:rsidR="00BC59F2" w:rsidRDefault="00BC59F2" w:rsidP="00BC59F2">
      <w:pPr>
        <w:spacing w:after="60" w:line="270" w:lineRule="auto"/>
      </w:pPr>
    </w:p>
    <w:p w14:paraId="06204E69" w14:textId="77777777" w:rsidR="00F227EA" w:rsidRDefault="00000000">
      <w:pPr>
        <w:pStyle w:val="Ttulo1"/>
        <w:keepNext/>
        <w:keepLines/>
        <w:pBdr>
          <w:bottom w:val="single" w:sz="6" w:space="4" w:color="6B46C1"/>
        </w:pBdr>
        <w:spacing w:before="320" w:after="140"/>
      </w:pPr>
      <w:r>
        <w:rPr>
          <w:rFonts w:ascii="Lato" w:eastAsia="Lato" w:hAnsi="Lato" w:cs="Lato"/>
          <w:b/>
          <w:bCs/>
          <w:color w:val="6B46C1"/>
          <w:sz w:val="30"/>
          <w:szCs w:val="30"/>
        </w:rPr>
        <w:lastRenderedPageBreak/>
        <w:t xml:space="preserve">3.  </w:t>
      </w:r>
      <w:r>
        <w:rPr>
          <w:rFonts w:ascii="Lato" w:eastAsia="Lato" w:hAnsi="Lato" w:cs="Lato"/>
          <w:b/>
          <w:bCs/>
          <w:color w:val="1F2A5E"/>
          <w:sz w:val="30"/>
          <w:szCs w:val="30"/>
        </w:rPr>
        <w:t>Descrição da Solução</w:t>
      </w:r>
    </w:p>
    <w:p>
      <w:pPr>
        <w:spacing w:after="120" w:line="276" w:lineRule="auto"/>
      </w:pPr>
      <w:r>
        <w:t>As 4 zonas da Vértice passam a ser servidas pelo Edge DNS como DNS autoritativo primário, assinadas com DNSSEC e geridas pelo portal e pela API da Akamai. Os registros continuam apontando para o servidor atual de hospedagem, sem mudança na aplicação; a troca ocorre apenas na delegação das zonas no registrador, após validação registro a registro.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80760" cy="1891792"/>
            <wp:docPr id="497703952" name="Picture 4977039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18917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tulo2"/>
        <w:keepNext/>
        <w:keepLines/>
        <w:spacing w:before="220" w:after="90"/>
      </w:pPr>
      <w:r>
        <w:rPr>
          <w:rFonts w:ascii="Lato" w:eastAsia="Lato" w:hAnsi="Lato" w:cs="Lato"/>
          <w:b/>
          <w:bCs/>
          <w:sz w:val="25"/>
          <w:szCs w:val="25"/>
        </w:rPr>
        <w:t>3.1 DNS autoritativo resiliente com DNSSEC</w:t>
      </w:r>
    </w:p>
    <w:p>
      <w:pPr>
        <w:spacing w:after="120" w:line="276" w:lineRule="auto"/>
      </w:pPr>
      <w:r>
        <w:t>DNS autoritativo das 4 zonas da Vértice servido pela rede Anycast da Akamai, com DNSSEC e gestão por portal e API, independente do painel do registrador.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>Edge DNS: DNS autoritativo, Anycast, DNSSEC</w:t>
      </w:r>
    </w:p>
    <w:tbl>
      <w:tblPr>
        <w:tblW w:w="10080" w:type="dxa"/>
        <w:tblBorders>
          <w:top w:val="single" w:sz="2" w:space="0" w:color="E5E7EB"/>
          <w:left w:val="single" w:sz="24" w:space="0" w:color="6B46C1"/>
          <w:bottom w:val="single" w:sz="2" w:space="0" w:color="E5E7EB"/>
          <w:right w:val="single" w:sz="2" w:space="0" w:color="E5E7E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F227EA" w14:paraId="479990F7" w14:textId="77777777">
        <w:trPr>
          <w:cantSplit/>
        </w:trPr>
        <w:tc>
          <w:tcPr>
            <w:tcW w:w="10080" w:type="dxa"/>
            <w:shd w:val="clear" w:color="auto" w:fill="F9FAFB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keepNext/>
              <w:keepLines/>
              <w:spacing w:after="60"/>
            </w:pPr>
            <w:r>
              <w:rPr>
                <w:rFonts w:ascii="Lato" w:eastAsia="Lato" w:hAnsi="Lato" w:cs="Lato"/>
                <w:b/>
                <w:bCs/>
                <w:color w:val="1F2A5E"/>
              </w:rPr>
              <w:t>Limite da frente</w:t>
            </w:r>
          </w:p>
          <w:p>
            <w:pPr>
              <w:keepLines/>
              <w:spacing w:before="40" w:after="0"/>
            </w:pPr>
            <w:r>
              <w:rPr>
                <w:rFonts w:ascii="Lato" w:hAnsi="Lato"/>
                <w:b w:val="0"/>
                <w:sz w:val="17"/>
              </w:rPr>
              <w:t>O projeto não altera o servidor de hospedagem nem as aplicações; a troca de delegação e o registro DS dependem de ações da Vértice no registrador.</w:t>
            </w:r>
          </w:p>
        </w:tc>
      </w:tr>
    </w:tbl>
    <w:p>
      <w:pPr>
        <w:pStyle w:val="Ttulo2"/>
        <w:keepNext/>
        <w:keepLines/>
        <w:spacing w:before="160" w:after="90"/>
        <w:rPr>
          <w:rFonts w:ascii="Lato" w:eastAsia="Lato" w:hAnsi="Lato" w:cs="Lato"/>
          <w:b/>
          <w:bCs/>
          <w:sz w:val="25"/>
          <w:szCs w:val="25"/>
        </w:rPr>
      </w:pPr>
      <w:r>
        <w:rPr>
          <w:rFonts w:ascii="Lato" w:eastAsia="Lato" w:hAnsi="Lato" w:cs="Lato"/>
          <w:b/>
          <w:bCs/>
          <w:sz w:val="25"/>
          <w:szCs w:val="25"/>
        </w:rPr>
        <w:t>3.2 Prontidão para eventos críticos</w:t>
      </w:r>
    </w:p>
    <w:p>
      <w:pPr>
        <w:pStyle w:val="PargrafodaLista"/>
        <w:keepLines/>
        <w:numPr>
          <w:ilvl w:val="0"/>
          <w:numId w:val="2"/>
        </w:numPr>
        <w:spacing w:after="60" w:line="270" w:lineRule="auto"/>
      </w:pPr>
      <w:r>
        <w:t>Troca de delegação em janela aprovada pela Vértice, longe do período de matrículas.</w:t>
      </w:r>
    </w:p>
    <w:p>
      <w:pPr>
        <w:pStyle w:val="PargrafodaLista"/>
        <w:keepLines/>
        <w:numPr>
          <w:ilvl w:val="0"/>
          <w:numId w:val="2"/>
        </w:numPr>
        <w:spacing w:after="60" w:line="270" w:lineRule="auto"/>
      </w:pPr>
      <w:r>
        <w:t>Plano de reversão para a delegação anterior, mantido até o aceite final.</w:t>
      </w:r>
    </w:p>
    <w:p>
      <w:pPr>
        <w:pStyle w:val="PargrafodaLista"/>
        <w:keepLines/>
        <w:numPr>
          <w:ilvl w:val="0"/>
          <w:numId w:val="2"/>
        </w:numPr>
        <w:spacing w:after="60" w:line="270" w:lineRule="auto"/>
      </w:pPr>
      <w:r>
        <w:t>Monitoramento da resolução das 4 zonas durante a estabilização.</w:t>
      </w:r>
    </w:p>
    <w:p>
      <w:pPr>
        <w:pStyle w:val="Ttulo2"/>
        <w:keepNext/>
        <w:keepLines/>
        <w:spacing w:before="220" w:after="90"/>
        <w:rPr>
          <w:rFonts w:ascii="Lato" w:eastAsia="Lato" w:hAnsi="Lato" w:cs="Lato"/>
          <w:b/>
          <w:bCs/>
          <w:sz w:val="25"/>
          <w:szCs w:val="25"/>
        </w:rPr>
      </w:pPr>
      <w:r>
        <w:rPr>
          <w:rFonts w:ascii="Lato" w:eastAsia="Lato" w:hAnsi="Lato" w:cs="Lato"/>
          <w:b/>
          <w:bCs/>
          <w:sz w:val="25"/>
          <w:szCs w:val="25"/>
        </w:rPr>
        <w:t>3.3 Matriz de rastreabilidade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rPr>
          <w:tblHeader w:val="true"/>
        </w:trPr>
        <w:tc>
          <w:tcPr>
            <w:tcW w:type="dxa" w:w="936"/>
            <w:vAlign w:val="center"/>
            <w:shd w:fill="1F2A5E"/>
          </w:tcPr>
          <w:p>
            <w:pPr>
              <w:spacing w:after="40"/>
              <w:jc w:val="left"/>
            </w:pPr>
            <w:r>
              <w:rPr>
                <w:rFonts w:ascii="Lato" w:hAnsi="Lato"/>
                <w:b/>
                <w:color w:val="FFFFFF"/>
                <w:sz w:val="15"/>
              </w:rPr>
              <w:t>Requisito</w:t>
            </w:r>
          </w:p>
        </w:tc>
        <w:tc>
          <w:tcPr>
            <w:tcW w:type="dxa" w:w="3168"/>
            <w:vAlign w:val="center"/>
            <w:shd w:fill="1F2A5E"/>
          </w:tcPr>
          <w:p>
            <w:pPr>
              <w:spacing w:after="40"/>
              <w:jc w:val="left"/>
            </w:pPr>
            <w:r>
              <w:rPr>
                <w:rFonts w:ascii="Lato" w:hAnsi="Lato"/>
                <w:b/>
                <w:color w:val="FFFFFF"/>
                <w:sz w:val="15"/>
              </w:rPr>
              <w:t>Necessidade</w:t>
            </w:r>
          </w:p>
        </w:tc>
        <w:tc>
          <w:tcPr>
            <w:tcW w:type="dxa" w:w="1944"/>
            <w:vAlign w:val="center"/>
            <w:shd w:fill="1F2A5E"/>
          </w:tcPr>
          <w:p>
            <w:pPr>
              <w:spacing w:after="40"/>
              <w:jc w:val="left"/>
            </w:pPr>
            <w:r>
              <w:rPr>
                <w:rFonts w:ascii="Lato" w:hAnsi="Lato"/>
                <w:b/>
                <w:color w:val="FFFFFF"/>
                <w:sz w:val="15"/>
              </w:rPr>
              <w:t>Componente</w:t>
            </w:r>
          </w:p>
        </w:tc>
        <w:tc>
          <w:tcPr>
            <w:tcW w:type="dxa" w:w="3456"/>
            <w:vAlign w:val="center"/>
            <w:shd w:fill="1F2A5E"/>
          </w:tcPr>
          <w:p>
            <w:pPr>
              <w:spacing w:after="40"/>
              <w:jc w:val="left"/>
            </w:pPr>
            <w:r>
              <w:rPr>
                <w:rFonts w:ascii="Lato" w:hAnsi="Lato"/>
                <w:b/>
                <w:color w:val="FFFFFF"/>
                <w:sz w:val="15"/>
              </w:rPr>
              <w:t>Evidência de aceite</w:t>
            </w:r>
          </w:p>
        </w:tc>
      </w:tr>
      <w:tr>
        <w:tc>
          <w:tcPr>
            <w:tcW w:type="dxa" w:w="936"/>
            <w:vAlign w:val="center"/>
            <w:shd w:fill="FFFFFF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REQ-01</w:t>
            </w:r>
          </w:p>
        </w:tc>
        <w:tc>
          <w:tcPr>
            <w:tcW w:type="dxa" w:w="3168"/>
            <w:vAlign w:val="center"/>
            <w:shd w:fill="FFFFFF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Migrar o DNS autoritativo das zonas vertice.edu.br, vertice.com.br, portalaluno.vertice.edu.br e vestibularvertice.com.br para o Edge DNS, com registros A, AAAA, CNAME, MX, TXT e SRV.</w:t>
            </w:r>
          </w:p>
        </w:tc>
        <w:tc>
          <w:tcPr>
            <w:tcW w:type="dxa" w:w="1944"/>
            <w:vAlign w:val="center"/>
            <w:shd w:fill="FFFFFF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Edge DNS como DNS autoritativo primário das 4 zonas.</w:t>
            </w:r>
          </w:p>
        </w:tc>
        <w:tc>
          <w:tcPr>
            <w:tcW w:type="dxa" w:w="3456"/>
            <w:vAlign w:val="center"/>
            <w:shd w:fill="FFFFFF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As 4 zonas estão delegadas aos servidores de nomes do Edge DNS e 100% dos registros do inventário aprovado são respondidos pelo Edge DNS com os mesmos valores.</w:t>
            </w:r>
          </w:p>
        </w:tc>
      </w:tr>
      <w:tr>
        <w:tc>
          <w:tcPr>
            <w:tcW w:type="dxa" w:w="936"/>
            <w:vAlign w:val="center"/>
            <w:shd w:fill="F3F4F6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REQ-02</w:t>
            </w:r>
          </w:p>
        </w:tc>
        <w:tc>
          <w:tcPr>
            <w:tcW w:type="dxa" w:w="3168"/>
            <w:vAlign w:val="center"/>
            <w:shd w:fill="F3F4F6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Assinar as 4 zonas com DNSSEC.</w:t>
            </w:r>
          </w:p>
        </w:tc>
        <w:tc>
          <w:tcPr>
            <w:tcW w:type="dxa" w:w="1944"/>
            <w:vAlign w:val="center"/>
            <w:shd w:fill="F3F4F6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DNSSEC do Edge DNS, com publicação do registro DS no registrador pela Vértice.</w:t>
            </w:r>
          </w:p>
        </w:tc>
        <w:tc>
          <w:tcPr>
            <w:tcW w:type="dxa" w:w="3456"/>
            <w:vAlign w:val="center"/>
            <w:shd w:fill="F3F4F6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As 4 zonas estão assinadas e a cadeia de confiança DNSSEC é validada com sucesso a partir do registro DS publicado no registrador.</w:t>
            </w:r>
          </w:p>
        </w:tc>
      </w:tr>
      <w:tr>
        <w:tc>
          <w:tcPr>
            <w:tcW w:type="dxa" w:w="936"/>
            <w:vAlign w:val="center"/>
            <w:shd w:fill="FFFFFF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REQ-03</w:t>
            </w:r>
          </w:p>
        </w:tc>
        <w:tc>
          <w:tcPr>
            <w:tcW w:type="dxa" w:w="3168"/>
            <w:vAlign w:val="center"/>
            <w:shd w:fill="FFFFFF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Permitir a alteração de registros DNS sem depender da disponibilidade do painel do registrador.</w:t>
            </w:r>
          </w:p>
        </w:tc>
        <w:tc>
          <w:tcPr>
            <w:tcW w:type="dxa" w:w="1944"/>
            <w:vAlign w:val="center"/>
            <w:shd w:fill="FFFFFF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Gestão das zonas pelo portal e pela API de gestão do Edge DNS, com resolução Anycast distribuída.</w:t>
            </w:r>
          </w:p>
        </w:tc>
        <w:tc>
          <w:tcPr>
            <w:tcW w:type="dxa" w:w="3456"/>
            <w:vAlign w:val="center"/>
            <w:shd w:fill="FFFFFF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A equipe da Vértice cria, altera e remove um registro de teste em cada zona pelo portal ou pela API do Edge DNS, sem uso do painel do registrador.</w:t>
            </w:r>
          </w:p>
        </w:tc>
      </w:tr>
      <w:tr>
        <w:tc>
          <w:tcPr>
            <w:tcW w:type="dxa" w:w="936"/>
            <w:vAlign w:val="center"/>
            <w:shd w:fill="F3F4F6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REQ-04</w:t>
            </w:r>
          </w:p>
        </w:tc>
        <w:tc>
          <w:tcPr>
            <w:tcW w:type="dxa" w:w="3168"/>
            <w:vAlign w:val="center"/>
            <w:shd w:fill="F3F4F6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Concluir e estabilizar a migração antes do início do período de matrículas, em 11/01/2027.</w:t>
            </w:r>
          </w:p>
        </w:tc>
        <w:tc>
          <w:tcPr>
            <w:tcW w:type="dxa" w:w="1944"/>
            <w:vAlign w:val="center"/>
            <w:shd w:fill="F3F4F6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Cronograma de 3 a 4 semanas, com data-limite de ativação das licenças e marco de aceite antes do período de matrículas.</w:t>
            </w:r>
          </w:p>
        </w:tc>
        <w:tc>
          <w:tcPr>
            <w:tcW w:type="dxa" w:w="3456"/>
            <w:vAlign w:val="center"/>
            <w:shd w:fill="F3F4F6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O termo de aceite final é assinado antes de 11/01/2027, após o período de estabilização sem pendências abertas.</w:t>
            </w:r>
          </w:p>
        </w:tc>
      </w:tr>
      <w:tr>
        <w:tc>
          <w:tcPr>
            <w:tcW w:type="dxa" w:w="936"/>
            <w:vAlign w:val="center"/>
            <w:shd w:fill="FFFFFF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REQ-05</w:t>
            </w:r>
          </w:p>
        </w:tc>
        <w:tc>
          <w:tcPr>
            <w:tcW w:type="dxa" w:w="3168"/>
            <w:vAlign w:val="center"/>
            <w:shd w:fill="FFFFFF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Migrar sem indisponibilidade do portal do aluno.</w:t>
            </w:r>
          </w:p>
        </w:tc>
        <w:tc>
          <w:tcPr>
            <w:tcW w:type="dxa" w:w="1944"/>
            <w:vAlign w:val="center"/>
            <w:shd w:fill="FFFFFF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Réplica integral das zonas no Edge DNS, validação registro a registro antes da troca de delegação, redução prévia de TTL, janela aprovada e plano de reversão.</w:t>
            </w:r>
          </w:p>
        </w:tc>
        <w:tc>
          <w:tcPr>
            <w:tcW w:type="dxa" w:w="3456"/>
            <w:vAlign w:val="center"/>
            <w:shd w:fill="FFFFFF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Durante a janela de troca de delegação e a estabilização, os registros do portal do aluno respondem com os valores do inventário aprovado em todas as verificações do plano de migração.</w:t>
            </w:r>
          </w:p>
        </w:tc>
      </w:tr>
    </w:tbl>
    <w:p w14:paraId="466647CD" w14:textId="77777777" w:rsidR="00F227EA" w:rsidRDefault="00000000">
      <w:pPr>
        <w:pStyle w:val="Ttulo1"/>
        <w:keepNext/>
        <w:keepLines/>
        <w:pBdr>
          <w:bottom w:val="single" w:sz="6" w:space="4" w:color="6B46C1"/>
        </w:pBdr>
        <w:spacing w:before="320" w:after="140"/>
      </w:pPr>
      <w:r>
        <w:rPr>
          <w:rFonts w:ascii="Lato" w:eastAsia="Lato" w:hAnsi="Lato" w:cs="Lato"/>
          <w:b/>
          <w:bCs/>
          <w:color w:val="6B46C1"/>
          <w:sz w:val="30"/>
          <w:szCs w:val="30"/>
        </w:rPr>
        <w:t>4. Dimensionamento e Abrangência</w:t>
      </w:r>
    </w:p>
    <w:p>
      <w:pPr>
        <w:spacing w:after="120" w:line="276" w:lineRule="auto"/>
      </w:pPr>
      <w:r>
        <w:rPr>
          <w:b/>
          <w:bCs/>
        </w:rPr>
        <w:t>O dimensionamento parte das informações enviadas pela Vértice e é confirmado na exportação das zonas.</w:t>
      </w:r>
    </w:p>
    <w:p>
      <w:pPr>
        <w:pStyle w:val="Ttulo2"/>
        <w:keepNext/>
        <w:keepLines/>
        <w:spacing w:before="220" w:after="90"/>
        <w:rPr>
          <w:rFonts w:ascii="Lato" w:eastAsia="Lato" w:hAnsi="Lato" w:cs="Lato"/>
          <w:b/>
          <w:bCs/>
          <w:sz w:val="25"/>
          <w:szCs w:val="25"/>
        </w:rPr>
      </w:pPr>
      <w:r>
        <w:rPr>
          <w:rFonts w:ascii="Lato" w:eastAsia="Lato" w:hAnsi="Lato" w:cs="Lato"/>
          <w:b/>
          <w:bCs/>
          <w:sz w:val="25"/>
          <w:szCs w:val="25"/>
        </w:rPr>
        <w:t>4.1 Itens de dimensionamento</w:t>
      </w:r>
    </w:p>
    <w:tbl>
      <w:tblPr>
        <w:tblW w:w="9790" w:type="dxa"/>
        <w:tblBorders>
          <w:top w:val="single" w:sz="2" w:space="0" w:color="D1D5DB"/>
          <w:bottom w:val="single" w:sz="2" w:space="0" w:color="D1D5DB"/>
          <w:insideH w:val="single" w:sz="2" w:space="0" w:color="E5E7EB"/>
          <w:insideV w:val="single" w:sz="2" w:space="0" w:color="E5E7E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60"/>
        <w:gridCol w:w="1000"/>
        <w:gridCol w:w="1000"/>
        <w:gridCol w:w="1080"/>
      </w:tblGrid>
      <w:tr w:rsidR="00F227EA" w14:paraId="69B947D6" w14:textId="77777777">
        <w:trPr>
          <w:tblHeader/>
        </w:trPr>
        <w:tc>
          <w:tcPr>
            <w:tcW w:w="2260" w:type="dxa"/>
            <w:shd w:val="clear" w:color="auto" w:fill="1F2A5E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Lato" w:eastAsia="Lato" w:hAnsi="Lato" w:cs="Lato"/>
                <w:b/>
                <w:bCs/>
                <w:color w:val="FFFFFF"/>
                <w:sz w:val="19"/>
                <w:szCs w:val="19"/>
              </w:rPr>
              <w:t>Item</w:t>
            </w:r>
          </w:p>
        </w:tc>
        <w:tc>
          <w:tcPr>
            <w:tcW w:w="1000" w:type="dxa"/>
            <w:shd w:val="clear" w:color="auto" w:fill="1F2A5E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rFonts w:ascii="Lato" w:eastAsia="Lato" w:hAnsi="Lato" w:cs="Lato"/>
                <w:b/>
                <w:bCs/>
                <w:color w:val="FFFFFF"/>
                <w:sz w:val="19"/>
                <w:szCs w:val="19"/>
              </w:rPr>
              <w:t>Quantidade de referência</w:t>
            </w:r>
          </w:p>
        </w:tc>
        <w:tc>
          <w:tcPr>
            <w:tcW w:w="1000" w:type="dxa"/>
            <w:shd w:val="clear" w:color="auto" w:fill="1F2A5E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rFonts w:ascii="Lato" w:eastAsia="Lato" w:hAnsi="Lato" w:cs="Lato"/>
                <w:b/>
                <w:bCs/>
                <w:color w:val="FFFFFF"/>
                <w:sz w:val="19"/>
                <w:szCs w:val="19"/>
              </w:rPr>
              <w:t>Base de planejamento</w:t>
            </w:r>
          </w:p>
        </w:tc>
        <w:tc>
          <w:tcPr>
            <w:tcW w:w="1080" w:type="dxa"/>
            <w:shd w:val="clear" w:color="auto" w:fill="1F2A5E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rFonts w:ascii="Lato" w:eastAsia="Lato" w:hAnsi="Lato" w:cs="Lato"/>
                <w:b/>
                <w:bCs/>
                <w:color w:val="FFFFFF"/>
                <w:sz w:val="19"/>
                <w:szCs w:val="19"/>
              </w:rPr>
              <w:t>Classificação</w:t>
            </w:r>
          </w:p>
        </w:tc>
      </w:tr>
      <w:tr w:rsidR="00F227EA" w14:paraId="7A5CE6D8" w14:textId="77777777">
        <w:tc>
          <w:tcPr>
            <w:tcW w:w="226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r>
              <w:rPr>
                <w:sz w:val="19"/>
                <w:szCs w:val="19"/>
              </w:rPr>
              <w:t>Zonas DNS autoritativas</w:t>
            </w:r>
          </w:p>
        </w:tc>
        <w:tc>
          <w:tcPr>
            <w:tcW w:w="10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10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>Informado pela Vértice no e-mail de 22/09/2026</w:t>
            </w:r>
          </w:p>
        </w:tc>
        <w:tc>
          <w:tcPr>
            <w:tcW w:w="108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>Confirmado</w:t>
            </w:r>
          </w:p>
        </w:tc>
      </w:tr>
      <w:tr w:rsidR="00F227EA" w14:paraId="4569A9B2" w14:textId="77777777">
        <w:tc>
          <w:tcPr>
            <w:tcW w:w="2260" w:type="dxa"/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r>
              <w:rPr>
                <w:sz w:val="19"/>
                <w:szCs w:val="19"/>
              </w:rPr>
              <w:t>Registros DNS</w:t>
            </w:r>
          </w:p>
        </w:tc>
        <w:tc>
          <w:tcPr>
            <w:tcW w:w="1000" w:type="dxa"/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>cerca de 380</w:t>
            </w:r>
          </w:p>
        </w:tc>
        <w:tc>
          <w:tcPr>
            <w:tcW w:w="1000" w:type="dxa"/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>Informado pela Vértice; contagem exata confirmada pela exportação das zonas no levantamento</w:t>
            </w:r>
          </w:p>
        </w:tc>
        <w:tc>
          <w:tcPr>
            <w:tcW w:w="1080" w:type="dxa"/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>Pendente</w:t>
            </w:r>
          </w:p>
        </w:tc>
      </w:tr>
      <w:tr w:rsidR="00F227EA" w14:paraId="33FB2B15" w14:textId="77777777">
        <w:tc>
          <w:tcPr>
            <w:tcW w:w="226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r>
              <w:rPr>
                <w:sz w:val="19"/>
                <w:szCs w:val="19"/>
              </w:rPr>
              <w:t>Esforço de implantação</w:t>
            </w:r>
          </w:p>
        </w:tc>
        <w:tc>
          <w:tcPr>
            <w:tcW w:w="10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>3 a 4 semanas</w:t>
            </w:r>
          </w:p>
        </w:tc>
        <w:tc>
          <w:tcPr>
            <w:tcW w:w="10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>Estimativa da arquiteta responsável da POPULOS</w:t>
            </w:r>
          </w:p>
        </w:tc>
        <w:tc>
          <w:tcPr>
            <w:tcW w:w="108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>Estimativa</w:t>
            </w:r>
          </w:p>
        </w:tc>
      </w:tr>
    </w:tbl>
    <w:p w14:paraId="675853AF" w14:textId="77777777" w:rsidR="00BD500C" w:rsidRDefault="00BD500C">
      <w:pPr>
        <w:spacing w:after="80" w:line="276" w:lineRule="auto"/>
        <w:rPr>
          <w:b/>
          <w:bCs/>
          <w:i/>
          <w:iCs/>
          <w:color w:val="6B7280"/>
          <w:sz w:val="18"/>
          <w:szCs w:val="18"/>
        </w:rPr>
      </w:pPr>
    </w:p>
    <w:p>
      <w:pPr>
        <w:pStyle w:val="Ttulo2"/>
        <w:keepNext/>
        <w:keepLines/>
        <w:pageBreakBefore w:val="0"/>
        <w:spacing w:before="220" w:after="90"/>
      </w:pPr>
      <w:r>
        <w:rPr>
          <w:rFonts w:ascii="Lato" w:eastAsia="Lato" w:hAnsi="Lato" w:cs="Lato"/>
          <w:b/>
          <w:bCs/>
          <w:sz w:val="25"/>
          <w:szCs w:val="25"/>
        </w:rPr>
        <w:t>4.2 Componentes centralizados e serviços de borda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3"/>
        <w:gridCol w:w="5043"/>
      </w:tblGrid>
      <w:tr>
        <w:trPr>
          <w:tblHeader w:val="true"/>
        </w:trPr>
        <w:tc>
          <w:tcPr>
            <w:tcW w:type="dxa" w:w="6624"/>
            <w:vAlign w:val="center"/>
            <w:shd w:fill="1F2A5E"/>
          </w:tcPr>
          <w:p>
            <w:pPr>
              <w:spacing w:after="40"/>
              <w:jc w:val="left"/>
            </w:pPr>
            <w:r>
              <w:rPr>
                <w:rFonts w:ascii="Lato" w:hAnsi="Lato"/>
                <w:b/>
                <w:color w:val="FFFFFF"/>
                <w:sz w:val="15"/>
              </w:rPr>
              <w:t>Componente</w:t>
            </w:r>
          </w:p>
        </w:tc>
        <w:tc>
          <w:tcPr>
            <w:tcW w:type="dxa" w:w="2880"/>
            <w:vAlign w:val="center"/>
            <w:shd w:fill="1F2A5E"/>
          </w:tcPr>
          <w:p>
            <w:pPr>
              <w:spacing w:after="40"/>
              <w:jc w:val="left"/>
            </w:pPr>
            <w:r>
              <w:rPr>
                <w:rFonts w:ascii="Lato" w:hAnsi="Lato"/>
                <w:b/>
                <w:color w:val="FFFFFF"/>
                <w:sz w:val="15"/>
              </w:rPr>
              <w:t>Posição na proposta</w:t>
            </w:r>
          </w:p>
        </w:tc>
      </w:tr>
      <w:tr>
        <w:tc>
          <w:tcPr>
            <w:tcW w:type="dxa" w:w="6624"/>
            <w:vAlign w:val="center"/>
            <w:shd w:fill="FFFFFF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Edge DNS</w:t>
            </w:r>
          </w:p>
        </w:tc>
        <w:tc>
          <w:tcPr>
            <w:tcW w:type="dxa" w:w="2880"/>
            <w:vAlign w:val="center"/>
            <w:shd w:fill="FFFFFF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Recomendado</w:t>
            </w:r>
          </w:p>
        </w:tc>
      </w:tr>
    </w:tbl>
    <w:p w14:paraId="5941B891" w14:textId="465FDF3E" w:rsidR="00F227EA" w:rsidRDefault="00000000">
      <w:pPr>
        <w:pStyle w:val="Ttulo1"/>
        <w:keepNext/>
        <w:keepLines/>
        <w:pBdr>
          <w:bottom w:val="single" w:sz="6" w:space="4" w:color="6B46C1"/>
        </w:pBdr>
        <w:spacing w:before="320" w:after="140"/>
      </w:pPr>
      <w:r>
        <w:rPr>
          <w:rFonts w:ascii="Lato" w:eastAsia="Lato" w:hAnsi="Lato" w:cs="Lato"/>
          <w:b/>
          <w:bCs/>
          <w:color w:val="6B46C1"/>
          <w:sz w:val="30"/>
          <w:szCs w:val="30"/>
        </w:rPr>
        <w:lastRenderedPageBreak/>
        <w:t xml:space="preserve">5.  </w:t>
      </w:r>
      <w:r>
        <w:rPr>
          <w:rFonts w:ascii="Lato" w:eastAsia="Lato" w:hAnsi="Lato" w:cs="Lato"/>
          <w:b/>
          <w:bCs/>
          <w:color w:val="1F2A5E"/>
          <w:sz w:val="30"/>
          <w:szCs w:val="30"/>
        </w:rPr>
        <w:t>Avaliação e Migração do Ambiente Atual</w:t>
      </w:r>
    </w:p>
    <w:p>
      <w:pPr>
        <w:spacing w:after="120" w:line="276" w:lineRule="auto"/>
      </w:pPr>
      <w:r>
        <w:t>Como primeira etapa, a POPULOS realizará o levantamento detalhado do ambiente atual, contemplando no mínimo: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>Exportação e inventário completo das 4 zonas no registrador atual, com tipos, valores e TTLs de cada registro.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>Verificação da relação entre vertice.edu.br e portalaluno.vertice.edu.br e dos registros de e-mail (MX, TXT e SRV).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>Confirmação do acesso ao registrador para troca de servidores de nomes e publicação do registro DS.</w:t>
      </w:r>
    </w:p>
    <w:p>
      <w:pPr>
        <w:spacing w:after="120" w:line="276" w:lineRule="auto"/>
      </w:pPr>
      <w:r>
        <w:t>O levantamento entrega o inventário aprovado das 4 zonas e confirma os acessos necessários para a troca de delegação e o DNSSEC.</w:t>
      </w:r>
    </w:p>
    <w:tbl>
      <w:tblPr>
        <w:tblW w:w="10080" w:type="dxa"/>
        <w:tblBorders>
          <w:top w:val="single" w:sz="2" w:space="0" w:color="E5E7EB"/>
          <w:left w:val="single" w:sz="24" w:space="0" w:color="6B46C1"/>
          <w:bottom w:val="single" w:sz="2" w:space="0" w:color="E5E7EB"/>
          <w:right w:val="single" w:sz="2" w:space="0" w:color="E5E7E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F227EA" w14:paraId="78B70CC4" w14:textId="77777777">
        <w:trPr>
          <w:cantSplit/>
        </w:trPr>
        <w:tc>
          <w:tcPr>
            <w:tcW w:w="10080" w:type="dxa"/>
            <w:shd w:val="clear" w:color="auto" w:fill="F9FAFB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keepNext/>
              <w:keepLines/>
              <w:spacing w:after="60"/>
            </w:pPr>
            <w:r>
              <w:rPr>
                <w:rFonts w:ascii="Lato" w:eastAsia="Lato" w:hAnsi="Lato" w:cs="Lato"/>
                <w:b/>
                <w:bCs/>
                <w:color w:val="1F2A5E"/>
              </w:rPr>
              <w:t>Estratégia de migração</w:t>
            </w:r>
          </w:p>
          <w:p>
            <w:pPr>
              <w:keepLines/>
              <w:spacing w:before="40" w:after="0"/>
            </w:pPr>
            <w:r>
              <w:rPr>
                <w:rFonts w:ascii="Lato" w:hAnsi="Lato"/>
                <w:b w:val="0"/>
                <w:sz w:val="17"/>
              </w:rPr>
              <w:t>Nenhuma delegação é trocada antes da validação registro a registro e da aprovação da janela pela Vértice; a reversão para os servidores anteriores fica disponível até o aceite final.</w:t>
            </w:r>
          </w:p>
        </w:tc>
      </w:tr>
    </w:tbl>
    <w:p w14:paraId="2171A501" w14:textId="77777777" w:rsidR="00F227EA" w:rsidRDefault="00000000">
      <w:pPr>
        <w:pStyle w:val="Ttulo1"/>
        <w:keepNext/>
        <w:keepLines/>
        <w:pBdr>
          <w:bottom w:val="single" w:sz="6" w:space="4" w:color="6B46C1"/>
        </w:pBdr>
        <w:spacing w:before="320" w:after="140"/>
      </w:pPr>
      <w:r>
        <w:rPr>
          <w:rFonts w:ascii="Lato" w:eastAsia="Lato" w:hAnsi="Lato" w:cs="Lato"/>
          <w:b/>
          <w:bCs/>
          <w:color w:val="6B46C1"/>
          <w:sz w:val="30"/>
          <w:szCs w:val="30"/>
        </w:rPr>
        <w:t xml:space="preserve">6.  </w:t>
      </w:r>
      <w:r>
        <w:rPr>
          <w:rFonts w:ascii="Lato" w:eastAsia="Lato" w:hAnsi="Lato" w:cs="Lato"/>
          <w:b/>
          <w:bCs/>
          <w:color w:val="1F2A5E"/>
          <w:sz w:val="30"/>
          <w:szCs w:val="30"/>
        </w:rPr>
        <w:t>Serviços POPULOS — Metodologia de Implantação</w:t>
      </w:r>
    </w:p>
    <w:p>
      <w:pPr>
        <w:spacing w:after="120" w:line="276" w:lineRule="auto"/>
      </w:pPr>
      <w:r>
        <w:rPr>
          <w:b/>
          <w:bCs/>
        </w:rPr>
        <w:t>A implantação segue três fases: levantamento e planejamento, configuração e validação, e troca de delegação com estabilização.</w:t>
      </w:r>
    </w:p>
    <w:p w14:paraId="1DD6CC39" w14:textId="77777777" w:rsidR="00F227EA" w:rsidRDefault="00000000">
      <w:pPr>
        <w:pStyle w:val="Ttulo2"/>
        <w:keepNext/>
        <w:keepLines/>
        <w:spacing w:before="220" w:after="90"/>
      </w:pPr>
      <w:r>
        <w:rPr>
          <w:rFonts w:ascii="Lato" w:eastAsia="Lato" w:hAnsi="Lato" w:cs="Lato"/>
          <w:b/>
          <w:bCs/>
          <w:sz w:val="25"/>
          <w:szCs w:val="25"/>
        </w:rPr>
        <w:t>6.1 Escopo previsto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>Levantamento e exportação das 4 zonas e de seus registros A, AAAA, CNAME, MX, TXT e SRV.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>Criação das 4 zonas primárias no Edge DNS e importação dos registros.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>Validação registro a registro das respostas do Edge DNS contra o inventário aprovado.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>Configuração de DNSSEC nas 4 zonas e orientação à Vértice para publicação do registro DS no registrador.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>Plano de troca de delegação com redução prévia de TTL, janela aprovada e plano de reversão.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>Acompanhamento da troca de delegação e monitoramento da resolução durante a estabilização.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>Repasse de conhecimento sobre gestão de zonas pelo portal e pela API do Edge DNS.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>Inventário das 4 zonas aprovado pela Vértice.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>Plano de migração com janelas, verificações e plano de reversão.</w:t>
      </w:r>
    </w:p>
    <w:p>
      <w:pPr>
        <w:pStyle w:val="PargrafodaLista"/>
        <w:keepLines/>
        <w:numPr>
          <w:ilvl w:val="0"/>
          <w:numId w:val="2"/>
        </w:numPr>
        <w:spacing w:after="60" w:line="270" w:lineRule="auto"/>
      </w:pPr>
      <w:r>
        <w:t>Relatório de validação registro a registro.</w:t>
      </w:r>
    </w:p>
    <w:p>
      <w:pPr>
        <w:pStyle w:val="PargrafodaLista"/>
        <w:keepLines/>
        <w:numPr>
          <w:ilvl w:val="0"/>
          <w:numId w:val="2"/>
        </w:numPr>
        <w:spacing w:after="60" w:line="270" w:lineRule="auto"/>
      </w:pPr>
      <w:r>
        <w:t>Documento as-built das zonas e da configuração de DNSSEC.</w:t>
      </w:r>
    </w:p>
    <w:p>
      <w:pPr>
        <w:pStyle w:val="PargrafodaLista"/>
        <w:keepLines/>
        <w:numPr>
          <w:ilvl w:val="0"/>
          <w:numId w:val="2"/>
        </w:numPr>
        <w:spacing w:after="60" w:line="270" w:lineRule="auto"/>
      </w:pPr>
      <w:r>
        <w:t>Sessão de repasse de conhecimento.</w:t>
      </w:r>
    </w:p>
    <w:p w14:paraId="5DE8D494" w14:textId="399B44BD" w:rsidR="00ED213E" w:rsidRPr="00ED213E" w:rsidRDefault="00000000">
      <w:pPr>
        <w:pStyle w:val="Ttulo2"/>
        <w:keepNext/>
        <w:keepLines/>
        <w:spacing w:before="220" w:after="90"/>
        <w:rPr>
          <w:rFonts w:ascii="Lato" w:eastAsia="Lato" w:hAnsi="Lato" w:cs="Lato"/>
          <w:b/>
          <w:bCs/>
          <w:sz w:val="25"/>
          <w:szCs w:val="25"/>
        </w:rPr>
      </w:pPr>
      <w:r>
        <w:rPr>
          <w:rFonts w:ascii="Lato" w:eastAsia="Lato" w:hAnsi="Lato" w:cs="Lato"/>
          <w:b/>
          <w:bCs/>
          <w:sz w:val="25"/>
          <w:szCs w:val="25"/>
        </w:rPr>
        <w:lastRenderedPageBreak/>
        <w:t>6.2 Metodologia POPULOS</w:t>
      </w:r>
    </w:p>
    <w:p w14:paraId="458C458F" w14:textId="77777777" w:rsidR="00F227EA" w:rsidRDefault="00000000">
      <w:pPr>
        <w:pStyle w:val="Ttulo3"/>
        <w:keepNext/>
        <w:keepLines/>
        <w:spacing w:before="160" w:after="70"/>
      </w:pPr>
      <w:r>
        <w:rPr>
          <w:rFonts w:ascii="Lato" w:eastAsia="Lato" w:hAnsi="Lato" w:cs="Lato"/>
          <w:b/>
          <w:bCs/>
          <w:sz w:val="22"/>
          <w:szCs w:val="22"/>
        </w:rPr>
        <w:t>Levantamento e planejamento</w:t>
      </w:r>
    </w:p>
    <w:p>
      <w:pPr>
        <w:spacing w:after="120" w:line="276" w:lineRule="auto"/>
      </w:pPr>
      <w:r>
        <w:t>Exportar e inventariar as 4 zonas, confirmar acessos e aprovar o plano de migração.</w:t>
      </w:r>
    </w:p>
    <w:p w14:paraId="31BAB4E0" w14:textId="77777777" w:rsidR="00F227EA" w:rsidRDefault="00000000">
      <w:pPr>
        <w:pStyle w:val="Ttulo3"/>
        <w:keepNext/>
        <w:keepLines/>
        <w:spacing w:before="160" w:after="70"/>
      </w:pPr>
      <w:r>
        <w:rPr>
          <w:rFonts w:ascii="Lato" w:eastAsia="Lato" w:hAnsi="Lato" w:cs="Lato"/>
          <w:b/>
          <w:bCs/>
          <w:sz w:val="22"/>
          <w:szCs w:val="22"/>
        </w:rPr>
        <w:t>Configuração e validação</w:t>
      </w:r>
    </w:p>
    <w:p>
      <w:pPr>
        <w:spacing w:after="120" w:line="276" w:lineRule="auto"/>
      </w:pPr>
      <w:r>
        <w:t>Criar as zonas no Edge DNS, importar os registros, configurar DNSSEC e validar as respostas registro a registro.</w:t>
      </w:r>
    </w:p>
    <w:p w14:paraId="0C49AE6D" w14:textId="77777777" w:rsidR="00F227EA" w:rsidRDefault="00000000">
      <w:pPr>
        <w:pStyle w:val="Ttulo3"/>
        <w:keepNext/>
        <w:keepLines/>
        <w:spacing w:before="160" w:after="70"/>
      </w:pPr>
      <w:r>
        <w:rPr>
          <w:rFonts w:ascii="Lato" w:eastAsia="Lato" w:hAnsi="Lato" w:cs="Lato"/>
          <w:b/>
          <w:bCs/>
          <w:sz w:val="22"/>
          <w:szCs w:val="22"/>
        </w:rPr>
        <w:t>Troca de delegação e estabilização</w:t>
      </w:r>
    </w:p>
    <w:p>
      <w:pPr>
        <w:spacing w:after="120" w:line="276" w:lineRule="auto"/>
      </w:pPr>
      <w:r>
        <w:t>Reduzir TTLs, trocar a delegação em janela aprovada, publicar o registro DS e acompanhar a estabilização.</w:t>
      </w:r>
    </w:p>
    <w:p w14:paraId="1FE5BD3A" w14:textId="77777777" w:rsidR="00F227EA" w:rsidRDefault="00000000">
      <w:pPr>
        <w:pStyle w:val="Ttulo3"/>
        <w:keepNext/>
        <w:keepLines/>
        <w:spacing w:before="160" w:after="70"/>
      </w:pPr>
      <w:r>
        <w:rPr>
          <w:rFonts w:ascii="Lato" w:eastAsia="Lato" w:hAnsi="Lato" w:cs="Lato"/>
          <w:b/>
          <w:bCs/>
          <w:sz w:val="22"/>
          <w:szCs w:val="22"/>
        </w:rPr>
        <w:t>Gestão do Projeto</w:t>
      </w:r>
    </w:p>
    <w:p>
      <w:pPr>
        <w:spacing w:after="120" w:line="276" w:lineRule="auto"/>
      </w:pPr>
      <w:r>
        <w:t>A POPULOS conduzirá o planejamento, a gestão de riscos e dependências e os reportes periódicos, em alinhamento com o ponto focal do cliente.</w:t>
      </w:r>
    </w:p>
    <w:p w14:paraId="49957D70" w14:textId="77777777" w:rsidR="00F227EA" w:rsidRDefault="00000000">
      <w:pPr>
        <w:pStyle w:val="Ttulo1"/>
        <w:keepNext/>
        <w:keepLines/>
        <w:pBdr>
          <w:bottom w:val="single" w:sz="6" w:space="4" w:color="6B46C1"/>
        </w:pBdr>
        <w:spacing w:before="320" w:after="140"/>
      </w:pPr>
      <w:r>
        <w:rPr>
          <w:rFonts w:ascii="Lato" w:eastAsia="Lato" w:hAnsi="Lato" w:cs="Lato"/>
          <w:b/>
          <w:bCs/>
          <w:color w:val="6B46C1"/>
          <w:sz w:val="30"/>
          <w:szCs w:val="30"/>
        </w:rPr>
        <w:t xml:space="preserve">7.  </w:t>
      </w:r>
      <w:r>
        <w:rPr>
          <w:rFonts w:ascii="Lato" w:eastAsia="Lato" w:hAnsi="Lato" w:cs="Lato"/>
          <w:b/>
          <w:bCs/>
          <w:color w:val="1F2A5E"/>
          <w:sz w:val="30"/>
          <w:szCs w:val="30"/>
        </w:rPr>
        <w:t>Limites do Escopo</w:t>
      </w:r>
    </w:p>
    <w:p w14:paraId="06FA1EDD" w14:textId="77777777" w:rsidR="00F227EA" w:rsidRDefault="00000000">
      <w:pPr>
        <w:pStyle w:val="Ttulo2"/>
        <w:keepNext/>
        <w:keepLines/>
        <w:spacing w:before="220" w:after="90"/>
      </w:pPr>
      <w:r>
        <w:rPr>
          <w:rFonts w:ascii="Lato" w:eastAsia="Lato" w:hAnsi="Lato" w:cs="Lato"/>
          <w:b/>
          <w:bCs/>
          <w:sz w:val="25"/>
          <w:szCs w:val="25"/>
        </w:rPr>
        <w:t>7.1 Passagem de conhecimento</w:t>
      </w:r>
    </w:p>
    <w:p>
      <w:pPr>
        <w:spacing w:after="120" w:line="276" w:lineRule="auto"/>
      </w:pPr>
      <w:r>
        <w:t>Ao final, a POPULOS conduz uma sessão com a equipe de infraestrutura da Vértice sobre gestão de registros pelo portal e pela API e sobre rotina de DNSSEC.</w:t>
      </w:r>
    </w:p>
    <w:p w14:paraId="4A59FCA9" w14:textId="77777777" w:rsidR="00F227EA" w:rsidRDefault="00000000">
      <w:pPr>
        <w:pStyle w:val="Ttulo2"/>
        <w:keepNext/>
        <w:keepLines/>
        <w:spacing w:before="220" w:after="90"/>
      </w:pPr>
      <w:r>
        <w:rPr>
          <w:rFonts w:ascii="Lato" w:eastAsia="Lato" w:hAnsi="Lato" w:cs="Lato"/>
          <w:b/>
          <w:bCs/>
          <w:sz w:val="25"/>
          <w:szCs w:val="25"/>
        </w:rPr>
        <w:t>7.2 Homologação e testes</w:t>
      </w:r>
    </w:p>
    <w:p>
      <w:pPr>
        <w:spacing w:after="120" w:line="276" w:lineRule="auto"/>
      </w:pPr>
      <w:r>
        <w:t>Antes da troca de delegação, cada registro do inventário é consultado diretamente nos servidores do Edge DNS e comparado com o valor aprovado; após a troca, a resolução e a validação DNSSEC são verificadas nas 4 zonas.</w:t>
      </w:r>
    </w:p>
    <w:p w14:paraId="7794161C" w14:textId="77777777" w:rsidR="00F227EA" w:rsidRDefault="00000000">
      <w:pPr>
        <w:pStyle w:val="Ttulo2"/>
        <w:keepNext/>
        <w:keepLines/>
        <w:spacing w:before="220" w:after="90"/>
      </w:pPr>
      <w:r>
        <w:rPr>
          <w:rFonts w:ascii="Lato" w:eastAsia="Lato" w:hAnsi="Lato" w:cs="Lato"/>
          <w:b/>
          <w:bCs/>
          <w:sz w:val="25"/>
          <w:szCs w:val="25"/>
        </w:rPr>
        <w:t>7.3 Áreas fora do escopo</w:t>
      </w:r>
    </w:p>
    <w:p w14:paraId="072132ED" w14:textId="77777777" w:rsidR="00F227EA" w:rsidRDefault="00000000">
      <w:pPr>
        <w:spacing w:after="120" w:line="276" w:lineRule="auto"/>
      </w:pPr>
      <w:r>
        <w:t>Qualquer área/tópico não expressamente enumerado no escopo previsto está fora deste projeto. Em especial, estão fora do escopo: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rPr>
          <w:b/>
          <w:bCs/>
        </w:rPr>
        <w:t>Alterações no servidor de hospedagem, no site principal ou no portal do aluno.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rPr>
          <w:b/>
          <w:bCs/>
        </w:rPr>
        <w:t>Melhorias de segurança do site e do portal do aluno, que a Vértice indicou não serem prioridade no momento.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rPr>
          <w:b/>
          <w:bCs/>
        </w:rPr>
        <w:t>Balanceamento ou continuidade entre múltiplas origens, pois há um único servidor.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>Aquisição das licenças Akamai, feita diretamente pela Vértice.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>Operação contínua do DNS após o aceite final.</w:t>
      </w:r>
    </w:p>
    <w:p w14:paraId="29CE5CDD" w14:textId="77777777" w:rsidR="004D3A65" w:rsidRDefault="004D3A65" w:rsidP="004D3A65">
      <w:pPr>
        <w:spacing w:after="60" w:line="270" w:lineRule="auto"/>
      </w:pPr>
    </w:p>
    <w:p w14:paraId="5A6DAA59" w14:textId="77777777" w:rsidR="004D3A65" w:rsidRDefault="004D3A65" w:rsidP="004D3A65">
      <w:pPr>
        <w:spacing w:after="60" w:line="270" w:lineRule="auto"/>
      </w:pPr>
    </w:p>
    <w:tbl>
      <w:tblPr>
        <w:tblW w:w="10080" w:type="dxa"/>
        <w:tblBorders>
          <w:top w:val="single" w:sz="2" w:space="0" w:color="E5E7EB"/>
          <w:left w:val="single" w:sz="24" w:space="0" w:color="6B46C1"/>
          <w:bottom w:val="single" w:sz="2" w:space="0" w:color="E5E7EB"/>
          <w:right w:val="single" w:sz="2" w:space="0" w:color="E5E7E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F227EA" w14:paraId="51C7CCBD" w14:textId="77777777">
        <w:trPr>
          <w:cantSplit/>
        </w:trPr>
        <w:tc>
          <w:tcPr>
            <w:tcW w:w="10080" w:type="dxa"/>
            <w:shd w:val="clear" w:color="auto" w:fill="F9FAFB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keepNext/>
              <w:keepLines/>
              <w:spacing w:after="60"/>
            </w:pPr>
            <w:r>
              <w:rPr>
                <w:rFonts w:ascii="Lato" w:eastAsia="Lato" w:hAnsi="Lato" w:cs="Lato"/>
                <w:b/>
                <w:bCs/>
                <w:color w:val="1F2A5E"/>
              </w:rPr>
              <w:t>Itens que exigem contratação específica</w:t>
            </w:r>
          </w:p>
          <w:p>
            <w:pPr>
              <w:keepLines/>
              <w:spacing w:before="40" w:after="0"/>
            </w:pPr>
            <w:r>
              <w:rPr>
                <w:rFonts w:ascii="Lato" w:hAnsi="Lato"/>
                <w:b w:val="0"/>
                <w:sz w:val="17"/>
              </w:rPr>
              <w:t>Operação continuada, NOC 24x7, equipe residente, desenvolvimento de aplicações e serviços gerenciados adicionais não estão incluídos.</w:t>
            </w:r>
          </w:p>
        </w:tc>
      </w:tr>
    </w:tbl>
    <w:p w14:paraId="790651B6" w14:textId="77777777" w:rsidR="00F227EA" w:rsidRDefault="00000000">
      <w:pPr>
        <w:pStyle w:val="Ttulo1"/>
        <w:keepNext/>
        <w:keepLines/>
        <w:pageBreakBefore w:val="0"/>
        <w:pBdr>
          <w:bottom w:val="single" w:sz="6" w:space="4" w:color="6B46C1"/>
        </w:pBdr>
        <w:spacing w:before="320" w:after="140"/>
      </w:pPr>
      <w:r>
        <w:rPr>
          <w:rFonts w:ascii="Lato" w:eastAsia="Lato" w:hAnsi="Lato" w:cs="Lato"/>
          <w:b/>
          <w:bCs/>
          <w:color w:val="6B46C1"/>
          <w:sz w:val="30"/>
          <w:szCs w:val="30"/>
        </w:rPr>
        <w:t xml:space="preserve">8.  </w:t>
      </w:r>
      <w:r>
        <w:rPr>
          <w:rFonts w:ascii="Lato" w:eastAsia="Lato" w:hAnsi="Lato" w:cs="Lato"/>
          <w:b/>
          <w:bCs/>
          <w:color w:val="1F2A5E"/>
          <w:sz w:val="30"/>
          <w:szCs w:val="30"/>
        </w:rPr>
        <w:t>Premissas, Requisitos e Restrições</w:t>
      </w:r>
    </w:p>
    <w:p w14:paraId="0279B845" w14:textId="77777777" w:rsidR="00F227EA" w:rsidRDefault="00000000">
      <w:pPr>
        <w:pStyle w:val="Ttulo2"/>
        <w:keepNext/>
        <w:keepLines/>
        <w:spacing w:before="220" w:after="90"/>
      </w:pPr>
      <w:r>
        <w:rPr>
          <w:rFonts w:ascii="Lato" w:eastAsia="Lato" w:hAnsi="Lato" w:cs="Lato"/>
          <w:b/>
          <w:bCs/>
          <w:sz w:val="25"/>
          <w:szCs w:val="25"/>
        </w:rPr>
        <w:t>8.1 Premissas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rPr>
          <w:b/>
          <w:bCs/>
        </w:rPr>
        <w:t>Premissa de dimensionamento: as 4 zonas somam cerca de 380 registros dos tipos A, AAAA, CNAME, MX, TXT e SRV; a contagem é confirmada na exportação do levantamento.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>Premissa: o prazo de 3 a 4 semanas começa a contar com as licenças ativas e o acesso ao registrador disponível; validação na conclusão do levantamento.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>Premissa: os registros continuam apontando para o servidor atual de hospedagem, sem mudança de endereços durante a migração; validação no inventário aprovado.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>Premissa: o registrador dos domínios aceita a publicação de registros DS; validação no levantamento.</w:t>
      </w:r>
    </w:p>
    <w:p>
      <w:pPr>
        <w:pStyle w:val="Ttulo2"/>
        <w:keepNext/>
        <w:keepLines/>
        <w:spacing w:before="220" w:after="90"/>
      </w:pPr>
      <w:r>
        <w:rPr>
          <w:rFonts w:ascii="Lato" w:eastAsia="Lato" w:hAnsi="Lato" w:cs="Lato"/>
          <w:b/>
          <w:bCs/>
          <w:sz w:val="25"/>
          <w:szCs w:val="25"/>
        </w:rPr>
        <w:t>8.2 Requisitos — Pessoas (Vértice Educação)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rPr>
          <w:b/>
          <w:bCs/>
        </w:rPr>
        <w:t>Coordenação de Infraestrutura (ponto focal e aprovação das janelas)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rPr>
          <w:b/>
          <w:bCs/>
        </w:rPr>
        <w:t>Responsável pelo acesso ao registrador dos domínios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rPr>
          <w:b/>
          <w:bCs/>
        </w:rPr>
        <w:t>Responsável pelo e-mail institucional (validação dos registros MX, TXT e SRV)</w:t>
      </w:r>
    </w:p>
    <w:p w14:paraId="199C1D9F" w14:textId="77777777" w:rsidR="00F227EA" w:rsidRDefault="00000000">
      <w:pPr>
        <w:pStyle w:val="Ttulo2"/>
        <w:keepNext/>
        <w:keepLines/>
        <w:spacing w:before="220" w:after="90"/>
      </w:pPr>
      <w:r>
        <w:rPr>
          <w:rFonts w:ascii="Lato" w:eastAsia="Lato" w:hAnsi="Lato" w:cs="Lato"/>
          <w:b/>
          <w:bCs/>
          <w:sz w:val="25"/>
          <w:szCs w:val="25"/>
        </w:rPr>
        <w:t>8.3 Restrições</w:t>
      </w:r>
    </w:p>
    <w:p w14:paraId="15290CA5" w14:textId="77777777" w:rsidR="00F227EA" w:rsidRDefault="00000000">
      <w:pPr>
        <w:pStyle w:val="PargrafodaLista"/>
        <w:numPr>
          <w:ilvl w:val="0"/>
          <w:numId w:val="2"/>
        </w:numPr>
        <w:spacing w:after="60" w:line="270" w:lineRule="auto"/>
      </w:pPr>
      <w:r>
        <w:t>A troca de delegação ocorre somente em janela aprovada pela Vértice.</w:t>
      </w:r>
    </w:p>
    <w:p w14:paraId="62D6CC0A" w14:textId="77777777" w:rsidR="00F227EA" w:rsidRDefault="00000000">
      <w:pPr>
        <w:pStyle w:val="PargrafodaLista"/>
        <w:numPr>
          <w:ilvl w:val="0"/>
          <w:numId w:val="2"/>
        </w:numPr>
        <w:spacing w:after="60" w:line="270" w:lineRule="auto"/>
      </w:pPr>
      <w:r>
        <w:t>A publicação do registro DS e a troca de servidores de nomes são executadas pela Vértice no registrador, com acompanhamento da POPULOS.</w:t>
      </w:r>
    </w:p>
    <w:p w14:paraId="655E7B04" w14:textId="77777777" w:rsidR="00F227EA" w:rsidRDefault="00000000">
      <w:pPr>
        <w:pStyle w:val="PargrafodaLista"/>
        <w:numPr>
          <w:ilvl w:val="0"/>
          <w:numId w:val="2"/>
        </w:numPr>
        <w:spacing w:after="60" w:line="270" w:lineRule="auto"/>
      </w:pPr>
      <w:r>
        <w:t>O cronograma depende da ativação das licenças, adquiridas diretamente pela Vértice junto à Akamai.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>O projeto não altera o servidor de hospedagem nem as aplicações.</w:t>
      </w:r>
    </w:p>
    <w:p w14:paraId="359018A2" w14:textId="77777777" w:rsidR="00BB2913" w:rsidRDefault="00BB2913" w:rsidP="00BB2913">
      <w:pPr>
        <w:spacing w:after="60" w:line="270" w:lineRule="auto"/>
      </w:pPr>
    </w:p>
    <w:p w14:paraId="62DB3BC2" w14:textId="77777777" w:rsidR="00BB2913" w:rsidRDefault="00BB2913" w:rsidP="00BB2913">
      <w:pPr>
        <w:spacing w:after="60" w:line="270" w:lineRule="auto"/>
      </w:pPr>
    </w:p>
    <w:p w14:paraId="302BA2AD" w14:textId="77777777" w:rsidR="00BB2913" w:rsidRDefault="00BB2913" w:rsidP="00BB2913">
      <w:pPr>
        <w:spacing w:after="60" w:line="270" w:lineRule="auto"/>
      </w:pPr>
    </w:p>
    <w:p w14:paraId="1F60BE6A" w14:textId="77777777" w:rsidR="00BB2913" w:rsidRDefault="00BB2913" w:rsidP="00BB2913">
      <w:pPr>
        <w:spacing w:after="60" w:line="270" w:lineRule="auto"/>
      </w:pPr>
    </w:p>
    <w:p>
      <w:pPr>
        <w:pStyle w:val="Ttulo2"/>
        <w:keepNext/>
        <w:keepLines/>
        <w:spacing w:before="160" w:after="90"/>
        <w:rPr>
          <w:rFonts w:ascii="Lato" w:eastAsia="Lato" w:hAnsi="Lato" w:cs="Lato"/>
          <w:b/>
          <w:bCs/>
          <w:sz w:val="25"/>
          <w:szCs w:val="25"/>
        </w:rPr>
      </w:pPr>
      <w:r>
        <w:rPr>
          <w:rFonts w:ascii="Lato" w:eastAsia="Lato" w:hAnsi="Lato" w:cs="Lato"/>
          <w:b/>
          <w:bCs/>
          <w:sz w:val="25"/>
          <w:szCs w:val="25"/>
        </w:rPr>
        <w:t>8.4 Riscos e mitigação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rPr>
          <w:tblHeader w:val="true"/>
        </w:trPr>
        <w:tc>
          <w:tcPr>
            <w:tcW w:type="dxa" w:w="3168"/>
            <w:vAlign w:val="center"/>
            <w:shd w:fill="1F2A5E"/>
          </w:tcPr>
          <w:p>
            <w:pPr>
              <w:spacing w:after="40"/>
              <w:jc w:val="left"/>
            </w:pPr>
            <w:r>
              <w:rPr>
                <w:rFonts w:ascii="Lato" w:hAnsi="Lato"/>
                <w:b/>
                <w:color w:val="FFFFFF"/>
                <w:sz w:val="15"/>
              </w:rPr>
              <w:t>Risco</w:t>
            </w:r>
          </w:p>
        </w:tc>
        <w:tc>
          <w:tcPr>
            <w:tcW w:type="dxa" w:w="2304"/>
            <w:vAlign w:val="center"/>
            <w:shd w:fill="1F2A5E"/>
          </w:tcPr>
          <w:p>
            <w:pPr>
              <w:spacing w:after="40"/>
              <w:jc w:val="left"/>
            </w:pPr>
            <w:r>
              <w:rPr>
                <w:rFonts w:ascii="Lato" w:hAnsi="Lato"/>
                <w:b/>
                <w:color w:val="FFFFFF"/>
                <w:sz w:val="15"/>
              </w:rPr>
              <w:t>Impacto</w:t>
            </w:r>
          </w:p>
        </w:tc>
        <w:tc>
          <w:tcPr>
            <w:tcW w:type="dxa" w:w="4032"/>
            <w:vAlign w:val="center"/>
            <w:shd w:fill="1F2A5E"/>
          </w:tcPr>
          <w:p>
            <w:pPr>
              <w:spacing w:after="40"/>
              <w:jc w:val="left"/>
            </w:pPr>
            <w:r>
              <w:rPr>
                <w:rFonts w:ascii="Lato" w:hAnsi="Lato"/>
                <w:b/>
                <w:color w:val="FFFFFF"/>
                <w:sz w:val="15"/>
              </w:rPr>
              <w:t>Mitigação</w:t>
            </w:r>
          </w:p>
        </w:tc>
      </w:tr>
      <w:tr>
        <w:tc>
          <w:tcPr>
            <w:tcW w:type="dxa" w:w="3168"/>
            <w:vAlign w:val="center"/>
            <w:shd w:fill="FFFFFF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Ativação das licenças após 14/12/2026.</w:t>
            </w:r>
          </w:p>
        </w:tc>
        <w:tc>
          <w:tcPr>
            <w:tcW w:type="dxa" w:w="2304"/>
            <w:vAlign w:val="center"/>
            <w:shd w:fill="FFFFFF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A migração pode não terminar antes do período de matrículas.</w:t>
            </w:r>
          </w:p>
        </w:tc>
        <w:tc>
          <w:tcPr>
            <w:tcW w:type="dxa" w:w="4032"/>
            <w:vAlign w:val="center"/>
            <w:shd w:fill="FFFFFF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Iniciar a aquisição logo após o aceite da proposta e acompanhar o prazo com a Akamai.</w:t>
            </w:r>
          </w:p>
        </w:tc>
      </w:tr>
      <w:tr>
        <w:tc>
          <w:tcPr>
            <w:tcW w:type="dxa" w:w="3168"/>
            <w:vAlign w:val="center"/>
            <w:shd w:fill="F3F4F6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Registro omitido ou divergente na exportação das zonas.</w:t>
            </w:r>
          </w:p>
        </w:tc>
        <w:tc>
          <w:tcPr>
            <w:tcW w:type="dxa" w:w="2304"/>
            <w:vAlign w:val="center"/>
            <w:shd w:fill="F3F4F6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Falha de resolução de algum serviço após a troca de delegação.</w:t>
            </w:r>
          </w:p>
        </w:tc>
        <w:tc>
          <w:tcPr>
            <w:tcW w:type="dxa" w:w="4032"/>
            <w:vAlign w:val="center"/>
            <w:shd w:fill="F3F4F6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Validação registro a registro antes da troca e plano de reversão.</w:t>
            </w:r>
          </w:p>
        </w:tc>
      </w:tr>
      <w:tr>
        <w:tc>
          <w:tcPr>
            <w:tcW w:type="dxa" w:w="3168"/>
            <w:vAlign w:val="center"/>
            <w:shd w:fill="FFFFFF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Publicação incorreta do registro DS.</w:t>
            </w:r>
          </w:p>
        </w:tc>
        <w:tc>
          <w:tcPr>
            <w:tcW w:type="dxa" w:w="2304"/>
            <w:vAlign w:val="center"/>
            <w:shd w:fill="FFFFFF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Falha de validação DNSSEC nos resolvedores.</w:t>
            </w:r>
          </w:p>
        </w:tc>
        <w:tc>
          <w:tcPr>
            <w:tcW w:type="dxa" w:w="4032"/>
            <w:vAlign w:val="center"/>
            <w:shd w:fill="FFFFFF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Publicar o DS somente após a delegação estável e verificar a cadeia de confiança antes do aceite.</w:t>
            </w:r>
          </w:p>
        </w:tc>
      </w:tr>
    </w:tbl>
    <w:p w14:paraId="0C5AB9CA" w14:textId="77777777" w:rsidR="00F227EA" w:rsidRDefault="00000000">
      <w:pPr>
        <w:pStyle w:val="Ttulo1"/>
        <w:keepNext/>
        <w:keepLines/>
        <w:pBdr>
          <w:bottom w:val="single" w:sz="6" w:space="4" w:color="6B46C1"/>
        </w:pBdr>
        <w:spacing w:before="320" w:after="140"/>
      </w:pPr>
      <w:r>
        <w:rPr>
          <w:rFonts w:ascii="Lato" w:eastAsia="Lato" w:hAnsi="Lato" w:cs="Lato"/>
          <w:b/>
          <w:bCs/>
          <w:color w:val="6B46C1"/>
          <w:sz w:val="30"/>
          <w:szCs w:val="30"/>
        </w:rPr>
        <w:lastRenderedPageBreak/>
        <w:t xml:space="preserve">9.  </w:t>
      </w:r>
      <w:r>
        <w:rPr>
          <w:rFonts w:ascii="Lato" w:eastAsia="Lato" w:hAnsi="Lato" w:cs="Lato"/>
          <w:b/>
          <w:bCs/>
          <w:color w:val="1F2A5E"/>
          <w:sz w:val="30"/>
          <w:szCs w:val="30"/>
        </w:rPr>
        <w:t>Cronograma Macro</w:t>
      </w:r>
    </w:p>
    <w:p>
      <w:pPr>
        <w:spacing w:after="120" w:line="276" w:lineRule="auto"/>
      </w:pPr>
      <w:r>
        <w:t>O cronograma prevê de 3 a 4 semanas de execução, contadas a partir da ativação das licenças e do acesso ao registrador.</w:t>
      </w:r>
    </w:p>
    <w:p>
      <w:pPr>
        <w:spacing w:after="120" w:line="276" w:lineRule="auto"/>
      </w:pPr>
      <w:r>
        <w:t>Levantamento e planejamento (1 semana), configuração e validação (1 semana) e troca de delegação com estabilização (1 a 2 semanas).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28"/>
        <w:gridCol w:w="3024"/>
        <w:gridCol w:w="1944"/>
        <w:gridCol w:w="1296"/>
        <w:gridCol w:w="1584"/>
      </w:tblGrid>
      <w:tr w:rsidR="000025B6" w14:paraId="3B67D474" w14:textId="77777777">
        <w:trPr>
          <w:tblHeader/>
        </w:trPr>
        <w:tc>
          <w:tcPr>
            <w:tcW w:w="172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F2A5E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0C4EC7D" w14:textId="77777777" w:rsidR="0039468C" w:rsidRDefault="00000000">
            <w:r>
              <w:rPr>
                <w:b/>
                <w:bCs/>
                <w:color w:val="FFFFFF"/>
              </w:rPr>
              <w:t>Fase</w:t>
            </w:r>
          </w:p>
        </w:tc>
        <w:tc>
          <w:tcPr>
            <w:tcW w:w="302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F2A5E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DB1572C" w14:textId="77777777" w:rsidR="0039468C" w:rsidRDefault="00000000">
            <w:r>
              <w:rPr>
                <w:b/>
                <w:bCs/>
                <w:color w:val="FFFFFF"/>
              </w:rPr>
              <w:t>Atividade</w:t>
            </w:r>
          </w:p>
        </w:tc>
        <w:tc>
          <w:tcPr>
            <w:tcW w:w="194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F2A5E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769EBB4" w14:textId="77777777" w:rsidR="0039468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Dependência</w:t>
            </w:r>
          </w:p>
        </w:tc>
        <w:tc>
          <w:tcPr>
            <w:tcW w:w="129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F2A5E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584457C" w14:textId="77777777" w:rsidR="0039468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Duração</w:t>
            </w:r>
          </w:p>
        </w:tc>
        <w:tc>
          <w:tcPr>
            <w:tcW w:w="158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F2A5E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E6A91DF" w14:textId="77777777" w:rsidR="0039468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Evidência</w:t>
            </w:r>
          </w:p>
        </w:tc>
      </w:tr>
      <w:tr w:rsidR="000025B6" w14:paraId="3F1FC04D" w14:textId="77777777">
        <w:tc>
          <w:tcPr>
            <w:tcW w:w="172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94E3199" w14:textId="77777777" w:rsidR="0039468C" w:rsidRDefault="00000000">
            <w:pPr>
              <w:jc w:val="left"/>
            </w:pPr>
            <w:r>
              <w:rPr>
                <w:b/>
                <w:bCs/>
                <w:color w:val="1F2A5E"/>
                <w:sz w:val="15"/>
                <w:szCs w:val="20"/>
              </w:rPr>
              <w:t>Levantamento e planejamento</w:t>
            </w:r>
          </w:p>
        </w:tc>
        <w:tc>
          <w:tcPr>
            <w:tcW w:w="302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color w:val="1F2A5E"/>
                <w:sz w:val="15"/>
                <w:szCs w:val="20"/>
              </w:rPr>
              <w:t>Exportar e inventariar as 4 zonas, confirmar acessos e aprovar o plano de migração.</w:t>
            </w:r>
          </w:p>
        </w:tc>
        <w:tc>
          <w:tcPr>
            <w:tcW w:w="194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67F6ACF0" w14:textId="77777777" w:rsidR="0039468C" w:rsidRDefault="00000000">
            <w:pPr>
              <w:jc w:val="left"/>
            </w:pPr>
            <w:r>
              <w:rPr>
                <w:color w:val="1F2A5E"/>
                <w:sz w:val="15"/>
                <w:szCs w:val="20"/>
              </w:rPr>
              <w:t>Licenças do Edge DNS ativas e acesso ao registrador.</w:t>
            </w:r>
          </w:p>
        </w:tc>
        <w:tc>
          <w:tcPr>
            <w:tcW w:w="129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7A1C635C" w14:textId="77777777" w:rsidR="0039468C" w:rsidRDefault="00000000">
            <w:pPr>
              <w:jc w:val="left"/>
            </w:pPr>
            <w:r>
              <w:rPr>
                <w:color w:val="1F2A5E"/>
                <w:sz w:val="15"/>
                <w:szCs w:val="20"/>
              </w:rPr>
              <w:t>1 semana</w:t>
            </w:r>
          </w:p>
        </w:tc>
        <w:tc>
          <w:tcPr>
            <w:tcW w:w="158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2E1CAC2C" w14:textId="77777777" w:rsidR="0039468C" w:rsidRDefault="00000000">
            <w:pPr>
              <w:jc w:val="left"/>
            </w:pPr>
            <w:r>
              <w:rPr>
                <w:color w:val="1F2A5E"/>
                <w:sz w:val="15"/>
                <w:szCs w:val="20"/>
              </w:rPr>
              <w:t>Inventário aprovado, Plano de migração</w:t>
            </w:r>
          </w:p>
        </w:tc>
      </w:tr>
      <w:tr w:rsidR="000025B6" w14:paraId="2299E885" w14:textId="77777777">
        <w:tc>
          <w:tcPr>
            <w:tcW w:w="172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9C84597" w14:textId="77777777" w:rsidR="0039468C" w:rsidRDefault="00000000">
            <w:pPr>
              <w:jc w:val="left"/>
            </w:pPr>
            <w:r>
              <w:rPr>
                <w:b/>
                <w:bCs/>
                <w:color w:val="1F2A5E"/>
                <w:sz w:val="15"/>
                <w:szCs w:val="20"/>
              </w:rPr>
              <w:t>Configuração e validação</w:t>
            </w:r>
          </w:p>
        </w:tc>
        <w:tc>
          <w:tcPr>
            <w:tcW w:w="302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color w:val="1F2A5E"/>
                <w:sz w:val="15"/>
                <w:szCs w:val="20"/>
              </w:rPr>
              <w:t>Criar as zonas no Edge DNS, importar os registros, configurar DNSSEC e validar as respostas registro a registro.</w:t>
            </w:r>
          </w:p>
        </w:tc>
        <w:tc>
          <w:tcPr>
            <w:tcW w:w="194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3F4F6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5E928621" w14:textId="77777777" w:rsidR="0039468C" w:rsidRDefault="00000000">
            <w:pPr>
              <w:jc w:val="left"/>
            </w:pPr>
            <w:r>
              <w:rPr>
                <w:color w:val="1F2A5E"/>
                <w:sz w:val="15"/>
                <w:szCs w:val="20"/>
              </w:rPr>
              <w:t>Inventário aprovado.</w:t>
            </w:r>
          </w:p>
        </w:tc>
        <w:tc>
          <w:tcPr>
            <w:tcW w:w="129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3F4F6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36308512" w14:textId="77777777" w:rsidR="0039468C" w:rsidRDefault="00000000">
            <w:pPr>
              <w:jc w:val="left"/>
            </w:pPr>
            <w:r>
              <w:rPr>
                <w:color w:val="1F2A5E"/>
                <w:sz w:val="15"/>
                <w:szCs w:val="20"/>
              </w:rPr>
              <w:t>1 semana</w:t>
            </w:r>
          </w:p>
        </w:tc>
        <w:tc>
          <w:tcPr>
            <w:tcW w:w="158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3F4F6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7E6DCF4A" w14:textId="77777777" w:rsidR="0039468C" w:rsidRDefault="00000000">
            <w:pPr>
              <w:jc w:val="left"/>
            </w:pPr>
            <w:r>
              <w:rPr>
                <w:color w:val="1F2A5E"/>
                <w:sz w:val="15"/>
                <w:szCs w:val="20"/>
              </w:rPr>
              <w:t>Zonas configuradas, Relatório de validação</w:t>
            </w:r>
          </w:p>
        </w:tc>
      </w:tr>
      <w:tr w:rsidR="000025B6" w14:paraId="02252140" w14:textId="77777777">
        <w:tc>
          <w:tcPr>
            <w:tcW w:w="172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57A0166" w14:textId="77777777" w:rsidR="0039468C" w:rsidRDefault="00000000">
            <w:pPr>
              <w:jc w:val="left"/>
            </w:pPr>
            <w:r>
              <w:rPr>
                <w:b/>
                <w:bCs/>
                <w:color w:val="1F2A5E"/>
                <w:sz w:val="15"/>
                <w:szCs w:val="20"/>
              </w:rPr>
              <w:t>Troca de delegação e estabilização</w:t>
            </w:r>
          </w:p>
        </w:tc>
        <w:tc>
          <w:tcPr>
            <w:tcW w:w="302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color w:val="1F2A5E"/>
                <w:sz w:val="15"/>
                <w:szCs w:val="20"/>
              </w:rPr>
              <w:t>Reduzir TTLs, trocar a delegação em janela aprovada, publicar o registro DS e acompanhar a estabilização.</w:t>
            </w:r>
          </w:p>
        </w:tc>
        <w:tc>
          <w:tcPr>
            <w:tcW w:w="194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3A4147D2" w14:textId="77777777" w:rsidR="0039468C" w:rsidRDefault="00000000">
            <w:pPr>
              <w:jc w:val="left"/>
            </w:pPr>
            <w:r>
              <w:rPr>
                <w:color w:val="1F2A5E"/>
                <w:sz w:val="15"/>
                <w:szCs w:val="20"/>
              </w:rPr>
              <w:t>Relatório de validação aprovado e janela autorizada pela Vértice.</w:t>
            </w:r>
          </w:p>
        </w:tc>
        <w:tc>
          <w:tcPr>
            <w:tcW w:w="129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756D146F" w14:textId="77777777" w:rsidR="0039468C" w:rsidRDefault="00000000">
            <w:pPr>
              <w:jc w:val="left"/>
            </w:pPr>
            <w:r>
              <w:rPr>
                <w:color w:val="1F2A5E"/>
                <w:sz w:val="15"/>
                <w:szCs w:val="20"/>
              </w:rPr>
              <w:t>1 a 2 semanas</w:t>
            </w:r>
          </w:p>
        </w:tc>
        <w:tc>
          <w:tcPr>
            <w:tcW w:w="158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74B5DBA9" w14:textId="77777777" w:rsidR="0039468C" w:rsidRDefault="00000000">
            <w:pPr>
              <w:jc w:val="left"/>
            </w:pPr>
            <w:r>
              <w:rPr>
                <w:color w:val="1F2A5E"/>
                <w:sz w:val="15"/>
                <w:szCs w:val="20"/>
              </w:rPr>
              <w:t>Delegação concluída, DNSSEC ativo, As-built, Repasse de conhecimento, Termo de aceite</w:t>
            </w:r>
          </w:p>
        </w:tc>
      </w:tr>
    </w:tbl>
    <w:p w14:paraId="613B77DA" w14:textId="77777777" w:rsidR="00BB0D50" w:rsidRDefault="00BB0D50">
      <w:pPr>
        <w:spacing w:after="60" w:line="276" w:lineRule="auto"/>
        <w:rPr>
          <w:i/>
          <w:iCs/>
          <w:color w:val="6B7280"/>
          <w:sz w:val="18"/>
          <w:szCs w:val="18"/>
        </w:rPr>
      </w:pPr>
    </w:p>
    <w:p w14:paraId="1C6D7AB0" w14:textId="77777777" w:rsidR="00F227EA" w:rsidRDefault="00000000">
      <w:pPr>
        <w:pStyle w:val="Ttulo1"/>
        <w:keepNext/>
        <w:keepLines/>
        <w:pBdr>
          <w:bottom w:val="single" w:sz="6" w:space="4" w:color="6B46C1"/>
        </w:pBdr>
        <w:spacing w:before="320" w:after="140"/>
      </w:pPr>
      <w:r>
        <w:rPr>
          <w:rFonts w:ascii="Lato" w:eastAsia="Lato" w:hAnsi="Lato" w:cs="Lato"/>
          <w:b/>
          <w:bCs/>
          <w:color w:val="6B46C1"/>
          <w:sz w:val="30"/>
          <w:szCs w:val="30"/>
        </w:rPr>
        <w:t xml:space="preserve">10.  </w:t>
      </w:r>
      <w:r>
        <w:rPr>
          <w:rFonts w:ascii="Lato" w:eastAsia="Lato" w:hAnsi="Lato" w:cs="Lato"/>
          <w:b/>
          <w:bCs/>
          <w:color w:val="1F2A5E"/>
          <w:sz w:val="30"/>
          <w:szCs w:val="30"/>
        </w:rPr>
        <w:t>Critérios de Aceite</w:t>
      </w:r>
    </w:p>
    <w:p>
      <w:pPr>
        <w:spacing w:after="120" w:line="276" w:lineRule="auto"/>
      </w:pPr>
      <w:r>
        <w:t>A aceitação seguirá os critérios mínimos registrados na matriz de rastreabilidade. A POPULOS propõe, como instrumento complementar de apoio, checklists por entrega, sem prejuízo dos marcos formais de aceite do projeto: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>As 4 zonas estão delegadas aos servidores de nomes do Edge DNS e 100% dos registros do inventário aprovado são respondidos pelo Edge DNS com os mesmos valores.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>As 4 zonas estão assinadas e a cadeia de confiança DNSSEC é validada com sucesso a partir do registro DS publicado no registrador.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>A equipe da Vértice cria, altera e remove um registro de teste em cada zona pelo portal ou pela API do Edge DNS, sem uso do painel do registrador.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>O termo de aceite final é assinado antes de 11/01/2027, após o período de estabilização sem pendências abertas.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>Durante a janela de troca de delegação e a estabilização, os registros do portal do aluno respondem com os valores do inventário aprovado em todas as verificações do plano de migração.</w:t>
      </w:r>
    </w:p>
    <w:p w14:paraId="26E65A66" w14:textId="77777777" w:rsidR="00BB2913" w:rsidRDefault="00BB2913" w:rsidP="00BB2913">
      <w:pPr>
        <w:spacing w:after="60" w:line="270" w:lineRule="auto"/>
      </w:pPr>
    </w:p>
    <w:tbl>
      <w:tblPr>
        <w:tblW w:w="10080" w:type="dxa"/>
        <w:tblBorders>
          <w:top w:val="single" w:sz="2" w:space="0" w:color="E5E7EB"/>
          <w:left w:val="single" w:sz="24" w:space="0" w:color="6B46C1"/>
          <w:bottom w:val="single" w:sz="2" w:space="0" w:color="E5E7EB"/>
          <w:right w:val="single" w:sz="2" w:space="0" w:color="E5E7E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F227EA" w14:paraId="45A687A1" w14:textId="77777777">
        <w:trPr>
          <w:cantSplit/>
        </w:trPr>
        <w:tc>
          <w:tcPr>
            <w:tcW w:w="10080" w:type="dxa"/>
            <w:shd w:val="clear" w:color="auto" w:fill="F9FAFB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keepNext/>
              <w:keepLines/>
              <w:spacing w:after="60"/>
            </w:pPr>
            <w:r>
              <w:rPr>
                <w:rFonts w:ascii="Lato" w:eastAsia="Lato" w:hAnsi="Lato" w:cs="Lato"/>
                <w:b/>
                <w:bCs/>
                <w:color w:val="1F2A5E"/>
              </w:rPr>
              <w:t>Marcos formais de aceite</w:t>
            </w:r>
          </w:p>
          <w:p>
            <w:pPr>
              <w:keepLines/>
              <w:spacing w:before="40" w:after="0"/>
            </w:pPr>
            <w:r>
              <w:rPr>
                <w:rFonts w:ascii="Lato" w:hAnsi="Lato"/>
                <w:b w:val="0"/>
                <w:sz w:val="17"/>
              </w:rPr>
              <w:t>Marcos: inventário aprovado, relatório de validação aprovado, delegação concluída com DNSSEC ativo e termo de aceite final antes de 11/01/2027.</w:t>
            </w:r>
          </w:p>
        </w:tc>
      </w:tr>
    </w:tbl>
    <w:p w14:paraId="20ADFDB0" w14:textId="77777777" w:rsidR="00F227EA" w:rsidRDefault="00000000">
      <w:pPr>
        <w:pStyle w:val="Ttulo1"/>
        <w:keepNext/>
        <w:keepLines/>
        <w:pBdr>
          <w:bottom w:val="single" w:sz="6" w:space="4" w:color="6B46C1"/>
        </w:pBdr>
        <w:spacing w:before="320" w:after="140"/>
      </w:pPr>
      <w:r>
        <w:rPr>
          <w:rFonts w:ascii="Lato" w:eastAsia="Lato" w:hAnsi="Lato" w:cs="Lato"/>
          <w:b/>
          <w:bCs/>
          <w:color w:val="6B46C1"/>
          <w:sz w:val="30"/>
          <w:szCs w:val="30"/>
        </w:rPr>
        <w:t xml:space="preserve">11.  </w:t>
      </w:r>
      <w:r>
        <w:rPr>
          <w:rFonts w:ascii="Lato" w:eastAsia="Lato" w:hAnsi="Lato" w:cs="Lato"/>
          <w:b/>
          <w:bCs/>
          <w:color w:val="1F2A5E"/>
          <w:sz w:val="30"/>
          <w:szCs w:val="30"/>
        </w:rPr>
        <w:t>Garantia Técnica</w:t>
      </w:r>
    </w:p>
    <w:p>
      <w:pPr>
        <w:spacing w:after="120" w:line="276" w:lineRule="auto"/>
      </w:pPr>
      <w:r>
        <w:t>A garantia técnica cobre a correção de defeitos diretamente atribuíveis aos serviços executados pela POPULOS. O prazo consta do quadro Garantia e vigência.</w:t>
      </w:r>
    </w:p>
    <w:tbl>
      <w:tblPr>
        <w:tblW w:w="10080" w:type="dxa"/>
        <w:tblBorders>
          <w:top w:val="single" w:sz="2" w:space="0" w:color="E5E7EB"/>
          <w:left w:val="single" w:sz="24" w:space="0" w:color="6B46C1"/>
          <w:bottom w:val="single" w:sz="2" w:space="0" w:color="E5E7EB"/>
          <w:right w:val="single" w:sz="2" w:space="0" w:color="E5E7E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F227EA" w14:paraId="04B9EB64" w14:textId="77777777">
        <w:trPr>
          <w:cantSplit/>
        </w:trPr>
        <w:tc>
          <w:tcPr>
            <w:tcW w:w="10080" w:type="dxa"/>
            <w:shd w:val="clear" w:color="auto" w:fill="F9FAFB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keepNext/>
              <w:keepLines/>
              <w:spacing w:after="60"/>
            </w:pPr>
            <w:r>
              <w:rPr>
                <w:rFonts w:ascii="Lato" w:eastAsia="Lato" w:hAnsi="Lato" w:cs="Lato"/>
                <w:b/>
                <w:bCs/>
                <w:color w:val="1F2A5E"/>
              </w:rPr>
              <w:t>Garantia e vigência</w:t>
            </w:r>
          </w:p>
          <w:p>
            <w:pPr>
              <w:keepLines/>
              <w:spacing w:before="40" w:after="0"/>
            </w:pPr>
            <w:r>
              <w:rPr>
                <w:rFonts w:ascii="Lato" w:hAnsi="Lato"/>
                <w:b w:val="0"/>
                <w:sz w:val="17"/>
              </w:rPr>
              <w:t>A POPULOS corrigirá defeitos diretamente atribuíveis aos serviços executados por 30 dias corridos após o aceite final.</w:t>
            </w:r>
          </w:p>
        </w:tc>
      </w:tr>
    </w:tbl>
    <w:p w14:paraId="4251E7E2" w14:textId="77777777" w:rsidR="00F71DA0" w:rsidRDefault="00F71DA0">
      <w:pPr>
        <w:spacing w:after="120" w:line="276" w:lineRule="auto"/>
      </w:pPr>
    </w:p>
    <w:p>
      <w:pPr>
        <w:spacing w:after="120" w:line="276" w:lineRule="auto"/>
      </w:pPr>
      <w:r>
        <w:t>A POPULOS permanece à disposição da Vértice Educação para esclarecer esta proposta e planejar o início da implantação.</w:t>
      </w:r>
    </w:p>
    <w:p w14:paraId="5A1A0001" w14:textId="77777777" w:rsidR="0039468C" w:rsidRDefault="00000000">
      <w:pPr>
        <w:pStyle w:val="Ttulo2"/>
        <w:keepNext/>
        <w:keepLines/>
        <w:spacing w:before="220" w:after="90"/>
      </w:pPr>
      <w:r>
        <w:rPr>
          <w:rFonts w:ascii="Lato" w:hAnsi="Lato"/>
          <w:b/>
          <w:bCs/>
          <w:sz w:val="25"/>
        </w:rPr>
        <w:t>Condições de atendimento</w:t>
      </w:r>
    </w:p>
    <w:p>
      <w:pPr>
        <w:spacing w:after="120" w:line="276" w:lineRule="auto"/>
      </w:pPr>
      <w:r>
        <w:t>Durante a execução e a garantia, a POPULOS adotará o padrão institucional de atendimento abaixo para falhas atribuíveis aos serviços executados.</w:t>
      </w:r>
    </w:p>
    <w:p w14:paraId="56D09804" w14:textId="77777777" w:rsidR="00263911" w:rsidRDefault="00263911">
      <w:pPr>
        <w:spacing w:after="120" w:line="276" w:lineRule="auto"/>
      </w:pPr>
    </w:p>
    <w:p w14:paraId="7FC73105" w14:textId="77777777" w:rsidR="00263911" w:rsidRDefault="00263911">
      <w:pPr>
        <w:spacing w:after="120" w:line="276" w:lineRule="auto"/>
      </w:pPr>
    </w:p>
    <w:tbl>
      <w:tblPr>
        <w:tblpPr w:leftFromText="141" w:rightFromText="141" w:vertAnchor="text" w:tblpY="1"/>
        <w:tblOverlap w:val="never"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800"/>
        <w:gridCol w:w="2065"/>
        <w:gridCol w:w="3695"/>
      </w:tblGrid>
      <w:tr w:rsidR="000025B6" w14:paraId="086C88CC" w14:textId="77777777" w:rsidTr="00263911">
        <w:trPr>
          <w:tblHeader/>
        </w:trPr>
        <w:tc>
          <w:tcPr>
            <w:tcW w:w="1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F2A5E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8C13410" w14:textId="77777777" w:rsidR="0039468C" w:rsidRDefault="00000000" w:rsidP="00263911">
            <w:r>
              <w:rPr>
                <w:b/>
                <w:bCs/>
                <w:color w:val="FFFFFF"/>
              </w:rPr>
              <w:lastRenderedPageBreak/>
              <w:t>Severidade</w:t>
            </w:r>
          </w:p>
        </w:tc>
        <w:tc>
          <w:tcPr>
            <w:tcW w:w="1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F2A5E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6F7424D" w14:textId="77777777" w:rsidR="0039468C" w:rsidRDefault="00000000" w:rsidP="00263911">
            <w:pPr>
              <w:jc w:val="center"/>
            </w:pPr>
            <w:r>
              <w:rPr>
                <w:b/>
                <w:bCs/>
                <w:color w:val="FFFFFF"/>
              </w:rPr>
              <w:t>Tempo de Resposta</w:t>
            </w:r>
          </w:p>
        </w:tc>
        <w:tc>
          <w:tcPr>
            <w:tcW w:w="206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F2A5E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6B73A72" w14:textId="77777777" w:rsidR="0039468C" w:rsidRDefault="00000000" w:rsidP="00263911">
            <w:pPr>
              <w:jc w:val="center"/>
            </w:pPr>
            <w:r>
              <w:rPr>
                <w:b/>
                <w:bCs/>
                <w:color w:val="FFFFFF"/>
              </w:rPr>
              <w:t>Tempo de Resolução</w:t>
            </w:r>
          </w:p>
        </w:tc>
        <w:tc>
          <w:tcPr>
            <w:tcW w:w="369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F2A5E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E4A0347" w14:textId="77777777" w:rsidR="0039468C" w:rsidRDefault="00000000" w:rsidP="00263911">
            <w:r>
              <w:rPr>
                <w:b/>
                <w:bCs/>
                <w:color w:val="FFFFFF"/>
              </w:rPr>
              <w:t>Descrição</w:t>
            </w:r>
          </w:p>
        </w:tc>
      </w:tr>
      <w:tr w:rsidR="000025B6" w14:paraId="60073BC3" w14:textId="77777777" w:rsidTr="00263911">
        <w:tc>
          <w:tcPr>
            <w:tcW w:w="1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C262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6C8B0F5" w14:textId="77777777" w:rsidR="0039468C" w:rsidRDefault="00000000" w:rsidP="00263911">
            <w:pPr>
              <w:jc w:val="center"/>
            </w:pPr>
            <w:r>
              <w:rPr>
                <w:b/>
                <w:bCs/>
                <w:color w:val="FFFFFF"/>
              </w:rPr>
              <w:t>ALTA</w:t>
            </w:r>
          </w:p>
        </w:tc>
        <w:tc>
          <w:tcPr>
            <w:tcW w:w="1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C397F59" w14:textId="77777777" w:rsidR="0039468C" w:rsidRDefault="00000000" w:rsidP="00263911">
            <w:pPr>
              <w:jc w:val="center"/>
            </w:pPr>
            <w:r>
              <w:rPr>
                <w:b/>
                <w:bCs/>
                <w:color w:val="1F2937"/>
                <w:sz w:val="20"/>
                <w:szCs w:val="20"/>
              </w:rPr>
              <w:t>Até 1 hora</w:t>
            </w:r>
          </w:p>
        </w:tc>
        <w:tc>
          <w:tcPr>
            <w:tcW w:w="206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4D732BA" w14:textId="77777777" w:rsidR="0039468C" w:rsidRDefault="00000000" w:rsidP="00263911">
            <w:pPr>
              <w:jc w:val="center"/>
            </w:pPr>
            <w:r>
              <w:rPr>
                <w:b/>
                <w:bCs/>
                <w:color w:val="1F2937"/>
                <w:sz w:val="20"/>
                <w:szCs w:val="20"/>
              </w:rPr>
              <w:t>Até 4 horas</w:t>
            </w:r>
          </w:p>
        </w:tc>
        <w:tc>
          <w:tcPr>
            <w:tcW w:w="369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EC1E8A8" w14:textId="77777777" w:rsidR="0039468C" w:rsidRDefault="00000000" w:rsidP="00263911">
            <w:r>
              <w:rPr>
                <w:color w:val="1F2937"/>
                <w:sz w:val="20"/>
                <w:szCs w:val="20"/>
              </w:rPr>
              <w:t>Situação de alto impacto que possivelmente coloque em risco o ambiente de produção. A apresentação de uma solução de contorno (workaround) também é considerada tempo de solução.</w:t>
            </w:r>
          </w:p>
        </w:tc>
      </w:tr>
      <w:tr w:rsidR="000025B6" w14:paraId="3EC3F82F" w14:textId="77777777" w:rsidTr="00263911">
        <w:tc>
          <w:tcPr>
            <w:tcW w:w="1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9770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08C93AA" w14:textId="77777777" w:rsidR="0039468C" w:rsidRDefault="00000000" w:rsidP="00263911">
            <w:pPr>
              <w:jc w:val="center"/>
            </w:pPr>
            <w:r>
              <w:rPr>
                <w:b/>
                <w:bCs/>
                <w:color w:val="FFFFFF"/>
              </w:rPr>
              <w:t>MÉDIA</w:t>
            </w:r>
          </w:p>
        </w:tc>
        <w:tc>
          <w:tcPr>
            <w:tcW w:w="1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6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C09A2D7" w14:textId="77777777" w:rsidR="0039468C" w:rsidRDefault="00000000" w:rsidP="00263911">
            <w:pPr>
              <w:jc w:val="center"/>
            </w:pPr>
            <w:r>
              <w:rPr>
                <w:b/>
                <w:bCs/>
                <w:color w:val="1F2937"/>
                <w:sz w:val="20"/>
                <w:szCs w:val="20"/>
              </w:rPr>
              <w:t>Até 2 horas</w:t>
            </w:r>
          </w:p>
        </w:tc>
        <w:tc>
          <w:tcPr>
            <w:tcW w:w="206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6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8B91A41" w14:textId="77777777" w:rsidR="0039468C" w:rsidRDefault="00000000" w:rsidP="00263911">
            <w:pPr>
              <w:jc w:val="center"/>
            </w:pPr>
            <w:r>
              <w:rPr>
                <w:b/>
                <w:bCs/>
                <w:color w:val="1F2937"/>
                <w:sz w:val="20"/>
                <w:szCs w:val="20"/>
              </w:rPr>
              <w:t>Até 8 horas</w:t>
            </w:r>
          </w:p>
        </w:tc>
        <w:tc>
          <w:tcPr>
            <w:tcW w:w="369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6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030E4BE" w14:textId="77777777" w:rsidR="0039468C" w:rsidRDefault="00000000" w:rsidP="00263911">
            <w:r>
              <w:rPr>
                <w:color w:val="1F2937"/>
                <w:sz w:val="20"/>
                <w:szCs w:val="20"/>
              </w:rPr>
              <w:t>Situação de baixo impacto, podendo a maioria das funções do software ser usada; entretanto, alguma intervenção pode ser necessária. A apresentação de workaround também é considerada tempo de solução.</w:t>
            </w:r>
          </w:p>
        </w:tc>
      </w:tr>
      <w:tr w:rsidR="000025B6" w14:paraId="5BD768E3" w14:textId="77777777" w:rsidTr="00263911">
        <w:tc>
          <w:tcPr>
            <w:tcW w:w="1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5966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F14EE86" w14:textId="77777777" w:rsidR="0039468C" w:rsidRDefault="00000000" w:rsidP="00263911">
            <w:pPr>
              <w:jc w:val="center"/>
            </w:pPr>
            <w:r>
              <w:rPr>
                <w:b/>
                <w:bCs/>
                <w:color w:val="FFFFFF"/>
              </w:rPr>
              <w:t>BAIXA</w:t>
            </w:r>
          </w:p>
        </w:tc>
        <w:tc>
          <w:tcPr>
            <w:tcW w:w="1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10F8782" w14:textId="77777777" w:rsidR="0039468C" w:rsidRDefault="00000000" w:rsidP="00263911">
            <w:pPr>
              <w:jc w:val="center"/>
            </w:pPr>
            <w:r>
              <w:rPr>
                <w:b/>
                <w:bCs/>
                <w:color w:val="1F2937"/>
                <w:sz w:val="20"/>
                <w:szCs w:val="20"/>
              </w:rPr>
              <w:t>Até 16 horas</w:t>
            </w:r>
          </w:p>
        </w:tc>
        <w:tc>
          <w:tcPr>
            <w:tcW w:w="206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BCE7798" w14:textId="77777777" w:rsidR="0039468C" w:rsidRDefault="00000000" w:rsidP="00263911">
            <w:pPr>
              <w:jc w:val="center"/>
            </w:pPr>
            <w:r>
              <w:rPr>
                <w:b/>
                <w:bCs/>
                <w:color w:val="1F2937"/>
                <w:sz w:val="20"/>
                <w:szCs w:val="20"/>
              </w:rPr>
              <w:t>Até 24 horas</w:t>
            </w:r>
          </w:p>
        </w:tc>
        <w:tc>
          <w:tcPr>
            <w:tcW w:w="369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ACED53E" w14:textId="77777777" w:rsidR="0039468C" w:rsidRDefault="00000000" w:rsidP="00263911">
            <w:r>
              <w:rPr>
                <w:color w:val="1F2937"/>
                <w:sz w:val="20"/>
                <w:szCs w:val="20"/>
              </w:rPr>
              <w:t>Solicitações de mudança, atualizações, gerenciamento de usuários, dúvidas, novas instalações ou publicações de aplicativos e outras ações planejadas.</w:t>
            </w:r>
          </w:p>
        </w:tc>
      </w:tr>
    </w:tbl>
    <w:p w14:paraId="5A1A0003" w14:textId="43317108" w:rsidR="0039468C" w:rsidRDefault="00263911">
      <w:pPr>
        <w:spacing w:after="60"/>
      </w:pPr>
      <w:r>
        <w:br w:type="textWrapping" w:clear="all"/>
      </w:r>
    </w:p>
    <w:p w14:paraId="5FE30D07" w14:textId="77777777" w:rsidR="00F227EA" w:rsidRDefault="00000000">
      <w:pPr>
        <w:pStyle w:val="Ttulo1"/>
        <w:keepNext/>
        <w:keepLines/>
        <w:pBdr>
          <w:bottom w:val="single" w:sz="6" w:space="4" w:color="6B46C1"/>
        </w:pBdr>
        <w:spacing w:before="320" w:after="140"/>
      </w:pPr>
      <w:r>
        <w:rPr>
          <w:rFonts w:ascii="Lato" w:eastAsia="Lato" w:hAnsi="Lato" w:cs="Lato"/>
          <w:b/>
          <w:bCs/>
          <w:color w:val="6B46C1"/>
          <w:sz w:val="30"/>
          <w:szCs w:val="30"/>
        </w:rPr>
        <w:t xml:space="preserve">12.  </w:t>
      </w:r>
      <w:r>
        <w:rPr>
          <w:rFonts w:ascii="Lato" w:eastAsia="Lato" w:hAnsi="Lato" w:cs="Lato"/>
          <w:b/>
          <w:bCs/>
          <w:color w:val="1F2A5E"/>
          <w:sz w:val="30"/>
          <w:szCs w:val="30"/>
        </w:rPr>
        <w:t>Papéis e Responsabilidades do Projeto</w:t>
      </w:r>
    </w:p>
    <w:tbl>
      <w:tblPr>
        <w:tblW w:w="10348" w:type="dxa"/>
        <w:tblBorders>
          <w:top w:val="single" w:sz="2" w:space="0" w:color="D1D5DB"/>
          <w:bottom w:val="single" w:sz="2" w:space="0" w:color="D1D5DB"/>
          <w:insideH w:val="single" w:sz="2" w:space="0" w:color="E5E7EB"/>
          <w:insideV w:val="single" w:sz="2" w:space="0" w:color="E5E7E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4513"/>
        <w:gridCol w:w="2835"/>
      </w:tblGrid>
      <w:tr w:rsidR="00F227EA" w14:paraId="6D32BE7C" w14:textId="77777777" w:rsidTr="0017666D">
        <w:trPr>
          <w:tblHeader/>
        </w:trPr>
        <w:tc>
          <w:tcPr>
            <w:tcW w:w="3000" w:type="dxa"/>
            <w:shd w:val="clear" w:color="auto" w:fill="1F2A5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77BF27" w14:textId="77777777" w:rsidR="00F227EA" w:rsidRDefault="00000000">
            <w:r>
              <w:rPr>
                <w:rFonts w:ascii="Lato" w:eastAsia="Lato" w:hAnsi="Lato" w:cs="Lato"/>
                <w:b/>
                <w:bCs/>
                <w:color w:val="FFFFFF"/>
                <w:sz w:val="19"/>
                <w:szCs w:val="19"/>
              </w:rPr>
              <w:t>Função / Área</w:t>
            </w:r>
          </w:p>
        </w:tc>
        <w:tc>
          <w:tcPr>
            <w:tcW w:w="4513" w:type="dxa"/>
            <w:shd w:val="clear" w:color="auto" w:fill="1F2A5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ED0D71" w14:textId="77777777" w:rsidR="00F227EA" w:rsidRDefault="00000000">
            <w:r>
              <w:rPr>
                <w:rFonts w:ascii="Lato" w:eastAsia="Lato" w:hAnsi="Lato" w:cs="Lato"/>
                <w:b/>
                <w:bCs/>
                <w:color w:val="FFFFFF"/>
                <w:sz w:val="19"/>
                <w:szCs w:val="19"/>
              </w:rPr>
              <w:t>Responsabilidades</w:t>
            </w:r>
          </w:p>
        </w:tc>
        <w:tc>
          <w:tcPr>
            <w:tcW w:w="2835" w:type="dxa"/>
            <w:shd w:val="clear" w:color="auto" w:fill="1F2A5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296C76" w14:textId="77777777" w:rsidR="00F227EA" w:rsidRDefault="00000000">
            <w:r>
              <w:rPr>
                <w:rFonts w:ascii="Lato" w:eastAsia="Lato" w:hAnsi="Lato" w:cs="Lato"/>
                <w:b/>
                <w:bCs/>
                <w:color w:val="FFFFFF"/>
                <w:sz w:val="19"/>
                <w:szCs w:val="19"/>
              </w:rPr>
              <w:t>Compromisso</w:t>
            </w:r>
          </w:p>
        </w:tc>
      </w:tr>
      <w:tr w:rsidR="00F227EA" w14:paraId="652C4FBB" w14:textId="77777777" w:rsidTr="0017666D">
        <w:tc>
          <w:tcPr>
            <w:tcW w:w="3000" w:type="dxa"/>
            <w:shd w:val="clear" w:color="auto" w:fill="E5E7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C29029" w14:textId="77777777" w:rsidR="00F227EA" w:rsidRDefault="00000000">
            <w:r>
              <w:rPr>
                <w:b/>
                <w:bCs/>
                <w:sz w:val="19"/>
                <w:szCs w:val="19"/>
              </w:rPr>
              <w:t>Arquiteta responsável</w:t>
            </w:r>
          </w:p>
        </w:tc>
        <w:tc>
          <w:tcPr>
            <w:tcW w:w="4513" w:type="dxa"/>
            <w:shd w:val="clear" w:color="auto" w:fill="E5E7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9214B24" w14:textId="77777777" w:rsidR="00F227EA" w:rsidRDefault="00F227EA">
            <w:r>
              <w:t>Desenho da migração e aprovação técnica</w:t>
            </w:r>
          </w:p>
        </w:tc>
        <w:tc>
          <w:tcPr>
            <w:tcW w:w="2835" w:type="dxa"/>
            <w:shd w:val="clear" w:color="auto" w:fill="E5E7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D4C5A2E" w14:textId="77777777" w:rsidR="00F227EA" w:rsidRDefault="00F227EA">
            <w:r>
              <w:t>Durante todo o projeto</w:t>
            </w:r>
          </w:p>
        </w:tc>
      </w:tr>
      <w:tr w:rsidR="00F227EA" w14:paraId="53D75110" w14:textId="77777777" w:rsidTr="0017666D">
        <w:tc>
          <w:tcPr>
            <w:tcW w:w="3000" w:type="dxa"/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FFB9B89" w14:textId="77777777" w:rsidR="00F227EA" w:rsidRDefault="00000000">
            <w:r>
              <w:rPr>
                <w:sz w:val="19"/>
                <w:szCs w:val="19"/>
              </w:rPr>
              <w:t>Engenheiro de implantação</w:t>
            </w:r>
          </w:p>
        </w:tc>
        <w:tc>
          <w:tcPr>
            <w:tcW w:w="4513" w:type="dxa"/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28AD879" w14:textId="77777777" w:rsidR="00F227EA" w:rsidRDefault="00000000">
            <w:r>
              <w:rPr>
                <w:sz w:val="19"/>
                <w:szCs w:val="19"/>
              </w:rPr>
              <w:t>Configuração das zonas, DNSSEC e validação</w:t>
            </w:r>
          </w:p>
        </w:tc>
        <w:tc>
          <w:tcPr>
            <w:tcW w:w="2835" w:type="dxa"/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39F5D9E" w14:textId="77777777" w:rsidR="00F227EA" w:rsidRDefault="00000000">
            <w:r>
              <w:rPr>
                <w:sz w:val="19"/>
                <w:szCs w:val="19"/>
              </w:rPr>
              <w:t>Fases 2 e 3</w:t>
            </w:r>
          </w:p>
        </w:tc>
      </w:tr>
      <w:tr w:rsidR="00F227EA" w14:paraId="5B6E9CA2" w14:textId="77777777" w:rsidTr="0017666D">
        <w:tc>
          <w:tcPr>
            <w:tcW w:w="30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64DA46A" w14:textId="77777777" w:rsidR="00F227EA" w:rsidRDefault="00000000">
            <w:r>
              <w:rPr>
                <w:sz w:val="19"/>
                <w:szCs w:val="19"/>
              </w:rPr>
              <w:t>Gerente de projeto</w:t>
            </w:r>
          </w:p>
        </w:tc>
        <w:tc>
          <w:tcPr>
            <w:tcW w:w="4513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BA92290" w14:textId="77777777" w:rsidR="00F227EA" w:rsidRDefault="00000000">
            <w:r>
              <w:rPr>
                <w:sz w:val="19"/>
                <w:szCs w:val="19"/>
              </w:rPr>
              <w:t>Cronograma, janelas e comunicação</w:t>
            </w:r>
          </w:p>
        </w:tc>
        <w:tc>
          <w:tcPr>
            <w:tcW w:w="2835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29FE705" w14:textId="77777777" w:rsidR="00F227EA" w:rsidRDefault="00000000">
            <w:r>
              <w:rPr>
                <w:sz w:val="19"/>
                <w:szCs w:val="19"/>
              </w:rPr>
              <w:t>Durante todo o projeto</w:t>
            </w:r>
          </w:p>
        </w:tc>
      </w:tr>
      <w:tr w:rsidR="00F227EA" w14:paraId="2EFB69EF" w14:textId="77777777" w:rsidTr="0017666D">
        <w:tc>
          <w:tcPr>
            <w:tcW w:w="3000" w:type="dxa"/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D7BC952" w14:textId="77777777" w:rsidR="00F227EA" w:rsidRDefault="00000000">
            <w:r>
              <w:rPr>
                <w:sz w:val="19"/>
                <w:szCs w:val="19"/>
              </w:rPr>
              <w:t>Vértice Educação — Coordenação de Infraestrutura</w:t>
            </w:r>
          </w:p>
        </w:tc>
        <w:tc>
          <w:tcPr>
            <w:tcW w:w="4513" w:type="dxa"/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0E719CB" w14:textId="77777777" w:rsidR="00F227EA" w:rsidRDefault="00000000">
            <w:r>
              <w:rPr>
                <w:sz w:val="19"/>
                <w:szCs w:val="19"/>
              </w:rPr>
              <w:t>Aprovar inventário, plano e janelas; disponibilizar exportação das zonas.</w:t>
            </w:r>
          </w:p>
        </w:tc>
        <w:tc>
          <w:tcPr>
            <w:tcW w:w="2835" w:type="dxa"/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CD553C4" w14:textId="77777777" w:rsidR="00F227EA" w:rsidRDefault="00000000">
            <w:r>
              <w:rPr>
                <w:sz w:val="19"/>
                <w:szCs w:val="19"/>
              </w:rPr>
              <w:t>Conforme plano</w:t>
            </w:r>
          </w:p>
        </w:tc>
      </w:tr>
      <w:tr w:rsidR="00F227EA" w14:paraId="19041142" w14:textId="77777777" w:rsidTr="0017666D">
        <w:tc>
          <w:tcPr>
            <w:tcW w:w="30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r>
              <w:rPr>
                <w:sz w:val="19"/>
                <w:szCs w:val="19"/>
              </w:rPr>
              <w:t>Vértice Educação — Registrador</w:t>
            </w:r>
          </w:p>
        </w:tc>
        <w:tc>
          <w:tcPr>
            <w:tcW w:w="4513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A9EAE15" w14:textId="77777777" w:rsidR="00F227EA" w:rsidRDefault="00000000">
            <w:r>
              <w:rPr>
                <w:sz w:val="19"/>
                <w:szCs w:val="19"/>
              </w:rPr>
              <w:t>Alterar servidores de nomes e publicar o registro DS conforme o plano.</w:t>
            </w:r>
          </w:p>
        </w:tc>
        <w:tc>
          <w:tcPr>
            <w:tcW w:w="2835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4890EA9" w14:textId="77777777" w:rsidR="00F227EA" w:rsidRDefault="00000000">
            <w:r>
              <w:rPr>
                <w:sz w:val="19"/>
                <w:szCs w:val="19"/>
              </w:rPr>
              <w:t>Conforme plano</w:t>
            </w:r>
          </w:p>
        </w:tc>
      </w:tr>
      <w:tr w:rsidR="00F227EA" w14:paraId="244B3390" w14:textId="77777777" w:rsidTr="0017666D">
        <w:tc>
          <w:tcPr>
            <w:tcW w:w="3000" w:type="dxa"/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r>
              <w:rPr>
                <w:sz w:val="19"/>
                <w:szCs w:val="19"/>
              </w:rPr>
              <w:t>Vértice Educação — Licenciamento</w:t>
            </w:r>
          </w:p>
        </w:tc>
        <w:tc>
          <w:tcPr>
            <w:tcW w:w="4513" w:type="dxa"/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41EBDEA" w14:textId="77777777" w:rsidR="00F227EA" w:rsidRDefault="00000000">
            <w:r>
              <w:rPr>
                <w:sz w:val="19"/>
                <w:szCs w:val="19"/>
              </w:rPr>
              <w:t>Adquirir e ativar as licenças do Edge DNS junto à Akamai até 14/12/2026.</w:t>
            </w:r>
          </w:p>
        </w:tc>
        <w:tc>
          <w:tcPr>
            <w:tcW w:w="2835" w:type="dxa"/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687487" w14:textId="77777777" w:rsidR="00F227EA" w:rsidRDefault="00000000">
            <w:r>
              <w:rPr>
                <w:sz w:val="19"/>
                <w:szCs w:val="19"/>
              </w:rPr>
              <w:t>Conforme plano</w:t>
            </w:r>
          </w:p>
        </w:tc>
      </w:tr>
    </w:tbl>
    <w:p w14:paraId="68A0A745" w14:textId="77777777" w:rsidR="00263911" w:rsidRDefault="00263911">
      <w:pPr>
        <w:pStyle w:val="Ttulo1"/>
        <w:keepNext/>
        <w:keepLines/>
        <w:pBdr>
          <w:bottom w:val="single" w:sz="6" w:space="4" w:color="6B46C1"/>
        </w:pBdr>
        <w:spacing w:before="320" w:after="140"/>
        <w:rPr>
          <w:rFonts w:ascii="Lato" w:eastAsia="Lato" w:hAnsi="Lato" w:cs="Lato"/>
          <w:b/>
          <w:bCs/>
          <w:color w:val="6B46C1"/>
          <w:sz w:val="30"/>
          <w:szCs w:val="30"/>
        </w:rPr>
      </w:pPr>
    </w:p>
    <w:p w14:paraId="4BCE6B76" w14:textId="17B07C63" w:rsidR="00F227EA" w:rsidRDefault="00000000">
      <w:pPr>
        <w:pStyle w:val="Ttulo1"/>
        <w:keepNext/>
        <w:keepLines/>
        <w:pageBreakBefore w:val="0"/>
        <w:pBdr>
          <w:bottom w:val="single" w:sz="6" w:space="4" w:color="6B46C1"/>
        </w:pBdr>
        <w:spacing w:before="320" w:after="140"/>
      </w:pPr>
      <w:r>
        <w:rPr>
          <w:rFonts w:ascii="Lato" w:eastAsia="Lato" w:hAnsi="Lato" w:cs="Lato"/>
          <w:b/>
          <w:bCs/>
          <w:color w:val="6B46C1"/>
          <w:sz w:val="30"/>
          <w:szCs w:val="30"/>
        </w:rPr>
        <w:lastRenderedPageBreak/>
        <w:t xml:space="preserve">13.  </w:t>
      </w:r>
      <w:r>
        <w:rPr>
          <w:rFonts w:ascii="Lato" w:eastAsia="Lato" w:hAnsi="Lato" w:cs="Lato"/>
          <w:b/>
          <w:bCs/>
          <w:color w:val="1F2A5E"/>
          <w:sz w:val="30"/>
          <w:szCs w:val="30"/>
        </w:rPr>
        <w:t>Nota de Confidencialidade</w:t>
      </w:r>
    </w:p>
    <w:p>
      <w:pPr>
        <w:keepNext/>
        <w:spacing w:after="120" w:line="276" w:lineRule="auto"/>
      </w:pPr>
      <w:r>
        <w:t>Todas as informações deste documento são confidenciais e destinam-se exclusivamente à avaliação da proposta por Vértice Educação e pela POPULOS.</w:t>
      </w:r>
    </w:p>
    <w:p>
      <w:pPr>
        <w:keepNext/>
        <w:spacing w:after="200" w:line="276" w:lineRule="auto"/>
      </w:pPr>
      <w:r>
        <w:t>Os direitos de propriedade intelectual sobre trabalhos preexistentes, roteiros de instalação, automações e métodos da POPULOS permanecem com a POPULOS. A documentação técnica específica do ambiente será entregue a Vértice Educação conforme o escopo aprovado.</w:t>
      </w:r>
    </w:p>
    <w:p w14:paraId="797633B9" w14:textId="77777777" w:rsidR="00BD500C" w:rsidRDefault="00BD500C">
      <w:pPr>
        <w:spacing w:after="200" w:line="276" w:lineRule="auto"/>
      </w:pPr>
    </w:p>
    <w:tbl>
      <w:tblPr>
        <w:tblW w:w="10080" w:type="dxa"/>
        <w:tblBorders>
          <w:top w:val="single" w:sz="2" w:space="0" w:color="E5E7EB"/>
          <w:left w:val="single" w:sz="24" w:space="0" w:color="6B46C1"/>
          <w:bottom w:val="single" w:sz="2" w:space="0" w:color="E5E7EB"/>
          <w:right w:val="single" w:sz="2" w:space="0" w:color="E5E7E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F227EA" w14:paraId="5F04289C" w14:textId="77777777">
        <w:trPr>
          <w:cantSplit/>
        </w:trPr>
        <w:tc>
          <w:tcPr>
            <w:tcW w:w="10080" w:type="dxa"/>
            <w:shd w:val="clear" w:color="auto" w:fill="F9FA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A1FA577" w14:textId="77777777" w:rsidR="00F227EA" w:rsidRPr="00803FB7" w:rsidRDefault="00000000">
            <w:pPr>
              <w:spacing w:after="60"/>
              <w:rPr>
                <w:lang w:val="en-US"/>
              </w:rPr>
            </w:pPr>
            <w:r>
              <w:rPr>
                <w:rFonts w:ascii="Lato" w:eastAsia="Lato" w:hAnsi="Lato" w:cs="Lato"/>
                <w:b/>
                <w:bCs/>
                <w:color w:val="1F2A5E"/>
                <w:lang w:val="en-US"/>
              </w:rPr>
              <w:t>POPULOS — Enterprise Sales</w:t>
            </w:r>
          </w:p>
          <w:p w14:paraId="2B1BD1D3" w14:textId="2AAA9464" w:rsidR="00F227EA" w:rsidRPr="00803FB7" w:rsidRDefault="00BD500C">
            <w:pPr>
              <w:spacing w:after="40" w:line="276" w:lineRule="auto"/>
              <w:rPr>
                <w:lang w:val="en-US"/>
              </w:rPr>
            </w:pPr>
            <w:r>
              <w:rPr>
                <w:lang w:val="en-US"/>
              </w:rPr>
              <w:t>Brazil |  +55 (11) 3021-3761</w:t>
            </w:r>
          </w:p>
          <w:p w14:paraId="654D4E69" w14:textId="77777777" w:rsidR="00F227EA" w:rsidRPr="00803FB7" w:rsidRDefault="00000000">
            <w:pPr>
              <w:spacing w:after="20" w:line="276" w:lineRule="auto"/>
              <w:rPr>
                <w:lang w:val="en-US"/>
              </w:rPr>
            </w:pPr>
            <w:r>
              <w:rPr>
                <w:b/>
                <w:bCs/>
                <w:lang w:val="en-US"/>
              </w:rPr>
              <w:t>Locations</w:t>
            </w:r>
          </w:p>
          <w:p w14:paraId="61C60C47" w14:textId="77777777" w:rsidR="00F227EA" w:rsidRPr="00803FB7" w:rsidRDefault="00000000">
            <w:pPr>
              <w:spacing w:after="20" w:line="276" w:lineRule="auto"/>
              <w:rPr>
                <w:lang w:val="en-US"/>
              </w:rPr>
            </w:pPr>
            <w:r>
              <w:rPr>
                <w:lang w:val="en-US"/>
              </w:rPr>
              <w:t>Deerfield Beach — 3275 W Hillsboro BLVD, FL 33442, United States</w:t>
            </w:r>
          </w:p>
          <w:p w14:paraId="05D1DC7C" w14:textId="77777777" w:rsidR="00F227EA" w:rsidRDefault="00000000">
            <w:pPr>
              <w:spacing w:line="276" w:lineRule="auto"/>
            </w:pPr>
            <w:r>
              <w:t>Av. Tamboré, 267 — Alphaville, Barueri — SP, 06460-000, Brasil</w:t>
            </w:r>
          </w:p>
        </w:tc>
      </w:tr>
    </w:tbl>
    <w:p w14:paraId="4403C193" w14:textId="77777777" w:rsidR="00263911" w:rsidRDefault="00263911" w:rsidP="00BE28E3">
      <w:pPr>
        <w:spacing w:before="100"/>
        <w:jc w:val="center"/>
        <w:rPr>
          <w:i/>
          <w:iCs/>
          <w:color w:val="6B7280"/>
          <w:sz w:val="15"/>
          <w:szCs w:val="15"/>
          <w:lang w:val="en-US"/>
        </w:rPr>
      </w:pPr>
    </w:p>
    <w:p w14:paraId="3D96BEEA" w14:textId="763E02F1" w:rsidR="00F227EA" w:rsidRPr="00803FB7" w:rsidRDefault="00000000" w:rsidP="00BE28E3">
      <w:pPr>
        <w:spacing w:before="100"/>
        <w:jc w:val="center"/>
        <w:rPr>
          <w:lang w:val="en-US"/>
        </w:rPr>
      </w:pPr>
      <w:r>
        <w:rPr>
          <w:i/>
          <w:iCs/>
          <w:color w:val="6B7280"/>
          <w:sz w:val="15"/>
          <w:szCs w:val="15"/>
          <w:lang w:val="en-US"/>
        </w:rPr>
        <w:t>Copyright © POPULOS. All rights reserved. POPULOS, the POPULOS logo, and other marks appearing herein are property of POPULOS Technology and/or one or more of its subsidiaries. All other marks are the property of their respective owners.</w:t>
      </w:r>
    </w:p>
    <w:sectPr w:rsidR="00F227EA" w:rsidRPr="00803FB7" w:rsidSect="00BC59F2">
      <w:headerReference w:type="default" r:id="rId17"/>
      <w:footerReference w:type="default" r:id="rId18"/>
      <w:pgSz w:w="12240" w:h="15840"/>
      <w:pgMar w:top="1304" w:right="1077" w:bottom="1304" w:left="1077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C3B45C6" w14:textId="77777777" w:rsidR="005854F8" w:rsidRDefault="005854F8">
      <w:r>
        <w:separator/>
      </w:r>
    </w:p>
  </w:endnote>
  <w:endnote w:type="continuationSeparator" w:id="0">
    <w:p w14:paraId="04629C59" w14:textId="77777777" w:rsidR="005854F8" w:rsidRDefault="005854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o">
    <w:panose1 w:val="020F0502020204030203"/>
    <w:charset w:val="00"/>
    <w:family w:val="swiss"/>
    <w:pitch w:val="variable"/>
    <w:sig w:usb0="E10002FF" w:usb1="5000ECFF" w:usb2="00000021" w:usb3="00000000" w:csb0="0000019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9625736" w14:textId="77777777" w:rsidR="00F53D0F" w:rsidRDefault="00000000">
    <w:r>
      <w:cr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C30F5DD" w14:textId="77777777" w:rsidR="00F53D0F" w:rsidRDefault="00000000">
    <w:r>
      <w:cr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CB3EFD0" w14:textId="3D368F95" w:rsidR="00F227EA" w:rsidRDefault="009F3C05">
    <w:pPr>
      <w:pBdr>
        <w:top w:val="single" w:sz="6" w:space="4" w:color="6B46C1"/>
      </w:pBdr>
      <w:jc w:val="center"/>
    </w:pPr>
    <w:r>
      <w:rPr>
        <w:color w:val="6B7280"/>
        <w:sz w:val="16"/>
        <w:szCs w:val="16"/>
      </w:rPr>
      <w:t xml:space="preserve">POPULOS | AKAMAI Partner | Página </w:t>
    </w:r>
    <w:r>
      <w:rPr>
        <w:b/>
        <w:bCs/>
        <w:color w:val="1F2A5E"/>
        <w:sz w:val="16"/>
        <w:szCs w:val="16"/>
      </w:rPr>
      <w:fldChar w:fldCharType="begin"/>
    </w:r>
    <w:r>
      <w:rPr>
        <w:b/>
        <w:bCs/>
        <w:color w:val="1F2A5E"/>
        <w:sz w:val="16"/>
        <w:szCs w:val="16"/>
      </w:rPr>
      <w:instrText>PAGE</w:instrText>
    </w:r>
    <w:r>
      <w:rPr>
        <w:b/>
        <w:bCs/>
        <w:color w:val="1F2A5E"/>
        <w:sz w:val="16"/>
        <w:szCs w:val="16"/>
      </w:rPr>
      <w:fldChar w:fldCharType="separate"/>
    </w:r>
    <w:r w:rsidR="00803FB7">
      <w:rPr>
        <w:b/>
        <w:bCs/>
        <w:noProof/>
        <w:color w:val="1F2A5E"/>
        <w:sz w:val="16"/>
        <w:szCs w:val="16"/>
      </w:rPr>
      <w:t>2</w:t>
    </w:r>
    <w:r>
      <w:rPr>
        <w:b/>
        <w:bCs/>
        <w:color w:val="1F2A5E"/>
        <w:sz w:val="16"/>
        <w:szCs w:val="16"/>
      </w:rPr>
      <w:fldChar w:fldCharType="end"/>
    </w:r>
    <w:r>
      <w:rPr>
        <w:color w:val="6B7280"/>
        <w:sz w:val="16"/>
        <w:szCs w:val="16"/>
      </w:rPr>
      <w:t xml:space="preserve"> de </w:t>
    </w:r>
    <w:r>
      <w:rPr>
        <w:b/>
        <w:bCs/>
        <w:color w:val="1F2A5E"/>
        <w:sz w:val="16"/>
        <w:szCs w:val="16"/>
      </w:rPr>
      <w:fldChar w:fldCharType="begin"/>
    </w:r>
    <w:r>
      <w:rPr>
        <w:b/>
        <w:bCs/>
        <w:color w:val="1F2A5E"/>
        <w:sz w:val="16"/>
        <w:szCs w:val="16"/>
      </w:rPr>
      <w:instrText>NUMPAGES</w:instrText>
    </w:r>
    <w:r>
      <w:rPr>
        <w:b/>
        <w:bCs/>
        <w:color w:val="1F2A5E"/>
        <w:sz w:val="16"/>
        <w:szCs w:val="16"/>
      </w:rPr>
      <w:fldChar w:fldCharType="separate"/>
    </w:r>
    <w:r w:rsidR="00803FB7">
      <w:rPr>
        <w:b/>
        <w:bCs/>
        <w:noProof/>
        <w:color w:val="1F2A5E"/>
        <w:sz w:val="16"/>
        <w:szCs w:val="16"/>
      </w:rPr>
      <w:t>3</w:t>
    </w:r>
    <w:r>
      <w:rPr>
        <w:b/>
        <w:bCs/>
        <w:color w:val="1F2A5E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1A7FB05" w14:textId="77777777" w:rsidR="005854F8" w:rsidRDefault="005854F8">
      <w:r>
        <w:separator/>
      </w:r>
    </w:p>
  </w:footnote>
  <w:footnote w:type="continuationSeparator" w:id="0">
    <w:p w14:paraId="05B877FB" w14:textId="77777777" w:rsidR="005854F8" w:rsidRDefault="005854F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442FFF6" w14:textId="77777777" w:rsidR="00F53D0F" w:rsidRDefault="00000000">
    <w:r>
      <w:cr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CB87A19" w14:textId="77777777" w:rsidR="00F53D0F" w:rsidRDefault="00000000">
    <w:r>
      <w:cr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D54DE86" w14:textId="541B9CF5" w:rsidR="00F227EA" w:rsidRPr="00841401" w:rsidRDefault="00000000" w:rsidP="00841401">
    <w:pPr>
      <w:pBdr>
        <w:bottom w:val="single" w:sz="6" w:space="4" w:color="6B46C1"/>
      </w:pBdr>
      <w:jc w:val="right"/>
      <w:rPr>
        <w:color w:val="6B7280"/>
        <w:sz w:val="18"/>
        <w:szCs w:val="18"/>
      </w:rPr>
    </w:pPr>
    <w:r>
      <w:rPr>
        <w:b/>
        <w:bCs/>
        <w:color w:val="1F2A5E"/>
        <w:sz w:val="18"/>
        <w:szCs w:val="18"/>
      </w:rPr>
      <w:t>PROPOSTA TÉCNICA | Migração do DNS autoritativo para o Edge DNS com DNSSEC - Vértice Educação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5F8130EA"/>
    <w:multiLevelType w:val="hybridMultilevel"/>
    <w:tmpl w:val="EB1C226E"/>
    <w:lvl w:ilvl="0" w:tplc="B4B4DADA">
      <w:start w:val="1"/>
      <w:numFmt w:val="bullet"/>
      <w:lvlText w:val="●"/>
      <w:lvlJc w:val="left"/>
      <w:pPr>
        <w:ind w:left="560" w:hanging="360"/>
      </w:pPr>
      <w:rPr>
        <w:color w:val="6B46C1"/>
        <w:sz w:val="22"/>
        <w:szCs w:val="22"/>
      </w:rPr>
    </w:lvl>
    <w:lvl w:ilvl="1" w:tplc="4572AA4A">
      <w:start w:val="1"/>
      <w:numFmt w:val="bullet"/>
      <w:lvlText w:val="◦"/>
      <w:lvlJc w:val="left"/>
      <w:pPr>
        <w:ind w:left="900" w:hanging="260"/>
      </w:pPr>
    </w:lvl>
    <w:lvl w:ilvl="2" w:tplc="5D949178">
      <w:numFmt w:val="decimal"/>
      <w:lvlText w:val=""/>
      <w:lvlJc w:val="left"/>
    </w:lvl>
    <w:lvl w:ilvl="3" w:tplc="3BAA3BFE">
      <w:numFmt w:val="decimal"/>
      <w:lvlText w:val=""/>
      <w:lvlJc w:val="left"/>
    </w:lvl>
    <w:lvl w:ilvl="4" w:tplc="EE0013DC">
      <w:numFmt w:val="decimal"/>
      <w:lvlText w:val=""/>
      <w:lvlJc w:val="left"/>
    </w:lvl>
    <w:lvl w:ilvl="5" w:tplc="1FBE12FA">
      <w:numFmt w:val="decimal"/>
      <w:lvlText w:val=""/>
      <w:lvlJc w:val="left"/>
    </w:lvl>
    <w:lvl w:ilvl="6" w:tplc="4E928B7C">
      <w:numFmt w:val="decimal"/>
      <w:lvlText w:val=""/>
      <w:lvlJc w:val="left"/>
    </w:lvl>
    <w:lvl w:ilvl="7" w:tplc="77986DFE">
      <w:numFmt w:val="decimal"/>
      <w:lvlText w:val=""/>
      <w:lvlJc w:val="left"/>
    </w:lvl>
    <w:lvl w:ilvl="8" w:tplc="42644CDA">
      <w:numFmt w:val="decimal"/>
      <w:lvlText w:val=""/>
      <w:lvlJc w:val="left"/>
    </w:lvl>
  </w:abstractNum>
  <w:abstractNum w:abstractNumId="1" w15:restartNumberingAfterBreak="0">
    <w:nsid w:val="6A07502B"/>
    <w:multiLevelType w:val="hybridMultilevel"/>
    <w:tmpl w:val="AC2A4652"/>
    <w:lvl w:ilvl="0" w:tplc="4F3078CE">
      <w:start w:val="1"/>
      <w:numFmt w:val="bullet"/>
      <w:lvlText w:val="●"/>
      <w:lvlJc w:val="left"/>
      <w:pPr>
        <w:ind w:left="720" w:hanging="360"/>
      </w:pPr>
    </w:lvl>
    <w:lvl w:ilvl="1" w:tplc="F58CB7D2">
      <w:start w:val="1"/>
      <w:numFmt w:val="bullet"/>
      <w:lvlText w:val="○"/>
      <w:lvlJc w:val="left"/>
      <w:pPr>
        <w:ind w:left="1440" w:hanging="360"/>
      </w:pPr>
    </w:lvl>
    <w:lvl w:ilvl="2" w:tplc="725A7476">
      <w:start w:val="1"/>
      <w:numFmt w:val="bullet"/>
      <w:lvlText w:val="■"/>
      <w:lvlJc w:val="left"/>
      <w:pPr>
        <w:ind w:left="2160" w:hanging="360"/>
      </w:pPr>
    </w:lvl>
    <w:lvl w:ilvl="3" w:tplc="5B1803F2">
      <w:start w:val="1"/>
      <w:numFmt w:val="bullet"/>
      <w:lvlText w:val="●"/>
      <w:lvlJc w:val="left"/>
      <w:pPr>
        <w:ind w:left="2880" w:hanging="360"/>
      </w:pPr>
    </w:lvl>
    <w:lvl w:ilvl="4" w:tplc="AB486F06">
      <w:start w:val="1"/>
      <w:numFmt w:val="bullet"/>
      <w:lvlText w:val="○"/>
      <w:lvlJc w:val="left"/>
      <w:pPr>
        <w:ind w:left="3600" w:hanging="360"/>
      </w:pPr>
    </w:lvl>
    <w:lvl w:ilvl="5" w:tplc="BDB2E41A">
      <w:start w:val="1"/>
      <w:numFmt w:val="bullet"/>
      <w:lvlText w:val="■"/>
      <w:lvlJc w:val="left"/>
      <w:pPr>
        <w:ind w:left="4320" w:hanging="360"/>
      </w:pPr>
    </w:lvl>
    <w:lvl w:ilvl="6" w:tplc="4A80A58C">
      <w:start w:val="1"/>
      <w:numFmt w:val="bullet"/>
      <w:lvlText w:val="●"/>
      <w:lvlJc w:val="left"/>
      <w:pPr>
        <w:ind w:left="5040" w:hanging="360"/>
      </w:pPr>
    </w:lvl>
    <w:lvl w:ilvl="7" w:tplc="99FA9986">
      <w:start w:val="1"/>
      <w:numFmt w:val="bullet"/>
      <w:lvlText w:val="●"/>
      <w:lvlJc w:val="left"/>
      <w:pPr>
        <w:ind w:left="5760" w:hanging="360"/>
      </w:pPr>
    </w:lvl>
    <w:lvl w:ilvl="8" w:tplc="1B6682CC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48140C5"/>
    <w:multiLevelType w:val="hybridMultilevel"/>
    <w:tmpl w:val="067292E6"/>
    <w:lvl w:ilvl="0" w:tplc="B4B4DADA">
      <w:start w:val="1"/>
      <w:numFmt w:val="bullet"/>
      <w:lvlText w:val="●"/>
      <w:lvlJc w:val="left"/>
      <w:pPr>
        <w:ind w:left="763" w:hanging="360"/>
      </w:pPr>
      <w:rPr>
        <w:rFonts w:hint="default"/>
        <w:color w:val="6B46C1"/>
        <w:sz w:val="22"/>
        <w:szCs w:val="22"/>
      </w:rPr>
    </w:lvl>
    <w:lvl w:ilvl="1" w:tplc="04160003" w:tentative="1">
      <w:start w:val="1"/>
      <w:numFmt w:val="bullet"/>
      <w:lvlText w:val="o"/>
      <w:lvlJc w:val="left"/>
      <w:pPr>
        <w:ind w:left="148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0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2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4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6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8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0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23" w:hanging="360"/>
      </w:pPr>
      <w:rPr>
        <w:rFonts w:ascii="Wingdings" w:hAnsi="Wingdings" w:hint="default"/>
      </w:rPr>
    </w:lvl>
  </w:abstractNum>
  <w:num w:numId="1" w16cid:durableId="77605820">
    <w:abstractNumId w:val="1"/>
    <w:lvlOverride w:ilvl="0">
      <w:startOverride w:val="1"/>
    </w:lvlOverride>
  </w:num>
  <w:num w:numId="2" w16cid:durableId="1448089016">
    <w:abstractNumId w:val="0"/>
  </w:num>
  <w:num w:numId="3" w16cid:durableId="1596523485">
    <w:abstractNumId w:val="2"/>
  </w:num>
  <w:num w:numId="4" w16cid:durableId="855576300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27EA"/>
    <w:rsid w:val="00040C3A"/>
    <w:rsid w:val="000439AE"/>
    <w:rsid w:val="00061930"/>
    <w:rsid w:val="000637DB"/>
    <w:rsid w:val="000B2FDA"/>
    <w:rsid w:val="000D66FE"/>
    <w:rsid w:val="000F4CAE"/>
    <w:rsid w:val="00122D97"/>
    <w:rsid w:val="00123062"/>
    <w:rsid w:val="00124352"/>
    <w:rsid w:val="0017666D"/>
    <w:rsid w:val="001D6306"/>
    <w:rsid w:val="00201DA6"/>
    <w:rsid w:val="00263911"/>
    <w:rsid w:val="002B62A7"/>
    <w:rsid w:val="003212B8"/>
    <w:rsid w:val="00367582"/>
    <w:rsid w:val="00384C04"/>
    <w:rsid w:val="0039468C"/>
    <w:rsid w:val="003D6743"/>
    <w:rsid w:val="003D68CE"/>
    <w:rsid w:val="004236FB"/>
    <w:rsid w:val="004260B1"/>
    <w:rsid w:val="004A0FD6"/>
    <w:rsid w:val="004D3A65"/>
    <w:rsid w:val="00563A4C"/>
    <w:rsid w:val="00585448"/>
    <w:rsid w:val="005854F8"/>
    <w:rsid w:val="005E1836"/>
    <w:rsid w:val="005E72CB"/>
    <w:rsid w:val="005F7E51"/>
    <w:rsid w:val="006161F1"/>
    <w:rsid w:val="00657CD9"/>
    <w:rsid w:val="00664B6A"/>
    <w:rsid w:val="006A41E5"/>
    <w:rsid w:val="007576C4"/>
    <w:rsid w:val="00803FB7"/>
    <w:rsid w:val="0081108E"/>
    <w:rsid w:val="00821580"/>
    <w:rsid w:val="00841401"/>
    <w:rsid w:val="008B4400"/>
    <w:rsid w:val="008D0CE0"/>
    <w:rsid w:val="008E6617"/>
    <w:rsid w:val="0093334E"/>
    <w:rsid w:val="00944AC1"/>
    <w:rsid w:val="00965FFC"/>
    <w:rsid w:val="009E38D4"/>
    <w:rsid w:val="009E74E3"/>
    <w:rsid w:val="009F3C05"/>
    <w:rsid w:val="00A1027D"/>
    <w:rsid w:val="00AC3773"/>
    <w:rsid w:val="00AD7401"/>
    <w:rsid w:val="00B511D1"/>
    <w:rsid w:val="00B55639"/>
    <w:rsid w:val="00BB0D50"/>
    <w:rsid w:val="00BB2913"/>
    <w:rsid w:val="00BC59F2"/>
    <w:rsid w:val="00BD500C"/>
    <w:rsid w:val="00BE28E3"/>
    <w:rsid w:val="00BF323B"/>
    <w:rsid w:val="00C21CFE"/>
    <w:rsid w:val="00C459CB"/>
    <w:rsid w:val="00C50EC5"/>
    <w:rsid w:val="00C579FF"/>
    <w:rsid w:val="00D24A21"/>
    <w:rsid w:val="00D25F5B"/>
    <w:rsid w:val="00D31BD9"/>
    <w:rsid w:val="00D45053"/>
    <w:rsid w:val="00E20C93"/>
    <w:rsid w:val="00ED213E"/>
    <w:rsid w:val="00ED2387"/>
    <w:rsid w:val="00ED4DB0"/>
    <w:rsid w:val="00F227EA"/>
    <w:rsid w:val="00F327E1"/>
    <w:rsid w:val="00F46CDF"/>
    <w:rsid w:val="00F50886"/>
    <w:rsid w:val="00F53D0F"/>
    <w:rsid w:val="00F71DA0"/>
    <w:rsid w:val="00F87B90"/>
    <w:rsid w:val="00FD66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62E59E"/>
  <w15:docId w15:val="{B8AFE555-A88C-F341-BD58-3C839FBA15A5}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color w:val="374151"/>
        <w:sz w:val="21"/>
        <w:szCs w:val="21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5448"/>
    <w:pPr>
      <w:jc w:val="both"/>
    </w:pPr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paragraph" w:customStyle="1" w:styleId="Normal0">
    <w:name w:val="Normal0"/>
    <w:qFormat/>
    <w:rsid w:val="00AC3773"/>
    <w:pPr>
      <w:spacing w:after="200" w:line="312" w:lineRule="auto"/>
      <w:ind w:left="-6"/>
    </w:pPr>
    <w:rPr>
      <w:rFonts w:ascii="Lato" w:eastAsia="Lato" w:hAnsi="Lato" w:cs="Lato"/>
      <w:color w:val="595959"/>
      <w:sz w:val="20"/>
      <w:szCs w:val="20"/>
      <w:lang w:eastAsia="en-US"/>
    </w:rPr>
  </w:style>
  <w:style w:type="paragraph" w:customStyle="1" w:styleId="Subtitle0">
    <w:name w:val="Subtitle0"/>
    <w:basedOn w:val="Normal0"/>
    <w:next w:val="Normal0"/>
    <w:rsid w:val="00AC3773"/>
    <w:pPr>
      <w:keepNext/>
      <w:keepLines/>
    </w:pPr>
    <w:rPr>
      <w:b/>
      <w:color w:val="666666"/>
      <w:sz w:val="40"/>
      <w:szCs w:val="40"/>
    </w:rPr>
  </w:style>
  <w:style w:type="paragraph" w:styleId="Cabealho">
    <w:name w:val="header"/>
    <w:basedOn w:val="Normal"/>
    <w:link w:val="CabealhoChar"/>
    <w:uiPriority w:val="99"/>
    <w:unhideWhenUsed/>
    <w:rsid w:val="00AC3773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AC3773"/>
  </w:style>
  <w:style w:type="paragraph" w:styleId="Rodap">
    <w:name w:val="footer"/>
    <w:basedOn w:val="Normal"/>
    <w:link w:val="RodapChar"/>
    <w:uiPriority w:val="99"/>
    <w:unhideWhenUsed/>
    <w:rsid w:val="00AC3773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AC37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footer" Target="footer3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image" Target="media/image2.jpe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Relationship Id="rId2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7aa116b-8286-452a-ad11-9bfb85584ae0">
      <Terms xmlns="http://schemas.microsoft.com/office/infopath/2007/PartnerControls"/>
    </lcf76f155ced4ddcb4097134ff3c332f>
    <TaxCatchAll xmlns="219277de-6618-4cc7-bdb8-2ede8afd49fb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0D9AD5308FF7D4B91152391E51B657F" ma:contentTypeVersion="19" ma:contentTypeDescription="Crie um novo documento." ma:contentTypeScope="" ma:versionID="6213242d335f4d963f0fc8e055b000e9">
  <xsd:schema xmlns:xsd="http://www.w3.org/2001/XMLSchema" xmlns:xs="http://www.w3.org/2001/XMLSchema" xmlns:p="http://schemas.microsoft.com/office/2006/metadata/properties" xmlns:ns2="57aa116b-8286-452a-ad11-9bfb85584ae0" xmlns:ns3="219277de-6618-4cc7-bdb8-2ede8afd49fb" targetNamespace="http://schemas.microsoft.com/office/2006/metadata/properties" ma:root="true" ma:fieldsID="4ce8b9b105c99073f40ae004358d12b6" ns2:_="" ns3:_="">
    <xsd:import namespace="57aa116b-8286-452a-ad11-9bfb85584ae0"/>
    <xsd:import namespace="219277de-6618-4cc7-bdb8-2ede8afd49f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LengthInSeconds" minOccurs="0"/>
                <xsd:element ref="ns2:MediaServiceOCR" minOccurs="0"/>
                <xsd:element ref="ns2:MediaServiceSearchProperties" minOccurs="0"/>
                <xsd:element ref="ns2:MediaServiceObjectDetectorVersions" minOccurs="0"/>
                <xsd:element ref="ns2:MediaServiceBillingMetadata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7aa116b-8286-452a-ad11-9bfb85584ae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7" nillable="true" ma:taxonomy="true" ma:internalName="lcf76f155ced4ddcb4097134ff3c332f" ma:taxonomyFieldName="MediaServiceImageTags" ma:displayName="Marcações de imagem" ma:readOnly="false" ma:fieldId="{5cf76f15-5ced-4ddc-b409-7134ff3c332f}" ma:taxonomyMulti="true" ma:sspId="f566eb4a-84a7-4f03-9cf4-83584b28a29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Location" ma:index="25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19277de-6618-4cc7-bdb8-2ede8afd49fb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18" nillable="true" ma:displayName="Taxonomy Catch All Column" ma:hidden="true" ma:list="{150c78be-d6dd-4461-b83c-1af308392aaf}" ma:internalName="TaxCatchAll" ma:showField="CatchAllData" ma:web="219277de-6618-4cc7-bdb8-2ede8afd49f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C6CF224-2329-41B7-AB5E-00AECA73DCE6}">
  <ds:schemaRefs>
    <ds:schemaRef ds:uri="http://schemas.microsoft.com/office/2006/metadata/properties"/>
    <ds:schemaRef ds:uri="http://schemas.microsoft.com/office/infopath/2007/PartnerControls"/>
    <ds:schemaRef ds:uri="57aa116b-8286-452a-ad11-9bfb85584ae0"/>
    <ds:schemaRef ds:uri="219277de-6618-4cc7-bdb8-2ede8afd49fb"/>
  </ds:schemaRefs>
</ds:datastoreItem>
</file>

<file path=customXml/itemProps2.xml><?xml version="1.0" encoding="utf-8"?>
<ds:datastoreItem xmlns:ds="http://schemas.openxmlformats.org/officeDocument/2006/customXml" ds:itemID="{3BA5B480-FB04-CF4D-888F-22A6B84659D1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9BF81703-7A1A-410C-944C-CACF4BA2BB7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A74AE9F9-6353-432E-B7B2-AD52FEF704F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7aa116b-8286-452a-ad11-9bfb85584ae0"/>
    <ds:schemaRef ds:uri="219277de-6618-4cc7-bdb8-2ede8afd49f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3449</Words>
  <Characters>20175</Characters>
  <Application>Microsoft Office Word</Application>
  <DocSecurity>0</DocSecurity>
  <Lines>567</Lines>
  <Paragraphs>326</Paragraphs>
  <ScaleCrop>false</ScaleCrop>
  <Company/>
  <LinksUpToDate>false</LinksUpToDate>
  <CharactersWithSpaces>23399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Proposta técnica — Vértice Educação</dc:title>
  <dc:creator>POPULOS Sales Engineering</dc:creator>
  <cp:lastModifiedBy>Paulo Barbosa | Secbuilder</cp:lastModifiedBy>
  <cp:revision>3</cp:revision>
  <cp:lastPrinted>2026-07-23T18:30:00Z</cp:lastPrinted>
  <dcterms:created xsi:type="dcterms:W3CDTF">2026-07-23T18:30:00Z</dcterms:created>
  <dcterms:modified xsi:type="dcterms:W3CDTF">2026-07-23T18:30:00Z</dcterms:modified>
  <dc:subject>Migração do DNS autoritativo para o Edge DNS com DNSSEC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0x01010010D9AD5308FF7D4B91152391E51B657F</vt:lpwstr>
  </property>
  <property fmtid="{D5CDD505-2E9C-101B-9397-08002B2CF9AE}" pid="3" name="MediaServiceImageTags">
    <vt:lpwstr/>
  </property>
</Properties>
</file>