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E2A33" w14:textId="0B40027C" w:rsidR="00AC3773" w:rsidRDefault="00B55639" w:rsidP="00AC3773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  <w:r>
        <w:fldChar w:fldCharType="begin"/>
      </w:r>
      <w:r>
        <w:instrText xml:space="preserve"> INCLUDEPICTURE "https://yt3.googleusercontent.com/GM9aUAG2BP22F7JircpALbMAoRz2rOY94R9NJwkmcJ8NxGaWWXNtYA3hYYKkNvVyK3_utBIL=s900-c-k-c0x00ffffff-no-rj" \* MERGEFORMATINET </w:instrText>
      </w:r>
      <w:r>
        <w:fldChar w:fldCharType="separate"/>
      </w:r>
      <w:r>
        <w:fldChar w:fldCharType="end"/>
      </w:r>
      <w:r>
        <w:rPr>
          <w:rFonts w:ascii="Open Sans" w:eastAsia="Open Sans" w:hAnsi="Open Sans" w:cs="Open Sans"/>
          <w:noProof/>
          <w:color w:val="695D46"/>
        </w:rPr>
        <w:drawing>
          <wp:anchor distT="0" distB="0" distL="114300" distR="114300" simplePos="0" relativeHeight="251659264" behindDoc="1" locked="0" layoutInCell="1" allowOverlap="1" wp14:anchorId="43DCC4BD" wp14:editId="023D3B8F">
            <wp:simplePos x="0" y="0"/>
            <wp:positionH relativeFrom="page">
              <wp:posOffset>0</wp:posOffset>
            </wp:positionH>
            <wp:positionV relativeFrom="paragraph">
              <wp:posOffset>-339984</wp:posOffset>
            </wp:positionV>
            <wp:extent cx="7781192" cy="10729945"/>
            <wp:effectExtent l="0" t="0" r="4445" b="1905"/>
            <wp:wrapNone/>
            <wp:docPr id="130306582" name="Imagem 1" descr="A blue and white background with text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6582" name="Imagem 1" descr="A blue and white background with text  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192" cy="107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54C45" w14:textId="7E032A73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A5E188D" w14:textId="00A8B694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23181CB" w14:textId="00855A1A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1643B38F" w14:textId="3A5BA65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EB4215D" w14:textId="0767440C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DE965B7" w14:textId="2148EEE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47235B5" w14:textId="360FA79E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8E5ED0D" w14:textId="307D5FAD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51E2F662" w14:textId="4F63DEF6" w:rsidR="00C50EC5" w:rsidRPr="009A297D" w:rsidRDefault="00C50EC5" w:rsidP="00C50EC5">
      <w:pPr>
        <w:pStyle w:val="Subtitle0"/>
        <w:spacing w:after="0" w:line="276" w:lineRule="auto"/>
        <w:ind w:left="0" w:firstLine="1134"/>
        <w:rPr>
          <w:color w:val="FFFFFF" w:themeColor="background1"/>
          <w:sz w:val="48"/>
          <w:szCs w:val="48"/>
        </w:rPr>
      </w:pPr>
      <w:r>
        <w:rPr>
          <w:color w:val="FFFFFF" w:themeColor="background1"/>
          <w:sz w:val="48"/>
          <w:szCs w:val="48"/>
        </w:rPr>
        <w:t>PROPOSTA TÉCNICA</w:t>
      </w:r>
    </w:p>
    <w:p w14:paraId="0B130125" w14:textId="6D9BC620" w:rsidR="00C50EC5" w:rsidRDefault="00C50EC5" w:rsidP="00C50EC5">
      <w:pPr>
        <w:pStyle w:val="Subtitle0"/>
        <w:spacing w:after="0" w:line="276" w:lineRule="auto"/>
        <w:ind w:firstLine="1134"/>
        <w:rPr>
          <w:color w:val="FFFFFF" w:themeColor="background1"/>
        </w:rPr>
      </w:pPr>
    </w:p>
    <w:p>
      <w:pPr>
        <w:pStyle w:val="Subtitle0"/>
        <w:spacing w:after="0" w:line="276" w:lineRule="auto"/>
        <w:ind w:left="1134" w:right="758"/>
        <w:rPr>
          <w:b w:val="0"/>
          <w:bCs/>
          <w:color w:val="FFFFFF" w:themeColor="background1"/>
        </w:rPr>
      </w:pPr>
      <w:r>
        <w:rPr>
          <w:b w:val="0"/>
          <w:bCs/>
          <w:color w:val="FFFFFF" w:themeColor="background1"/>
        </w:rPr>
        <w:t>Proteção contra automação no simulador de cotação de seguro auto · Lumina Seguros · PROP-LUMINA-BOTMANAGER-2026</w:t>
      </w:r>
    </w:p>
    <w:p>
      <w:pPr>
        <w:pStyle w:val="Normal0"/>
        <w:ind w:firstLine="1134"/>
        <w:rPr>
          <w:color w:val="FFFFFF" w:themeColor="background1"/>
        </w:rPr>
      </w:pPr>
      <w:r>
        <w:rPr>
          <w:color w:val="FFFFFF" w:themeColor="background1"/>
        </w:rPr>
        <w:t>EMPRESA: Lumina Seguros</w:t>
      </w:r>
    </w:p>
    <w:p>
      <w:pPr>
        <w:pStyle w:val="Normal0"/>
        <w:spacing w:after="0" w:line="276" w:lineRule="auto"/>
        <w:ind w:firstLine="1134"/>
        <w:rPr>
          <w:color w:val="FFFFFF" w:themeColor="background1"/>
        </w:rPr>
      </w:pPr>
      <w:r>
        <w:rPr>
          <w:color w:val="FFFFFF" w:themeColor="background1"/>
        </w:rPr>
        <w:t>| SETEMBRO 2026 |</w:t>
      </w:r>
    </w:p>
    <w:p w14:paraId="498C438A" w14:textId="799C8663" w:rsidR="00F227EA" w:rsidRDefault="00B55639" w:rsidP="00BC59F2">
      <w:pPr>
        <w:spacing w:line="240" w:lineRule="exact"/>
        <w:jc w:val="left"/>
        <w:sectPr w:rsidR="00F227EA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0" w:right="0" w:bottom="0" w:left="0" w:header="0" w:footer="0" w:gutter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05B9463" wp14:editId="09D1AD0E">
            <wp:simplePos x="0" y="0"/>
            <wp:positionH relativeFrom="column">
              <wp:posOffset>2580640</wp:posOffset>
            </wp:positionH>
            <wp:positionV relativeFrom="paragraph">
              <wp:posOffset>499745</wp:posOffset>
            </wp:positionV>
            <wp:extent cx="2092960" cy="2092960"/>
            <wp:effectExtent l="0" t="0" r="2540" b="2540"/>
            <wp:wrapNone/>
            <wp:docPr id="497703951" name="Imagem 2" descr="Logo do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 do cli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641" cy="209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7EEC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Sobre a POPULOS</w:t>
      </w:r>
    </w:p>
    <w:p w14:paraId="3C604CD7" w14:textId="77777777" w:rsidR="00F227EA" w:rsidRDefault="00000000">
      <w:pPr>
        <w:spacing w:after="120" w:line="276" w:lineRule="auto"/>
      </w:pPr>
      <w:r>
        <w:t>A POPULOS nasceu em São Paulo com o objetivo de levar o futuro para organizações de todos os tipos e tamanhos, através da entrega de soluções que têm o poder de transformar radicalmente a forma como as pessoas trabalham, criam e colaboram.</w:t>
      </w:r>
    </w:p>
    <w:p w14:paraId="5570BA4F" w14:textId="61F7A7ED" w:rsidR="00F227EA" w:rsidRDefault="00000000">
      <w:pPr>
        <w:spacing w:after="120" w:line="276" w:lineRule="auto"/>
      </w:pPr>
      <w:r>
        <w:t>Muito mais do que entregar ferramentas tecnológicas, temos como objetivo ajudar organizações a pensar e executar o trabalho de forma diferente, entrando na era do trabalho 3.0. A POPULOS é especialista e líder na América Latina em soluções de Segurança, End-User Computing, Infraestrutura, Redes e Cloud.</w:t>
      </w:r>
    </w:p>
    <w:p w14:paraId="60A8393F" w14:textId="77777777" w:rsidR="00F227EA" w:rsidRDefault="00000000">
      <w:pPr>
        <w:spacing w:after="120" w:line="276" w:lineRule="auto"/>
      </w:pPr>
      <w:r>
        <w:t>Somos um agente da transformação digital. Nossa missão é compartilhar a visão do futuro do trabalho e entregar os meios para que organizações obtenham os melhores resultados em um mundo que se transforma rápido, suprindo os interesses das áreas de TI, segurança e operações.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Sobre a Akamai</w:t>
      </w:r>
    </w:p>
    <w:p>
      <w:pPr>
        <w:spacing w:after="120" w:line="276" w:lineRule="auto"/>
      </w:pPr>
      <w:r>
        <w:t>A Akamai opera uma plataforma distribuída de entrega e segurança na borda, sobre a qual a Lumina já utiliza Ion, App &amp; API Protector e Edge DNS.</w:t>
      </w:r>
    </w:p>
    <w:p>
      <w:pPr>
        <w:spacing w:after="120" w:line="276" w:lineRule="auto"/>
      </w:pPr>
      <w:r>
        <w:t>O Bot Manager Premier identifica tráfego automatizado na borda, segmenta os robôs e aplica respostas adaptativas definidas por segmento, com telemetria para acompanhamento.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Parceria POPULOS e Akamai</w:t>
      </w:r>
    </w:p>
    <w:p>
      <w:pPr>
        <w:spacing w:after="120" w:line="276" w:lineRule="auto"/>
      </w:pPr>
      <w:r>
        <w:t>A POPULOS atende a Lumina Seguros desde 2024 nos serviços de implantação e sustentação do ambiente Akamai contratado diretamente pela Lumina.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Arquitetura de soluções de segurança de aplicações Akamai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Configuração e ajuste de políticas de gestão de bots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Gestão de mudanças em ambiente de produção</w:t>
      </w:r>
    </w:p>
    <w:p>
      <w:pPr>
        <w:spacing w:after="120" w:line="276" w:lineRule="auto"/>
      </w:pPr>
      <w:r>
        <w:t>A composição final da equipe será confirmada no plano de projeto, preservando as competências exigidas para cada frente.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3AFBBE49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Aderência e qualificações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equipe POPULOS reúne arquitetura de segurança de aplicações e experiência no ambiente Akamai da Lumina.</w:t>
            </w:r>
          </w:p>
        </w:tc>
      </w:tr>
    </w:tbl>
    <w:p w14:paraId="594D7819" w14:textId="77777777" w:rsidR="00ED2387" w:rsidRDefault="00ED2387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66BFB71B" w14:textId="0C054DC3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Sumário Executivo</w:t>
      </w:r>
    </w:p>
    <w:p>
      <w:pPr>
        <w:spacing w:after="120" w:line="276" w:lineRule="auto"/>
      </w:pPr>
      <w:r>
        <w:rPr>
          <w:b/>
          <w:bCs/>
        </w:rPr>
        <w:t>A Lumina Seguros relata que o simulador de cotação de seguro auto recebe milhares de cotações por hora feitas por robôs, provavelmente de concorrentes e comparadores, que copiam a tabela de preços. Cada cotação consulta dois bureaus de dados pagos por consulta, e a Lumina estima que pelo menos metade das cerca de 2,1 milhões de cotações do último mês venha de robôs. O WAF atual não identifica esses robôs, que se apresentam como navegadores comuns.</w:t>
      </w:r>
    </w:p>
    <w:p>
      <w:pPr>
        <w:spacing w:after="120" w:line="276" w:lineRule="auto"/>
      </w:pPr>
      <w:r>
        <w:t>Recomendamos a implantação do Bot Manager Premier sobre o ambiente atual (Ion, App &amp; API Protector e Edge DNS), com detecção e resposta adaptativa a robôs nas rotas do simulador. A licença será adicionada por aditivo ao contrato direto entre a Lumina e a Akamai, com co-terminação em 31/03/2027; a POPULOS presta os serviços de implantação.</w:t>
      </w:r>
    </w:p>
    <w:p>
      <w:pPr>
        <w:keepLines/>
        <w:spacing w:after="120" w:line="276" w:lineRule="auto"/>
      </w:pPr>
      <w:r>
        <w:t>Viabilidade frente ao lançamento de 15/01/2027: a implantação estimada em 4 a 5 semanas, contada a partir de 24/09/2026, termina entre 22/10/2026 e 29/10/2026, antes do congelamento de 15/12/2026 a 05/01/2027. O provisionamento da licença leva até 10 dias úteis após a assinatura do aditivo; por isso o prazo de calendário é condicional: o aditivo precisa estar assinado até 03/11/2026 para que a ativação em produção ocorra antes do congelamento.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Proteção contra automação no simulador de cotação — Bot Manager Premier.</w:t>
      </w:r>
    </w:p>
    <w:p>
      <w:pPr>
        <w:spacing w:after="60" w:line="276" w:lineRule="auto"/>
      </w:pPr>
      <w:r>
        <w:rPr>
          <w:b/>
          <w:bCs/>
        </w:rPr>
        <w:t>Esta proposta cobre a implantação do Bot Manager Premier nas rotas do simulador de cotação de seguro auto, integrado ao ambiente atual.</w:t>
      </w:r>
    </w:p>
    <w:p w14:paraId="71911788" w14:textId="77777777" w:rsidR="003D6743" w:rsidRDefault="003D6743">
      <w:pPr>
        <w:spacing w:after="6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60F0B8BA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Modelo de fornecimento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licença do Bot Manager será adicionada ao contrato direto entre a Lumina e a Akamai, por aditivo, com co-terminação em 31/03/2027</w:t>
            </w:r>
          </w:p>
        </w:tc>
      </w:tr>
    </w:tbl>
    <w:p w14:paraId="0DEBA0B3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Objetivos do Projeto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Reduzir a raspagem automatizada de preços no simulador de cotação de seguro auto (REQ-01, REQ-02)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Ter a proteção contra robôs ativa em produção antes do congelamento de fim de ano e do lançamento do novo seguro auto (REQ-03)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Esclarecer se os logins suspeitos na área do cliente exigem controle específico de risco de conta (REQ-04)</w:t>
      </w:r>
    </w:p>
    <w:p w14:paraId="6845968B" w14:textId="77777777" w:rsidR="00BC59F2" w:rsidRDefault="00BC59F2" w:rsidP="00BC59F2">
      <w:pPr>
        <w:spacing w:after="60" w:line="270" w:lineRule="auto"/>
      </w:pPr>
    </w:p>
    <w:p w14:paraId="60915E81" w14:textId="77777777" w:rsidR="00BC59F2" w:rsidRDefault="00BC59F2" w:rsidP="00BC59F2">
      <w:pPr>
        <w:spacing w:after="60" w:line="270" w:lineRule="auto"/>
      </w:pPr>
    </w:p>
    <w:p w14:paraId="06204E6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Descrição da Solução</w:t>
      </w:r>
    </w:p>
    <w:p>
      <w:pPr>
        <w:spacing w:after="120" w:line="276" w:lineRule="auto"/>
      </w:pPr>
      <w:r>
        <w:t>O Bot Manager Premier é ativado sobre as propriedades já entregues pelo Ion e protegidas pelo App &amp; API Protector, atuando nas rotas do simulador de cotação de seguro auto. As requisições são classificadas na borda, os robôs são segmentados e recebem resposta adaptativa conforme a política acordada com a Lumina, e a telemetria permite acompanhar a proporção de tráfego automatizado antes e depois da ativação.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891792"/>
            <wp:docPr id="497703952" name="Picture 497703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9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3.1 Proteção contra automação no simulador de cotação</w:t>
      </w:r>
    </w:p>
    <w:p>
      <w:pPr>
        <w:spacing w:after="120" w:line="276" w:lineRule="auto"/>
      </w:pPr>
      <w:r>
        <w:t>Detecção e resposta a robôs no simulador de cotação de seguro auto, com segmentação do tráfego automatizado e telemetria para acompanhar a redução das cotações feitas por robôs.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Bot Manager Premier: detecção de bots, resposta adaptativa, telemetria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79990F7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Limite da frente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Proteção de risco de login e alterações no simulador ou nos bureaus não fazem parte deste escopo.</w:t>
            </w:r>
          </w:p>
        </w:tc>
      </w:tr>
    </w:tbl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3.2 Prontidão para eventos críticos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Ativação da mitigação concluída antes do congelamento de mudanças de 15/12/2026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Plano de reversão para retorno ao modo de monitoramento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Monitoramento da telemetria de robôs nas semanas que antecedem o lançamento de 15/01/2027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3.3 Matriz de rastreabilidade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93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Necessidade</w:t>
            </w:r>
          </w:p>
        </w:tc>
        <w:tc>
          <w:tcPr>
            <w:tcW w:type="dxa" w:w="194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345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Evidência de aceite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REQ-01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Detectar e mitigar robôs que realizam cotações em massa no simulador de cotação de seguro auto para copiar a tabela de preços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 com detecção de bots, segmentação e resposta adaptativa nas rotas do simulador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 ativo nas rotas do simulador de cotação indicadas pela Lumina, com relatório de telemetria que separa as requisições em humanas e automatizadas por segmento durante a janela de observação acordada.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REQ-02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Identificar automação que se apresenta como navegador legítimo e que o WAF atual não detecta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Premier, complementar ao App &amp; API Protector já contratado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Respostas por segmento de robô configuradas e ativas em produção, verificadas por teste controlado com cliente automatizado que se apresenta como navegador e registradas na telemetria.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REQ-03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 em funcionamento antes do lançamento do novo seguro auto em 15/01/2027, sem mudanças durante o congelamento de 15/12/2026 a 05/01/2027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Cronograma de implantação de 4 a 5 semanas concluído antes de 15/12/2026, condicionado à assinatura do aditivo de licença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Mitigação ativada em produção e termo de aceite assinado antes de 15/12/2026, com plano de reversão documentado.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REQ-04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Avaliar logins suspeitos na área do cliente, ainda não confirmados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Account Protector em avaliação, condicionado à confirmação do abuso em login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Critérios gerais da seção 10.</w:t>
            </w:r>
          </w:p>
        </w:tc>
      </w:tr>
    </w:tbl>
    <w:p w14:paraId="466647CD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>4. Dimensionamento e Abrangência</w:t>
      </w:r>
    </w:p>
    <w:p>
      <w:pPr>
        <w:spacing w:after="120" w:line="276" w:lineRule="auto"/>
      </w:pPr>
      <w:r>
        <w:rPr>
          <w:b/>
          <w:bCs/>
        </w:rPr>
        <w:t>O dimensionamento parte do volume de cotações informado pela Lumina e das propriedades já em produção.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4.1 Itens de dimensionamento</w:t>
      </w:r>
    </w:p>
    <w:tbl>
      <w:tblPr>
        <w:tblW w:w="9790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1000"/>
        <w:gridCol w:w="1000"/>
        <w:gridCol w:w="1080"/>
      </w:tblGrid>
      <w:tr w:rsidR="00F227EA" w14:paraId="69B947D6" w14:textId="77777777">
        <w:trPr>
          <w:tblHeader/>
        </w:trPr>
        <w:tc>
          <w:tcPr>
            <w:tcW w:w="226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Quantidade de referência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Base de planejamento</w:t>
            </w:r>
          </w:p>
        </w:tc>
        <w:tc>
          <w:tcPr>
            <w:tcW w:w="108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Classificação</w:t>
            </w:r>
          </w:p>
        </w:tc>
      </w:tr>
      <w:tr w:rsidR="00F227EA" w14:paraId="7A5CE6D8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Volume mensal de cotações no simulador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cerca de 2,1 milhões (último mês)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informado pela Lumina em 23/09/2026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  <w:tr w:rsidR="00F227EA" w14:paraId="4569A9B2" w14:textId="77777777">
        <w:tc>
          <w:tcPr>
            <w:tcW w:w="22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Propriedades e rotas do simulador protegidas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a confirmar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cotacao.lumina.com.br e api.lumina.com.br como candidatas</w:t>
            </w:r>
          </w:p>
        </w:tc>
        <w:tc>
          <w:tcPr>
            <w:tcW w:w="108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Pendente</w:t>
            </w:r>
          </w:p>
        </w:tc>
      </w:tr>
      <w:tr w:rsidR="00F227EA" w14:paraId="33FB2B15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Esforço de implantação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4 a 5 semanas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estimativa da arquitetura POPULOS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Estimativa</w:t>
            </w:r>
          </w:p>
        </w:tc>
      </w:tr>
    </w:tbl>
    <w:p w14:paraId="675853AF" w14:textId="77777777" w:rsidR="00BD500C" w:rsidRDefault="00BD500C">
      <w:pPr>
        <w:spacing w:after="80" w:line="276" w:lineRule="auto"/>
        <w:rPr>
          <w:b/>
          <w:bCs/>
          <w:i/>
          <w:iCs/>
          <w:color w:val="6B7280"/>
          <w:sz w:val="18"/>
          <w:szCs w:val="18"/>
        </w:rPr>
      </w:pPr>
    </w:p>
    <w:p>
      <w:pPr>
        <w:pStyle w:val="Ttulo2"/>
        <w:keepNext/>
        <w:keepLines/>
        <w:pageBreakBefore w:val="0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4.2 Componentes centralizados e serviços de borda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662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880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Posição na proposta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  <w:tr>
        <w:tc>
          <w:tcPr>
            <w:tcW w:type="dxa" w:w="662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Ion</w:t>
            </w:r>
          </w:p>
        </w:tc>
        <w:tc>
          <w:tcPr>
            <w:tcW w:type="dxa" w:w="2880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Já contratado — ambiente atual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App &amp; API Protector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Já contratado — ambiente atual</w:t>
            </w:r>
          </w:p>
        </w:tc>
      </w:tr>
      <w:tr>
        <w:tc>
          <w:tcPr>
            <w:tcW w:type="dxa" w:w="662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</w:t>
            </w:r>
          </w:p>
        </w:tc>
        <w:tc>
          <w:tcPr>
            <w:tcW w:type="dxa" w:w="2880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Já contratado — ambiente atual</w:t>
            </w:r>
          </w:p>
        </w:tc>
      </w:tr>
    </w:tbl>
    <w:p w14:paraId="5941B891" w14:textId="465FDF3E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5.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Avaliação e Migração do Ambiente Atual</w:t>
      </w:r>
    </w:p>
    <w:p>
      <w:pPr>
        <w:spacing w:after="120" w:line="276" w:lineRule="auto"/>
      </w:pPr>
      <w:r>
        <w:t>Como primeira etapa, a POPULOS realizará o levantamento detalhado do ambiente atual, contemplando no mínimo: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Mapeamento das rotas, endpoints e parâmetros do simulador de cotação de seguro auto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Levantamento dos padrões de tráfego automatizado e das automações legítimas que devem ser permitidas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Revisão da configuração atual do Ion e do App &amp; API Protector nas propriedades do simulador</w:t>
      </w:r>
    </w:p>
    <w:p>
      <w:pPr>
        <w:spacing w:after="120" w:line="276" w:lineRule="auto"/>
      </w:pPr>
      <w:r>
        <w:t>O levantamento entrega o mapa de rotas do simulador, a lista de automações permitidas e a política de gestão de bots aprovada pela Lumina.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78B70CC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Estratégia de migração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Não há migração: o Bot Manager Premier é adicionado às propriedades atuais, primeiro em modo de monitoramento.</w:t>
            </w:r>
          </w:p>
        </w:tc>
      </w:tr>
    </w:tbl>
    <w:p w14:paraId="2171A501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6.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Serviços POPULOS — Metodologia de Implantação</w:t>
      </w:r>
    </w:p>
    <w:p>
      <w:pPr>
        <w:spacing w:after="120" w:line="276" w:lineRule="auto"/>
      </w:pPr>
      <w:r>
        <w:rPr>
          <w:b/>
          <w:bCs/>
        </w:rPr>
        <w:t>A implantação segue três etapas: planejamento, operação em modo de monitoramento e ativação da mitigação em janela aprovada.</w:t>
      </w:r>
    </w:p>
    <w:p w14:paraId="1DD6CC3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6.1 Escopo previsto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Configuração do Bot Manager Premier nas rotas do simulador de cotação de seguro auto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Definição da segmentação de robôs e das respostas por segmento com a Lumina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Operação inicial em modo de monitoramento e ativação das ações de mitigação em produção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Configuração da telemetria de robôs e relatório de acompanhamento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Documento de desenho da política de gestão de bots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Configuração do Bot Manager Premier ativa em produção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Relatório de telemetria comparando o modo de monitoramento e o modo de mitigação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Documentação as-built e plano de reversão</w:t>
      </w:r>
    </w:p>
    <w:p w14:paraId="5DE8D494" w14:textId="399B44BD" w:rsidR="00ED213E" w:rsidRPr="00ED213E" w:rsidRDefault="00000000"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lastRenderedPageBreak/>
        <w:t>6.2 Metodologia POPULOS</w:t>
      </w:r>
    </w:p>
    <w:p w14:paraId="458C458F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Planejamento e levantamento</w:t>
      </w:r>
    </w:p>
    <w:p>
      <w:pPr>
        <w:spacing w:after="120" w:line="276" w:lineRule="auto"/>
      </w:pPr>
      <w:r>
        <w:t>Mapear rotas do simulador, automações permitidas e desenhar a política de gestão de bots</w:t>
      </w:r>
    </w:p>
    <w:p w14:paraId="31BAB4E0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Implantação em modo de monitoramento</w:t>
      </w:r>
    </w:p>
    <w:p>
      <w:pPr>
        <w:spacing w:after="120" w:line="276" w:lineRule="auto"/>
      </w:pPr>
      <w:r>
        <w:t>Configurar o Bot Manager Premier em produção sem ação de bloqueio e coletar a telemetria de robôs</w:t>
      </w:r>
    </w:p>
    <w:p w14:paraId="0C49AE6D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Ativação da mitigação e aceite</w:t>
      </w:r>
    </w:p>
    <w:p>
      <w:pPr>
        <w:spacing w:after="120" w:line="276" w:lineRule="auto"/>
      </w:pPr>
      <w:r>
        <w:t>Ativar as respostas por segmento em janela aprovada, ajustar a política e obter o aceite</w:t>
      </w:r>
    </w:p>
    <w:p w14:paraId="1FE5BD3A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Gestão do Projeto</w:t>
      </w:r>
    </w:p>
    <w:p>
      <w:pPr>
        <w:spacing w:after="120" w:line="276" w:lineRule="auto"/>
      </w:pPr>
      <w:r>
        <w:t>A POPULOS conduzirá o planejamento, a gestão de riscos e dependências e os reportes periódicos, em alinhamento com o ponto focal do cliente.</w:t>
      </w:r>
    </w:p>
    <w:p w14:paraId="49957D7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7.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Limites do Escopo</w:t>
      </w:r>
    </w:p>
    <w:p w14:paraId="06FA1EDD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7.1 Passagem de conhecimento</w:t>
      </w:r>
    </w:p>
    <w:p>
      <w:pPr>
        <w:spacing w:after="120" w:line="276" w:lineRule="auto"/>
      </w:pPr>
      <w:r>
        <w:t>A equipe da Lumina recebe repasse sobre a leitura da telemetria de robôs, o ajuste de segmentos e o procedimento de reversão.</w:t>
      </w:r>
    </w:p>
    <w:p w14:paraId="4A59FCA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7.2 Homologação e testes</w:t>
      </w:r>
    </w:p>
    <w:p>
      <w:pPr>
        <w:spacing w:after="120" w:line="276" w:lineRule="auto"/>
      </w:pPr>
      <w:r>
        <w:t>Os testes incluem comparação da telemetria entre monitoramento e mitigação e teste controlado com cliente automatizado que se apresenta como navegador.</w:t>
      </w:r>
    </w:p>
    <w:p w14:paraId="7794161C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7.3 Áreas fora do escopo</w:t>
      </w:r>
    </w:p>
    <w:p w14:paraId="072132ED" w14:textId="77777777" w:rsidR="00F227EA" w:rsidRDefault="00000000">
      <w:pPr>
        <w:spacing w:after="120" w:line="276" w:lineRule="auto"/>
      </w:pPr>
      <w:r>
        <w:t>Qualquer área/tópico não expressamente enumerado no escopo previsto está fora deste projeto. Em especial, estão fora do escopo: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Proteção de risco de login na área do cliente, sujeita à confirmação dos logins suspeitos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Alterações no código do simulador ou nas integrações com os bureaus de dados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Mudanças em produção durante o congelamento de 15/12/2026 a 05/01/2027</w:t>
      </w:r>
    </w:p>
    <w:p w14:paraId="29CE5CDD" w14:textId="77777777" w:rsidR="004D3A65" w:rsidRDefault="004D3A65" w:rsidP="004D3A65">
      <w:pPr>
        <w:spacing w:after="60" w:line="270" w:lineRule="auto"/>
      </w:pPr>
    </w:p>
    <w:p w14:paraId="5A6DAA59" w14:textId="77777777" w:rsidR="004D3A65" w:rsidRDefault="004D3A65" w:rsidP="004D3A65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1C7CCBD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Itens que exigem contratação específica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Operação continuada, NOC 24x7, equipe residente, desenvolvimento de aplicações e serviços gerenciados adicionais não estão incluídos.</w:t>
            </w:r>
          </w:p>
        </w:tc>
      </w:tr>
    </w:tbl>
    <w:p w14:paraId="790651B6" w14:textId="77777777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8.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Premissas, Requisitos e Restrições</w:t>
      </w:r>
    </w:p>
    <w:p w14:paraId="0279B845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8.1 Premissas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Premissa: o aditivo de licença é assinado até 03/11/2026; validação na reunião de início do projeto.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Premissa: o simulador de cotação é servido pelas propriedades já entregues pelo Ion; validação no levantamento da fase 1.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Premissa: a Lumina indica as automações legítimas (parceiros e comparadores autorizados) até o fim da fase 1.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Premissa: o contrato de sustentação POPULOS 8x5 vigente cobre o suporte após o aceite, até 31/03/2027.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8.2 Requisitos — Pessoas (Lumina Seguros)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Gestor de Canais Digitais responsável pelo simulador de cotação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Arquiteto de soluções para definição de rotas e aprovação de mudanças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Equipe de operação para acompanhamento das janelas de mudança</w:t>
      </w:r>
    </w:p>
    <w:p w14:paraId="199C1D9F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8.3 Restrições</w:t>
      </w:r>
    </w:p>
    <w:p w14:paraId="15290CA5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Nenhuma mudança em produção entre 15/12/2026 e 05/01/2027 (congelamento de fim de ano da Lumina).</w:t>
      </w:r>
    </w:p>
    <w:p w14:paraId="62D6CC0A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implantação depende do provisionamento da licença pela Akamai, em até 10 dias úteis após a assinatura do aditivo.</w:t>
      </w:r>
    </w:p>
    <w:p w14:paraId="655E7B04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licença do Bot Manager Premier tem co-terminação em 31/03/2027 com o contrato Akamai atual.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Mudanças em produção ocorrem somente em janelas aprovadas pela Lumina.</w:t>
      </w:r>
    </w:p>
    <w:p w14:paraId="359018A2" w14:textId="77777777" w:rsidR="00BB2913" w:rsidRDefault="00BB2913" w:rsidP="00BB2913">
      <w:pPr>
        <w:spacing w:after="60" w:line="270" w:lineRule="auto"/>
      </w:pPr>
    </w:p>
    <w:p w14:paraId="62DB3BC2" w14:textId="77777777" w:rsidR="00BB2913" w:rsidRDefault="00BB2913" w:rsidP="00BB2913">
      <w:pPr>
        <w:spacing w:after="60" w:line="270" w:lineRule="auto"/>
      </w:pPr>
    </w:p>
    <w:p w14:paraId="302BA2AD" w14:textId="77777777" w:rsidR="00BB2913" w:rsidRDefault="00BB2913" w:rsidP="00BB2913">
      <w:pPr>
        <w:spacing w:after="60" w:line="270" w:lineRule="auto"/>
      </w:pPr>
    </w:p>
    <w:p w14:paraId="1F60BE6A" w14:textId="77777777" w:rsidR="00BB2913" w:rsidRDefault="00BB2913" w:rsidP="00BB2913">
      <w:pPr>
        <w:spacing w:after="60" w:line="270" w:lineRule="auto"/>
      </w:pPr>
    </w:p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8.4 Riscos e mitigação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230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4032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Mitigação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Atraso na assinatura do aditivo de licença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Ativação da mitigação após o início do congelamento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Assinatura até 03/11/2026 e acompanhamento semanal do provisionamento</w:t>
            </w:r>
          </w:p>
        </w:tc>
      </w:tr>
      <w:tr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Bloqueio de automação legítima de parceiros</w:t>
            </w:r>
          </w:p>
        </w:tc>
        <w:tc>
          <w:tcPr>
            <w:tcW w:type="dxa" w:w="230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Interrupção de cotações de canais autorizados</w:t>
            </w:r>
          </w:p>
        </w:tc>
        <w:tc>
          <w:tcPr>
            <w:tcW w:type="dxa" w:w="4032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Período em modo de monitoramento e lista de automações permitidas validada pela Lumina</w:t>
            </w:r>
          </w:p>
        </w:tc>
      </w:tr>
    </w:tbl>
    <w:p w14:paraId="0C5AB9CA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9.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Cronograma Macro</w:t>
      </w:r>
    </w:p>
    <w:p>
      <w:pPr>
        <w:spacing w:after="120" w:line="276" w:lineRule="auto"/>
      </w:pPr>
      <w:r>
        <w:t>O cronograma soma 4 a 5 semanas; o planejamento ocorre durante o provisionamento da licença, e as etapas seguintes começam com a licença ativa.</w:t>
      </w:r>
    </w:p>
    <w:p>
      <w:pPr>
        <w:spacing w:after="120" w:line="276" w:lineRule="auto"/>
      </w:pPr>
      <w:r>
        <w:t>Planejamento (1 semana), monitoramento (2 semanas) e ativação com aceite (1 a 2 semanas), concluídos antes de 15/12/2026.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3024"/>
        <w:gridCol w:w="1944"/>
        <w:gridCol w:w="1296"/>
        <w:gridCol w:w="1584"/>
      </w:tblGrid>
      <w:tr w:rsidR="000025B6" w14:paraId="3B67D474" w14:textId="77777777">
        <w:trPr>
          <w:tblHeader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C4EC7D" w14:textId="77777777" w:rsidR="0039468C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B1572C" w14:textId="77777777" w:rsidR="0039468C" w:rsidRDefault="00000000"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69EBB4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Dependência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84457C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6A91DF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Evidência</w:t>
            </w:r>
          </w:p>
        </w:tc>
      </w:tr>
      <w:tr w:rsidR="000025B6" w14:paraId="3F1FC04D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E3199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Planejamento e levantamento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Mapear rotas do simulador, automações permitidas e desenhar a política de gestão de bots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F6ACF0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Aditivo de licença assinado e provisionamento iniciado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1C635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semana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1CAC2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Documento de desenho da política</w:t>
            </w:r>
          </w:p>
        </w:tc>
      </w:tr>
      <w:tr w:rsidR="000025B6" w14:paraId="2299E885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84597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Implantação em modo de monitoramento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Configurar o Bot Manager Premier em produção sem ação de bloqueio e coletar a telemetria de robôs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928621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Licença provisionada pela Akamai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30851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2 semanas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6DCF4A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Configuração em modo de monitoramento, Relatório de telemetria inicial</w:t>
            </w:r>
          </w:p>
        </w:tc>
      </w:tr>
      <w:tr w:rsidR="000025B6" w14:paraId="02252140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A0166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Ativação da mitigação e aceite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Ativar as respostas por segmento em janela aprovada, ajustar a política e obter o aceite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A4147D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Aprovação da janela de mudança pela Lumina antes de 15/12/2026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6D146F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a 2 semanas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B5DBA9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Mitigação ativa em produção, Documentação as-built, Termo de aceite</w:t>
            </w:r>
          </w:p>
        </w:tc>
      </w:tr>
    </w:tbl>
    <w:p w14:paraId="613B77DA" w14:textId="77777777" w:rsidR="00BB0D50" w:rsidRDefault="00BB0D50">
      <w:pPr>
        <w:spacing w:after="60" w:line="276" w:lineRule="auto"/>
        <w:rPr>
          <w:i/>
          <w:iCs/>
          <w:color w:val="6B7280"/>
          <w:sz w:val="18"/>
          <w:szCs w:val="18"/>
        </w:rPr>
      </w:pPr>
    </w:p>
    <w:p w14:paraId="1C6D7A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10.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Critérios de Aceite</w:t>
      </w:r>
    </w:p>
    <w:p>
      <w:pPr>
        <w:spacing w:after="120" w:line="276" w:lineRule="auto"/>
      </w:pPr>
      <w:r>
        <w:t>A aceitação seguirá os critérios mínimos registrados na matriz de rastreabilidade. A POPULOS propõe, como instrumento complementar de apoio, checklists por entrega, sem prejuízo dos marcos formais de aceite do projeto: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Bot Manager Premier ativo nas rotas do simulador de cotação indicadas pela Lumina, com relatório de telemetria que separa as requisições em humanas e automatizadas por segmento durante a janela de observação acordada.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Respostas por segmento de robô configuradas e ativas em produção, verificadas por teste controlado com cliente automatizado que se apresenta como navegador e registradas na telemetria.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Mitigação ativada em produção e termo de aceite assinado antes de 15/12/2026, com plano de reversão documentado.</w:t>
      </w:r>
    </w:p>
    <w:p w14:paraId="26E65A66" w14:textId="77777777" w:rsidR="00BB2913" w:rsidRDefault="00BB2913" w:rsidP="00BB2913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5A687A1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Marcos formais de aceite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Marcos: aditivo assinado, modo de monitoramento ativo, mitigação ativa e aceite antes de 15/12/2026.</w:t>
            </w:r>
          </w:p>
        </w:tc>
      </w:tr>
    </w:tbl>
    <w:p w14:paraId="20ADFD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Garantia Técnica</w:t>
      </w:r>
    </w:p>
    <w:p>
      <w:pPr>
        <w:spacing w:after="120" w:line="276" w:lineRule="auto"/>
      </w:pPr>
      <w:r>
        <w:t>A garantia técnica cobre a correção de defeitos diretamente atribuíveis aos serviços executados pela POPULOS. O prazo consta do quadro Garantia e vigência.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04B9EB6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Garantia e vigência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POPULOS corrigirá defeitos diretamente atribuíveis aos serviços executados por 90 dias corridos após o aceite final</w:t>
            </w:r>
          </w:p>
        </w:tc>
      </w:tr>
    </w:tbl>
    <w:p w14:paraId="4251E7E2" w14:textId="77777777" w:rsidR="00F71DA0" w:rsidRDefault="00F71DA0">
      <w:pPr>
        <w:spacing w:after="120" w:line="276" w:lineRule="auto"/>
      </w:pPr>
    </w:p>
    <w:p>
      <w:pPr>
        <w:spacing w:after="120" w:line="276" w:lineRule="auto"/>
      </w:pPr>
      <w:r>
        <w:t>A POPULOS permanece à disposição para detalhar esta proposta com a Lumina Seguros.</w:t>
      </w:r>
    </w:p>
    <w:p w14:paraId="5A1A0001" w14:textId="77777777" w:rsidR="0039468C" w:rsidRDefault="00000000">
      <w:pPr>
        <w:pStyle w:val="Ttulo2"/>
        <w:keepNext/>
        <w:keepLines/>
        <w:spacing w:before="220" w:after="90"/>
      </w:pPr>
      <w:r>
        <w:rPr>
          <w:rFonts w:ascii="Lato" w:hAnsi="Lato"/>
          <w:b/>
          <w:bCs/>
          <w:sz w:val="25"/>
        </w:rPr>
        <w:t>Condições de atendimento</w:t>
      </w:r>
    </w:p>
    <w:p>
      <w:pPr>
        <w:spacing w:after="120" w:line="276" w:lineRule="auto"/>
      </w:pPr>
      <w:r>
        <w:t>Durante a execução e a garantia, a POPULOS adotará o padrão institucional de atendimento abaixo para falhas atribuíveis aos serviços executados.</w:t>
      </w:r>
    </w:p>
    <w:p w14:paraId="56D09804" w14:textId="77777777" w:rsidR="00263911" w:rsidRDefault="00263911">
      <w:pPr>
        <w:spacing w:after="120" w:line="276" w:lineRule="auto"/>
      </w:pPr>
    </w:p>
    <w:p w14:paraId="7FC73105" w14:textId="77777777" w:rsidR="00263911" w:rsidRDefault="00263911">
      <w:pPr>
        <w:spacing w:after="120" w:line="276" w:lineRule="auto"/>
      </w:pPr>
    </w:p>
    <w:tbl>
      <w:tblPr>
        <w:tblpPr w:leftFromText="141" w:rightFromText="141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65"/>
        <w:gridCol w:w="3695"/>
      </w:tblGrid>
      <w:tr w:rsidR="000025B6" w14:paraId="086C88CC" w14:textId="77777777" w:rsidTr="00263911">
        <w:trPr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C13410" w14:textId="77777777" w:rsidR="0039468C" w:rsidRDefault="00000000" w:rsidP="00263911">
            <w:r>
              <w:rPr>
                <w:b/>
                <w:bCs/>
                <w:color w:val="FFFFFF"/>
              </w:rPr>
              <w:lastRenderedPageBreak/>
              <w:t>Severidade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7424D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Resposta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B73A7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Resolução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4A0347" w14:textId="77777777" w:rsidR="0039468C" w:rsidRDefault="00000000" w:rsidP="00263911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025B6" w14:paraId="60073BC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8B0F5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ALTA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97F59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 hora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732B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1E8A8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alto impacto que possivelmente coloque em risco o ambiente de produção. A apresentação de uma solução de contorno (workaround) também é considerada tempo de solução.</w:t>
            </w:r>
          </w:p>
        </w:tc>
      </w:tr>
      <w:tr w:rsidR="000025B6" w14:paraId="3EC3F82F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C93A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MÉDIA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9A2D7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91A41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8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0E4B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baixo impacto, podendo a maioria das funções do software ser usada; entretanto, alguma intervenção pode ser necessária. A apresentação de workaround também é considerada tempo de solução.</w:t>
            </w:r>
          </w:p>
        </w:tc>
      </w:tr>
      <w:tr w:rsidR="000025B6" w14:paraId="5BD768E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5966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4EE86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BAIXA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F878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16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E7798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ED53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Solicitações de mudança, atualizações, gerenciamento de usuários, dúvidas, novas instalações ou publicações de aplicativos e outras ações planejadas.</w:t>
            </w:r>
          </w:p>
        </w:tc>
      </w:tr>
    </w:tbl>
    <w:p w14:paraId="5A1A0003" w14:textId="43317108" w:rsidR="0039468C" w:rsidRDefault="00263911">
      <w:pPr>
        <w:spacing w:after="60"/>
      </w:pPr>
      <w:r>
        <w:br w:type="textWrapping" w:clear="all"/>
      </w:r>
    </w:p>
    <w:p w14:paraId="5FE30D07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Papéis e Responsabilidades do Projeto</w:t>
      </w:r>
    </w:p>
    <w:tbl>
      <w:tblPr>
        <w:tblW w:w="10348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13"/>
        <w:gridCol w:w="2835"/>
      </w:tblGrid>
      <w:tr w:rsidR="00F227EA" w14:paraId="6D32BE7C" w14:textId="77777777" w:rsidTr="0017666D">
        <w:trPr>
          <w:tblHeader/>
        </w:trPr>
        <w:tc>
          <w:tcPr>
            <w:tcW w:w="3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BF27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Função / Área</w:t>
            </w:r>
          </w:p>
        </w:tc>
        <w:tc>
          <w:tcPr>
            <w:tcW w:w="4513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0D71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  <w:tc>
          <w:tcPr>
            <w:tcW w:w="2835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6C76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Compromisso</w:t>
            </w:r>
          </w:p>
        </w:tc>
      </w:tr>
      <w:tr w:rsidR="00F227EA" w14:paraId="652C4FBB" w14:textId="77777777" w:rsidTr="0017666D">
        <w:tc>
          <w:tcPr>
            <w:tcW w:w="3000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29029" w14:textId="77777777" w:rsidR="00F227EA" w:rsidRDefault="00000000">
            <w:r>
              <w:rPr>
                <w:b/>
                <w:bCs/>
                <w:sz w:val="19"/>
                <w:szCs w:val="19"/>
              </w:rPr>
              <w:t>Arquiteto de soluções</w:t>
            </w:r>
          </w:p>
        </w:tc>
        <w:tc>
          <w:tcPr>
            <w:tcW w:w="4513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14B24" w14:textId="77777777" w:rsidR="00F227EA" w:rsidRDefault="00F227EA">
            <w:r>
              <w:t>Desenho da política de gestão de bots e validação técnica</w:t>
            </w:r>
          </w:p>
        </w:tc>
        <w:tc>
          <w:tcPr>
            <w:tcW w:w="2835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C5A2E" w14:textId="77777777" w:rsidR="00F227EA" w:rsidRDefault="00F227EA">
            <w:r>
              <w:t>Durante todo o projeto</w:t>
            </w:r>
          </w:p>
        </w:tc>
      </w:tr>
      <w:tr w:rsidR="00F227EA" w14:paraId="53D7511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B9B89" w14:textId="77777777" w:rsidR="00F227EA" w:rsidRDefault="00000000">
            <w:r>
              <w:rPr>
                <w:sz w:val="19"/>
                <w:szCs w:val="19"/>
              </w:rPr>
              <w:t>Engenheiro de implantação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AD879" w14:textId="77777777" w:rsidR="00F227EA" w:rsidRDefault="00000000">
            <w:r>
              <w:rPr>
                <w:sz w:val="19"/>
                <w:szCs w:val="19"/>
              </w:rPr>
              <w:t>Configuração, ajuste e ativação do Bot Manager Premier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F5D9E" w14:textId="77777777" w:rsidR="00F227EA" w:rsidRDefault="00000000">
            <w:r>
              <w:rPr>
                <w:sz w:val="19"/>
                <w:szCs w:val="19"/>
              </w:rPr>
              <w:t>Fases de implantação e ativação</w:t>
            </w:r>
          </w:p>
        </w:tc>
      </w:tr>
      <w:tr w:rsidR="00F227EA" w14:paraId="5B6E9CA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DA46A" w14:textId="77777777" w:rsidR="00F227EA" w:rsidRDefault="00000000">
            <w:r>
              <w:rPr>
                <w:sz w:val="19"/>
                <w:szCs w:val="19"/>
              </w:rPr>
              <w:t>Gerente de projeto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92290" w14:textId="77777777" w:rsidR="00F227EA" w:rsidRDefault="00000000">
            <w:r>
              <w:rPr>
                <w:sz w:val="19"/>
                <w:szCs w:val="19"/>
              </w:rPr>
              <w:t>Cronograma, janelas de mudança e aceite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FE705" w14:textId="77777777" w:rsidR="00F227EA" w:rsidRDefault="00000000">
            <w:r>
              <w:rPr>
                <w:sz w:val="19"/>
                <w:szCs w:val="19"/>
              </w:rPr>
              <w:t>Durante todo o projeto</w:t>
            </w:r>
          </w:p>
        </w:tc>
      </w:tr>
      <w:tr w:rsidR="00F227EA" w14:paraId="2EFB69EF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BC952" w14:textId="77777777" w:rsidR="00F227EA" w:rsidRDefault="00000000">
            <w:r>
              <w:rPr>
                <w:sz w:val="19"/>
                <w:szCs w:val="19"/>
              </w:rPr>
              <w:t>Lumina Seguros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719CB" w14:textId="77777777" w:rsidR="00F227EA" w:rsidRDefault="00000000">
            <w:r>
              <w:rPr>
                <w:sz w:val="19"/>
                <w:szCs w:val="19"/>
              </w:rPr>
              <w:t>Assinar o aditivo de licença com a Akamai, indicar as rotas do simulador e aprovar as janelas de mudança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553C4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1904114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Akamai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EAE15" w14:textId="77777777" w:rsidR="00F227EA" w:rsidRDefault="00000000">
            <w:r>
              <w:rPr>
                <w:sz w:val="19"/>
                <w:szCs w:val="19"/>
              </w:rPr>
              <w:t>Provisionar a licença do Bot Manager Premier após a assinatura do aditivo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90EA9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</w:tbl>
    <w:p w14:paraId="68A0A745" w14:textId="77777777" w:rsidR="00263911" w:rsidRDefault="00263911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4BCE6B76" w14:textId="17B07C63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Nota de Confidencialidade</w:t>
      </w:r>
    </w:p>
    <w:p>
      <w:pPr>
        <w:keepNext/>
        <w:spacing w:after="120" w:line="276" w:lineRule="auto"/>
      </w:pPr>
      <w:r>
        <w:t>Todas as informações deste documento são confidenciais e destinam-se exclusivamente à avaliação da proposta por Lumina Seguros e pela POPULOS.</w:t>
      </w:r>
    </w:p>
    <w:p>
      <w:pPr>
        <w:keepNext/>
        <w:spacing w:after="200" w:line="276" w:lineRule="auto"/>
      </w:pPr>
      <w:r>
        <w:t>Os direitos de propriedade intelectual sobre trabalhos preexistentes, roteiros de instalação, automações e métodos da POPULOS permanecem com a POPULOS. A documentação técnica específica do ambiente será entregue a Lumina Seguros conforme o escopo aprovado.</w:t>
      </w:r>
    </w:p>
    <w:p w14:paraId="797633B9" w14:textId="77777777" w:rsidR="00BD500C" w:rsidRDefault="00BD500C">
      <w:pPr>
        <w:spacing w:after="20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F04289C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1FA577" w14:textId="77777777" w:rsidR="00F227EA" w:rsidRPr="00803FB7" w:rsidRDefault="00000000">
            <w:pPr>
              <w:spacing w:after="60"/>
              <w:rPr>
                <w:lang w:val="en-US"/>
              </w:rPr>
            </w:pPr>
            <w:r>
              <w:rPr>
                <w:rFonts w:ascii="Lato" w:eastAsia="Lato" w:hAnsi="Lato" w:cs="Lato"/>
                <w:b/>
                <w:bCs/>
                <w:color w:val="1F2A5E"/>
                <w:lang w:val="en-US"/>
              </w:rPr>
              <w:t>POPULOS — Enterprise Sales</w:t>
            </w:r>
          </w:p>
          <w:p w14:paraId="2B1BD1D3" w14:textId="2AAA9464" w:rsidR="00F227EA" w:rsidRPr="00803FB7" w:rsidRDefault="00BD500C">
            <w:pPr>
              <w:spacing w:after="40" w:line="276" w:lineRule="auto"/>
              <w:rPr>
                <w:lang w:val="en-US"/>
              </w:rPr>
            </w:pPr>
            <w:r>
              <w:rPr>
                <w:lang w:val="en-US"/>
              </w:rPr>
              <w:t>Brazil |  +55 (11) 3021-3761</w:t>
            </w:r>
          </w:p>
          <w:p w14:paraId="654D4E69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Locations</w:t>
            </w:r>
          </w:p>
          <w:p w14:paraId="61C60C47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lang w:val="en-US"/>
              </w:rPr>
              <w:t>Deerfield Beach — 3275 W Hillsboro BLVD, FL 33442, United States</w:t>
            </w:r>
          </w:p>
          <w:p w14:paraId="05D1DC7C" w14:textId="77777777" w:rsidR="00F227EA" w:rsidRDefault="00000000">
            <w:pPr>
              <w:spacing w:line="276" w:lineRule="auto"/>
            </w:pPr>
            <w:r>
              <w:t>Av. Tamboré, 267 — Alphaville, Barueri — SP, 06460-000, Brasil</w:t>
            </w:r>
          </w:p>
        </w:tc>
      </w:tr>
    </w:tbl>
    <w:p w14:paraId="4403C193" w14:textId="77777777" w:rsidR="00263911" w:rsidRDefault="00263911" w:rsidP="00BE28E3">
      <w:pPr>
        <w:spacing w:before="100"/>
        <w:jc w:val="center"/>
        <w:rPr>
          <w:i/>
          <w:iCs/>
          <w:color w:val="6B7280"/>
          <w:sz w:val="15"/>
          <w:szCs w:val="15"/>
          <w:lang w:val="en-US"/>
        </w:rPr>
      </w:pPr>
    </w:p>
    <w:p w14:paraId="3D96BEEA" w14:textId="763E02F1" w:rsidR="00F227EA" w:rsidRPr="00803FB7" w:rsidRDefault="00000000" w:rsidP="00BE28E3">
      <w:pPr>
        <w:spacing w:before="100"/>
        <w:jc w:val="center"/>
        <w:rPr>
          <w:lang w:val="en-US"/>
        </w:rPr>
      </w:pPr>
      <w:r>
        <w:rPr>
          <w:i/>
          <w:iCs/>
          <w:color w:val="6B7280"/>
          <w:sz w:val="15"/>
          <w:szCs w:val="15"/>
          <w:lang w:val="en-US"/>
        </w:rPr>
        <w:t>Copyright © POPULOS. All rights reserved. POPULOS, the POPULOS logo, and other marks appearing herein are property of POPULOS Technology and/or one or more of its subsidiaries. All other marks are the property of their respective owners.</w:t>
      </w:r>
    </w:p>
    <w:sectPr w:rsidR="00F227EA" w:rsidRPr="00803FB7" w:rsidSect="00BC59F2">
      <w:headerReference w:type="default" r:id="rId17"/>
      <w:footerReference w:type="default" r:id="rId18"/>
      <w:pgSz w:w="12240" w:h="15840"/>
      <w:pgMar w:top="1304" w:right="1077" w:bottom="1304" w:left="107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3B45C6" w14:textId="77777777" w:rsidR="005854F8" w:rsidRDefault="005854F8">
      <w:r>
        <w:separator/>
      </w:r>
    </w:p>
  </w:endnote>
  <w:endnote w:type="continuationSeparator" w:id="0">
    <w:p w14:paraId="04629C59" w14:textId="77777777" w:rsidR="005854F8" w:rsidRDefault="00585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625736" w14:textId="77777777" w:rsidR="00F53D0F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30F5DD" w14:textId="77777777" w:rsidR="00F53D0F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B3EFD0" w14:textId="3D368F95" w:rsidR="00F227EA" w:rsidRDefault="009F3C05">
    <w:pPr>
      <w:pBdr>
        <w:top w:val="single" w:sz="6" w:space="4" w:color="6B46C1"/>
      </w:pBdr>
      <w:jc w:val="center"/>
    </w:pPr>
    <w:r>
      <w:rPr>
        <w:color w:val="6B7280"/>
        <w:sz w:val="16"/>
        <w:szCs w:val="16"/>
      </w:rPr>
      <w:t xml:space="preserve">POPULOS | AKAMAI Partner | Página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PAGE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2</w:t>
    </w:r>
    <w:r>
      <w:rPr>
        <w:b/>
        <w:bCs/>
        <w:color w:val="1F2A5E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NUMPAGES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3</w:t>
    </w:r>
    <w:r>
      <w:rPr>
        <w:b/>
        <w:bCs/>
        <w:color w:val="1F2A5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A7FB05" w14:textId="77777777" w:rsidR="005854F8" w:rsidRDefault="005854F8">
      <w:r>
        <w:separator/>
      </w:r>
    </w:p>
  </w:footnote>
  <w:footnote w:type="continuationSeparator" w:id="0">
    <w:p w14:paraId="05B877FB" w14:textId="77777777" w:rsidR="005854F8" w:rsidRDefault="00585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2FFF6" w14:textId="77777777" w:rsidR="00F53D0F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B87A19" w14:textId="77777777" w:rsidR="00F53D0F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4DE86" w14:textId="541B9CF5" w:rsidR="00F227EA" w:rsidRPr="00841401" w:rsidRDefault="00000000" w:rsidP="00841401">
    <w:pPr>
      <w:pBdr>
        <w:bottom w:val="single" w:sz="6" w:space="4" w:color="6B46C1"/>
      </w:pBdr>
      <w:jc w:val="right"/>
      <w:rPr>
        <w:color w:val="6B7280"/>
        <w:sz w:val="18"/>
        <w:szCs w:val="18"/>
      </w:rPr>
    </w:pPr>
    <w:r>
      <w:rPr>
        <w:b/>
        <w:bCs/>
        <w:color w:val="1F2A5E"/>
        <w:sz w:val="18"/>
        <w:szCs w:val="18"/>
      </w:rPr>
      <w:t>PROPOSTA TÉCNICA | Proteção contra automação no simulador de cotação de seguro auto - Lumina Seguros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8130EA"/>
    <w:multiLevelType w:val="hybridMultilevel"/>
    <w:tmpl w:val="EB1C226E"/>
    <w:lvl w:ilvl="0" w:tplc="B4B4DADA">
      <w:start w:val="1"/>
      <w:numFmt w:val="bullet"/>
      <w:lvlText w:val="●"/>
      <w:lvlJc w:val="left"/>
      <w:pPr>
        <w:ind w:left="560" w:hanging="360"/>
      </w:pPr>
      <w:rPr>
        <w:color w:val="6B46C1"/>
        <w:sz w:val="22"/>
        <w:szCs w:val="22"/>
      </w:rPr>
    </w:lvl>
    <w:lvl w:ilvl="1" w:tplc="4572AA4A">
      <w:start w:val="1"/>
      <w:numFmt w:val="bullet"/>
      <w:lvlText w:val="◦"/>
      <w:lvlJc w:val="left"/>
      <w:pPr>
        <w:ind w:left="900" w:hanging="260"/>
      </w:pPr>
    </w:lvl>
    <w:lvl w:ilvl="2" w:tplc="5D949178">
      <w:numFmt w:val="decimal"/>
      <w:lvlText w:val=""/>
      <w:lvlJc w:val="left"/>
    </w:lvl>
    <w:lvl w:ilvl="3" w:tplc="3BAA3BFE">
      <w:numFmt w:val="decimal"/>
      <w:lvlText w:val=""/>
      <w:lvlJc w:val="left"/>
    </w:lvl>
    <w:lvl w:ilvl="4" w:tplc="EE0013DC">
      <w:numFmt w:val="decimal"/>
      <w:lvlText w:val=""/>
      <w:lvlJc w:val="left"/>
    </w:lvl>
    <w:lvl w:ilvl="5" w:tplc="1FBE12FA">
      <w:numFmt w:val="decimal"/>
      <w:lvlText w:val=""/>
      <w:lvlJc w:val="left"/>
    </w:lvl>
    <w:lvl w:ilvl="6" w:tplc="4E928B7C">
      <w:numFmt w:val="decimal"/>
      <w:lvlText w:val=""/>
      <w:lvlJc w:val="left"/>
    </w:lvl>
    <w:lvl w:ilvl="7" w:tplc="77986DFE">
      <w:numFmt w:val="decimal"/>
      <w:lvlText w:val=""/>
      <w:lvlJc w:val="left"/>
    </w:lvl>
    <w:lvl w:ilvl="8" w:tplc="42644CDA">
      <w:numFmt w:val="decimal"/>
      <w:lvlText w:val=""/>
      <w:lvlJc w:val="left"/>
    </w:lvl>
  </w:abstractNum>
  <w:abstractNum w:abstractNumId="1" w15:restartNumberingAfterBreak="0">
    <w:nsid w:val="6A07502B"/>
    <w:multiLevelType w:val="hybridMultilevel"/>
    <w:tmpl w:val="AC2A4652"/>
    <w:lvl w:ilvl="0" w:tplc="4F3078CE">
      <w:start w:val="1"/>
      <w:numFmt w:val="bullet"/>
      <w:lvlText w:val="●"/>
      <w:lvlJc w:val="left"/>
      <w:pPr>
        <w:ind w:left="720" w:hanging="360"/>
      </w:pPr>
    </w:lvl>
    <w:lvl w:ilvl="1" w:tplc="F58CB7D2">
      <w:start w:val="1"/>
      <w:numFmt w:val="bullet"/>
      <w:lvlText w:val="○"/>
      <w:lvlJc w:val="left"/>
      <w:pPr>
        <w:ind w:left="1440" w:hanging="360"/>
      </w:pPr>
    </w:lvl>
    <w:lvl w:ilvl="2" w:tplc="725A7476">
      <w:start w:val="1"/>
      <w:numFmt w:val="bullet"/>
      <w:lvlText w:val="■"/>
      <w:lvlJc w:val="left"/>
      <w:pPr>
        <w:ind w:left="2160" w:hanging="360"/>
      </w:pPr>
    </w:lvl>
    <w:lvl w:ilvl="3" w:tplc="5B1803F2">
      <w:start w:val="1"/>
      <w:numFmt w:val="bullet"/>
      <w:lvlText w:val="●"/>
      <w:lvlJc w:val="left"/>
      <w:pPr>
        <w:ind w:left="2880" w:hanging="360"/>
      </w:pPr>
    </w:lvl>
    <w:lvl w:ilvl="4" w:tplc="AB486F06">
      <w:start w:val="1"/>
      <w:numFmt w:val="bullet"/>
      <w:lvlText w:val="○"/>
      <w:lvlJc w:val="left"/>
      <w:pPr>
        <w:ind w:left="3600" w:hanging="360"/>
      </w:pPr>
    </w:lvl>
    <w:lvl w:ilvl="5" w:tplc="BDB2E41A">
      <w:start w:val="1"/>
      <w:numFmt w:val="bullet"/>
      <w:lvlText w:val="■"/>
      <w:lvlJc w:val="left"/>
      <w:pPr>
        <w:ind w:left="4320" w:hanging="360"/>
      </w:pPr>
    </w:lvl>
    <w:lvl w:ilvl="6" w:tplc="4A80A58C">
      <w:start w:val="1"/>
      <w:numFmt w:val="bullet"/>
      <w:lvlText w:val="●"/>
      <w:lvlJc w:val="left"/>
      <w:pPr>
        <w:ind w:left="5040" w:hanging="360"/>
      </w:pPr>
    </w:lvl>
    <w:lvl w:ilvl="7" w:tplc="99FA9986">
      <w:start w:val="1"/>
      <w:numFmt w:val="bullet"/>
      <w:lvlText w:val="●"/>
      <w:lvlJc w:val="left"/>
      <w:pPr>
        <w:ind w:left="5760" w:hanging="360"/>
      </w:pPr>
    </w:lvl>
    <w:lvl w:ilvl="8" w:tplc="1B6682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8140C5"/>
    <w:multiLevelType w:val="hybridMultilevel"/>
    <w:tmpl w:val="067292E6"/>
    <w:lvl w:ilvl="0" w:tplc="B4B4DADA">
      <w:start w:val="1"/>
      <w:numFmt w:val="bullet"/>
      <w:lvlText w:val="●"/>
      <w:lvlJc w:val="left"/>
      <w:pPr>
        <w:ind w:left="763" w:hanging="360"/>
      </w:pPr>
      <w:rPr>
        <w:rFonts w:hint="default"/>
        <w:color w:val="6B46C1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77605820">
    <w:abstractNumId w:val="1"/>
    <w:lvlOverride w:ilvl="0">
      <w:startOverride w:val="1"/>
    </w:lvlOverride>
  </w:num>
  <w:num w:numId="2" w16cid:durableId="1448089016">
    <w:abstractNumId w:val="0"/>
  </w:num>
  <w:num w:numId="3" w16cid:durableId="1596523485">
    <w:abstractNumId w:val="2"/>
  </w:num>
  <w:num w:numId="4" w16cid:durableId="8555763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7EA"/>
    <w:rsid w:val="00040C3A"/>
    <w:rsid w:val="000439AE"/>
    <w:rsid w:val="00061930"/>
    <w:rsid w:val="000637DB"/>
    <w:rsid w:val="000B2FDA"/>
    <w:rsid w:val="000D66FE"/>
    <w:rsid w:val="000F4CAE"/>
    <w:rsid w:val="00122D97"/>
    <w:rsid w:val="00123062"/>
    <w:rsid w:val="00124352"/>
    <w:rsid w:val="0017666D"/>
    <w:rsid w:val="001D6306"/>
    <w:rsid w:val="00201DA6"/>
    <w:rsid w:val="00263911"/>
    <w:rsid w:val="002B62A7"/>
    <w:rsid w:val="003212B8"/>
    <w:rsid w:val="00367582"/>
    <w:rsid w:val="00384C04"/>
    <w:rsid w:val="0039468C"/>
    <w:rsid w:val="003D6743"/>
    <w:rsid w:val="003D68CE"/>
    <w:rsid w:val="004236FB"/>
    <w:rsid w:val="004260B1"/>
    <w:rsid w:val="004A0FD6"/>
    <w:rsid w:val="004D3A65"/>
    <w:rsid w:val="00563A4C"/>
    <w:rsid w:val="00585448"/>
    <w:rsid w:val="005854F8"/>
    <w:rsid w:val="005E1836"/>
    <w:rsid w:val="005E72CB"/>
    <w:rsid w:val="005F7E51"/>
    <w:rsid w:val="006161F1"/>
    <w:rsid w:val="00657CD9"/>
    <w:rsid w:val="00664B6A"/>
    <w:rsid w:val="006A41E5"/>
    <w:rsid w:val="007576C4"/>
    <w:rsid w:val="00803FB7"/>
    <w:rsid w:val="0081108E"/>
    <w:rsid w:val="00821580"/>
    <w:rsid w:val="00841401"/>
    <w:rsid w:val="008B4400"/>
    <w:rsid w:val="008D0CE0"/>
    <w:rsid w:val="008E6617"/>
    <w:rsid w:val="0093334E"/>
    <w:rsid w:val="00944AC1"/>
    <w:rsid w:val="00965FFC"/>
    <w:rsid w:val="009E38D4"/>
    <w:rsid w:val="009E74E3"/>
    <w:rsid w:val="009F3C05"/>
    <w:rsid w:val="00A1027D"/>
    <w:rsid w:val="00AC3773"/>
    <w:rsid w:val="00AD7401"/>
    <w:rsid w:val="00B511D1"/>
    <w:rsid w:val="00B55639"/>
    <w:rsid w:val="00BB0D50"/>
    <w:rsid w:val="00BB2913"/>
    <w:rsid w:val="00BC59F2"/>
    <w:rsid w:val="00BD500C"/>
    <w:rsid w:val="00BE28E3"/>
    <w:rsid w:val="00BF323B"/>
    <w:rsid w:val="00C21CFE"/>
    <w:rsid w:val="00C459CB"/>
    <w:rsid w:val="00C50EC5"/>
    <w:rsid w:val="00C579FF"/>
    <w:rsid w:val="00D24A21"/>
    <w:rsid w:val="00D25F5B"/>
    <w:rsid w:val="00D31BD9"/>
    <w:rsid w:val="00D45053"/>
    <w:rsid w:val="00E20C93"/>
    <w:rsid w:val="00ED213E"/>
    <w:rsid w:val="00ED2387"/>
    <w:rsid w:val="00ED4DB0"/>
    <w:rsid w:val="00F227EA"/>
    <w:rsid w:val="00F327E1"/>
    <w:rsid w:val="00F46CDF"/>
    <w:rsid w:val="00F50886"/>
    <w:rsid w:val="00F53D0F"/>
    <w:rsid w:val="00F71DA0"/>
    <w:rsid w:val="00F87B90"/>
    <w:rsid w:val="00F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2E59E"/>
  <w15:docId w15:val="{B8AFE555-A88C-F341-BD58-3C839FBA15A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74151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448"/>
    <w:pPr>
      <w:jc w:val="both"/>
    </w:p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Normal0">
    <w:name w:val="Normal0"/>
    <w:qFormat/>
    <w:rsid w:val="00AC3773"/>
    <w:pPr>
      <w:spacing w:after="200" w:line="312" w:lineRule="auto"/>
      <w:ind w:left="-6"/>
    </w:pPr>
    <w:rPr>
      <w:rFonts w:ascii="Lato" w:eastAsia="Lato" w:hAnsi="Lato" w:cs="Lato"/>
      <w:color w:val="595959"/>
      <w:sz w:val="20"/>
      <w:szCs w:val="20"/>
      <w:lang w:eastAsia="en-US"/>
    </w:rPr>
  </w:style>
  <w:style w:type="paragraph" w:customStyle="1" w:styleId="Subtitle0">
    <w:name w:val="Subtitle0"/>
    <w:basedOn w:val="Normal0"/>
    <w:next w:val="Normal0"/>
    <w:rsid w:val="00AC3773"/>
    <w:pPr>
      <w:keepNext/>
      <w:keepLines/>
    </w:pPr>
    <w:rPr>
      <w:b/>
      <w:color w:val="666666"/>
      <w:sz w:val="40"/>
      <w:szCs w:val="40"/>
    </w:rPr>
  </w:style>
  <w:style w:type="paragraph" w:styleId="Cabealho">
    <w:name w:val="header"/>
    <w:basedOn w:val="Normal"/>
    <w:link w:val="Cabealho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3773"/>
  </w:style>
  <w:style w:type="paragraph" w:styleId="Rodap">
    <w:name w:val="footer"/>
    <w:basedOn w:val="Normal"/>
    <w:link w:val="Rodap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3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aa116b-8286-452a-ad11-9bfb85584ae0">
      <Terms xmlns="http://schemas.microsoft.com/office/infopath/2007/PartnerControls"/>
    </lcf76f155ced4ddcb4097134ff3c332f>
    <TaxCatchAll xmlns="219277de-6618-4cc7-bdb8-2ede8afd49f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D9AD5308FF7D4B91152391E51B657F" ma:contentTypeVersion="19" ma:contentTypeDescription="Crie um novo documento." ma:contentTypeScope="" ma:versionID="6213242d335f4d963f0fc8e055b000e9">
  <xsd:schema xmlns:xsd="http://www.w3.org/2001/XMLSchema" xmlns:xs="http://www.w3.org/2001/XMLSchema" xmlns:p="http://schemas.microsoft.com/office/2006/metadata/properties" xmlns:ns2="57aa116b-8286-452a-ad11-9bfb85584ae0" xmlns:ns3="219277de-6618-4cc7-bdb8-2ede8afd49fb" targetNamespace="http://schemas.microsoft.com/office/2006/metadata/properties" ma:root="true" ma:fieldsID="4ce8b9b105c99073f40ae004358d12b6" ns2:_="" ns3:_="">
    <xsd:import namespace="57aa116b-8286-452a-ad11-9bfb85584ae0"/>
    <xsd:import namespace="219277de-6618-4cc7-bdb8-2ede8afd4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a116b-8286-452a-ad11-9bfb85584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f566eb4a-84a7-4f03-9cf4-83584b28a2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277de-6618-4cc7-bdb8-2ede8afd49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150c78be-d6dd-4461-b83c-1af308392aaf}" ma:internalName="TaxCatchAll" ma:showField="CatchAllData" ma:web="219277de-6618-4cc7-bdb8-2ede8afd4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6CF224-2329-41B7-AB5E-00AECA73DCE6}">
  <ds:schemaRefs>
    <ds:schemaRef ds:uri="http://schemas.microsoft.com/office/2006/metadata/properties"/>
    <ds:schemaRef ds:uri="http://schemas.microsoft.com/office/infopath/2007/PartnerControls"/>
    <ds:schemaRef ds:uri="57aa116b-8286-452a-ad11-9bfb85584ae0"/>
    <ds:schemaRef ds:uri="219277de-6618-4cc7-bdb8-2ede8afd49fb"/>
  </ds:schemaRefs>
</ds:datastoreItem>
</file>

<file path=customXml/itemProps2.xml><?xml version="1.0" encoding="utf-8"?>
<ds:datastoreItem xmlns:ds="http://schemas.openxmlformats.org/officeDocument/2006/customXml" ds:itemID="{3BA5B480-FB04-CF4D-888F-22A6B84659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F81703-7A1A-410C-944C-CACF4BA2BB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4AE9F9-6353-432E-B7B2-AD52FEF70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a116b-8286-452a-ad11-9bfb85584ae0"/>
    <ds:schemaRef ds:uri="219277de-6618-4cc7-bdb8-2ede8afd49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3449</Words>
  <Characters>20175</Characters>
  <Application>Microsoft Office Word</Application>
  <DocSecurity>0</DocSecurity>
  <Lines>567</Lines>
  <Paragraphs>326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— Lumina Seguros</dc:title>
  <dc:creator>POPULOS Sales Engineering</dc:creator>
  <cp:lastModifiedBy>Paulo Barbosa | Secbuilder</cp:lastModifiedBy>
  <cp:revision>3</cp:revision>
  <cp:lastPrinted>2026-07-23T18:30:00Z</cp:lastPrinted>
  <dcterms:created xsi:type="dcterms:W3CDTF">2026-07-23T18:30:00Z</dcterms:created>
  <dcterms:modified xsi:type="dcterms:W3CDTF">2026-07-23T18:30:00Z</dcterms:modified>
  <dc:subject>Proteção contra automação no simulador de cotação de seguro auto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0x01010010D9AD5308FF7D4B91152391E51B657F</vt:lpwstr>
  </property>
  <property fmtid="{D5CDD505-2E9C-101B-9397-08002B2CF9AE}" pid="3" name="MediaServiceImageTags">
    <vt:lpwstr/>
  </property>
</Properties>
</file>