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E2A33" w14:textId="0B40027C" w:rsidR="00AC3773" w:rsidRDefault="00B55639" w:rsidP="00AC3773">
      <w:pPr>
        <w:pStyle w:val="Subtitle0"/>
        <w:spacing w:after="0" w:line="276" w:lineRule="auto"/>
        <w:ind w:left="0"/>
        <w:rPr>
          <w:color w:val="FFFFFF" w:themeColor="background1"/>
          <w:sz w:val="48"/>
          <w:szCs w:val="48"/>
        </w:rPr>
      </w:pPr>
      <w:r>
        <w:fldChar w:fldCharType="begin"/>
      </w:r>
      <w:r>
        <w:instrText xml:space="preserve"> INCLUDEPICTURE "https://yt3.googleusercontent.com/GM9aUAG2BP22F7JircpALbMAoRz2rOY94R9NJwkmcJ8NxGaWWXNtYA3hYYKkNvVyK3_utBIL=s900-c-k-c0x00ffffff-no-rj" \* MERGEFORMATINET </w:instrText>
      </w:r>
      <w:r>
        <w:fldChar w:fldCharType="separate"/>
      </w:r>
      <w:r>
        <w:fldChar w:fldCharType="end"/>
      </w:r>
      <w:r>
        <w:rPr>
          <w:rFonts w:ascii="Open Sans" w:eastAsia="Open Sans" w:hAnsi="Open Sans" w:cs="Open Sans"/>
          <w:noProof/>
          <w:color w:val="695D46"/>
        </w:rPr>
        <w:drawing>
          <wp:anchor distT="0" distB="0" distL="114300" distR="114300" simplePos="0" relativeHeight="251659264" behindDoc="1" locked="0" layoutInCell="1" allowOverlap="1" wp14:anchorId="43DCC4BD" wp14:editId="023D3B8F">
            <wp:simplePos x="0" y="0"/>
            <wp:positionH relativeFrom="page">
              <wp:posOffset>0</wp:posOffset>
            </wp:positionH>
            <wp:positionV relativeFrom="paragraph">
              <wp:posOffset>-339984</wp:posOffset>
            </wp:positionV>
            <wp:extent cx="7781192" cy="10729945"/>
            <wp:effectExtent l="0" t="0" r="4445" b="1905"/>
            <wp:wrapNone/>
            <wp:docPr id="130306582" name="Imagem 1" descr="A blue and white background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582" name="Imagem 1" descr="A blue and white background with text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781192" cy="10729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754C45" w14:textId="7E032A73" w:rsidR="00C50EC5" w:rsidRDefault="00C50EC5" w:rsidP="00C50EC5">
      <w:pPr>
        <w:pStyle w:val="Subtitle0"/>
        <w:spacing w:after="0" w:line="276" w:lineRule="auto"/>
        <w:ind w:left="0"/>
        <w:rPr>
          <w:color w:val="FFFFFF" w:themeColor="background1"/>
          <w:sz w:val="48"/>
          <w:szCs w:val="48"/>
        </w:rPr>
      </w:pPr>
    </w:p>
    <w:p w14:paraId="3A5E188D" w14:textId="00A8B694" w:rsidR="00C50EC5" w:rsidRDefault="00C50EC5" w:rsidP="00C50EC5">
      <w:pPr>
        <w:pStyle w:val="Subtitle0"/>
        <w:spacing w:after="0" w:line="276" w:lineRule="auto"/>
        <w:ind w:left="0"/>
        <w:rPr>
          <w:color w:val="FFFFFF" w:themeColor="background1"/>
          <w:sz w:val="48"/>
          <w:szCs w:val="48"/>
        </w:rPr>
      </w:pPr>
    </w:p>
    <w:p w14:paraId="323181CB" w14:textId="00855A1A" w:rsidR="00C50EC5" w:rsidRDefault="00C50EC5" w:rsidP="00C50EC5">
      <w:pPr>
        <w:pStyle w:val="Subtitle0"/>
        <w:spacing w:after="0" w:line="276" w:lineRule="auto"/>
        <w:ind w:left="0"/>
        <w:rPr>
          <w:color w:val="FFFFFF" w:themeColor="background1"/>
          <w:sz w:val="48"/>
          <w:szCs w:val="48"/>
        </w:rPr>
      </w:pPr>
    </w:p>
    <w:p w14:paraId="1643B38F" w14:textId="3A5BA659" w:rsidR="00C50EC5" w:rsidRDefault="00C50EC5" w:rsidP="00C50EC5">
      <w:pPr>
        <w:pStyle w:val="Subtitle0"/>
        <w:spacing w:after="0" w:line="276" w:lineRule="auto"/>
        <w:ind w:left="0"/>
        <w:rPr>
          <w:color w:val="FFFFFF" w:themeColor="background1"/>
          <w:sz w:val="48"/>
          <w:szCs w:val="48"/>
        </w:rPr>
      </w:pPr>
    </w:p>
    <w:p w14:paraId="0EB4215D" w14:textId="0767440C" w:rsidR="00C50EC5" w:rsidRDefault="00C50EC5" w:rsidP="00C50EC5">
      <w:pPr>
        <w:pStyle w:val="Subtitle0"/>
        <w:spacing w:after="0" w:line="276" w:lineRule="auto"/>
        <w:ind w:left="0"/>
        <w:rPr>
          <w:color w:val="FFFFFF" w:themeColor="background1"/>
          <w:sz w:val="48"/>
          <w:szCs w:val="48"/>
        </w:rPr>
      </w:pPr>
    </w:p>
    <w:p w14:paraId="0DE965B7" w14:textId="2148EEE9" w:rsidR="00C50EC5" w:rsidRDefault="00C50EC5" w:rsidP="00C50EC5">
      <w:pPr>
        <w:pStyle w:val="Subtitle0"/>
        <w:spacing w:after="0" w:line="276" w:lineRule="auto"/>
        <w:ind w:left="0"/>
        <w:rPr>
          <w:color w:val="FFFFFF" w:themeColor="background1"/>
          <w:sz w:val="48"/>
          <w:szCs w:val="48"/>
        </w:rPr>
      </w:pPr>
    </w:p>
    <w:p w14:paraId="047235B5" w14:textId="360FA79E" w:rsidR="00C50EC5" w:rsidRDefault="00C50EC5" w:rsidP="00C50EC5">
      <w:pPr>
        <w:pStyle w:val="Subtitle0"/>
        <w:spacing w:after="0" w:line="276" w:lineRule="auto"/>
        <w:ind w:left="0"/>
        <w:rPr>
          <w:color w:val="FFFFFF" w:themeColor="background1"/>
          <w:sz w:val="48"/>
          <w:szCs w:val="48"/>
        </w:rPr>
      </w:pPr>
    </w:p>
    <w:p w14:paraId="38E5ED0D" w14:textId="307D5FAD" w:rsidR="00C50EC5" w:rsidRDefault="00C50EC5" w:rsidP="00C50EC5">
      <w:pPr>
        <w:pStyle w:val="Subtitle0"/>
        <w:spacing w:after="0" w:line="276" w:lineRule="auto"/>
        <w:ind w:left="0"/>
        <w:rPr>
          <w:color w:val="FFFFFF" w:themeColor="background1"/>
          <w:sz w:val="48"/>
          <w:szCs w:val="48"/>
        </w:rPr>
      </w:pPr>
    </w:p>
    <w:p w14:paraId="51E2F662" w14:textId="4F63DEF6" w:rsidR="00C50EC5" w:rsidRPr="009A297D" w:rsidRDefault="00C50EC5" w:rsidP="00C50EC5">
      <w:pPr>
        <w:pStyle w:val="Subtitle0"/>
        <w:spacing w:after="0" w:line="276" w:lineRule="auto"/>
        <w:ind w:left="0" w:firstLine="1134"/>
        <w:rPr>
          <w:color w:val="FFFFFF" w:themeColor="background1"/>
          <w:sz w:val="48"/>
          <w:szCs w:val="48"/>
        </w:rPr>
      </w:pPr>
      <w:r>
        <w:rPr>
          <w:color w:val="FFFFFF" w:themeColor="background1"/>
          <w:sz w:val="48"/>
          <w:szCs w:val="48"/>
        </w:rPr>
        <w:t>PROPOSTA TÉCNICA</w:t>
      </w:r>
    </w:p>
    <w:p w14:paraId="0B130125" w14:textId="6D9BC620" w:rsidR="00C50EC5" w:rsidRDefault="00C50EC5" w:rsidP="00C50EC5">
      <w:pPr>
        <w:pStyle w:val="Subtitle0"/>
        <w:spacing w:after="0" w:line="276" w:lineRule="auto"/>
        <w:ind w:firstLine="1134"/>
        <w:rPr>
          <w:color w:val="FFFFFF" w:themeColor="background1"/>
        </w:rPr>
      </w:pPr>
    </w:p>
    <w:p>
      <w:pPr>
        <w:pStyle w:val="Subtitle0"/>
        <w:spacing w:after="0" w:line="276" w:lineRule="auto"/>
        <w:ind w:left="1134" w:right="758"/>
        <w:rPr>
          <w:b w:val="0"/>
          <w:bCs/>
          <w:color w:val="FFFFFF" w:themeColor="background1"/>
        </w:rPr>
      </w:pPr>
      <w:r>
        <w:rPr>
          <w:b w:val="0"/>
          <w:bCs/>
          <w:color w:val="FFFFFF" w:themeColor="background1"/>
        </w:rPr>
        <w:t>Proteção contra automação no simulador de cotação de seguro auto · Lumina Seguros · LUMINA-BOT-2026-09</w:t>
      </w:r>
    </w:p>
    <w:p>
      <w:pPr>
        <w:pStyle w:val="Normal0"/>
        <w:ind w:firstLine="1134"/>
        <w:rPr>
          <w:color w:val="FFFFFF" w:themeColor="background1"/>
        </w:rPr>
      </w:pPr>
      <w:r>
        <w:rPr>
          <w:color w:val="FFFFFF" w:themeColor="background1"/>
        </w:rPr>
        <w:t>EMPRESA: Lumina Seguros</w:t>
      </w:r>
    </w:p>
    <w:p>
      <w:pPr>
        <w:pStyle w:val="Normal0"/>
        <w:spacing w:after="0" w:line="276" w:lineRule="auto"/>
        <w:ind w:firstLine="1134"/>
        <w:rPr>
          <w:color w:val="FFFFFF" w:themeColor="background1"/>
        </w:rPr>
      </w:pPr>
      <w:r>
        <w:rPr>
          <w:color w:val="FFFFFF" w:themeColor="background1"/>
        </w:rPr>
        <w:t>| SETEMBRO 2026 |</w:t>
      </w:r>
    </w:p>
    <w:p w14:paraId="498C438A" w14:textId="799C8663" w:rsidR="00F227EA" w:rsidRDefault="00B55639" w:rsidP="00BC59F2">
      <w:pPr>
        <w:spacing w:line="240" w:lineRule="exact"/>
        <w:jc w:val="left"/>
        <w:sectPr w:rsidR="00F227EA">
          <w:headerReference w:type="default" r:id="rId12"/>
          <w:footerReference w:type="default" r:id="rId13"/>
          <w:headerReference w:type="first" r:id="rId14"/>
          <w:footerReference w:type="first" r:id="rId15"/>
          <w:pgSz w:w="12240" w:h="15840"/>
          <w:pgMar w:top="0" w:right="0" w:bottom="0" w:left="0" w:header="0" w:footer="0" w:gutter="0"/>
          <w:cols w:space="720"/>
          <w:titlePg/>
          <w:docGrid w:linePitch="360"/>
        </w:sectPr>
      </w:pPr>
      <w:r>
        <w:rPr>
          <w:noProof/>
        </w:rPr>
        <w:drawing>
          <wp:anchor distT="0" distB="0" distL="114300" distR="114300" simplePos="0" relativeHeight="251660288" behindDoc="1" locked="0" layoutInCell="1" allowOverlap="1" wp14:anchorId="305B9463" wp14:editId="09D1AD0E">
            <wp:simplePos x="0" y="0"/>
            <wp:positionH relativeFrom="column">
              <wp:posOffset>2580640</wp:posOffset>
            </wp:positionH>
            <wp:positionV relativeFrom="paragraph">
              <wp:posOffset>499745</wp:posOffset>
            </wp:positionV>
            <wp:extent cx="2092960" cy="2092960"/>
            <wp:effectExtent l="0" t="0" r="2540" b="2540"/>
            <wp:wrapNone/>
            <wp:docPr id="497703951" name="Imagem 2" descr="Logo do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do cli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6641" cy="20966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7EEC9"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1.  </w:t>
      </w:r>
      <w:r>
        <w:rPr>
          <w:rFonts w:ascii="Lato" w:eastAsia="Lato" w:hAnsi="Lato" w:cs="Lato"/>
          <w:b/>
          <w:bCs/>
          <w:color w:val="1F2A5E"/>
          <w:sz w:val="30"/>
          <w:szCs w:val="30"/>
        </w:rPr>
        <w:t>Sobre a POPULOS</w:t>
      </w:r>
    </w:p>
    <w:p w14:paraId="3C604CD7" w14:textId="77777777" w:rsidR="00F227EA" w:rsidRDefault="00000000">
      <w:pPr>
        <w:spacing w:after="120" w:line="276" w:lineRule="auto"/>
      </w:pPr>
      <w:r>
        <w:t>A POPULOS nasceu em São Paulo com o objetivo de levar o futuro para organizações de todos os tipos e tamanhos, através da entrega de soluções que têm o poder de transformar radicalmente a forma como as pessoas trabalham, criam e colaboram.</w:t>
      </w:r>
    </w:p>
    <w:p w14:paraId="5570BA4F" w14:textId="61F7A7ED" w:rsidR="00F227EA" w:rsidRDefault="00000000">
      <w:pPr>
        <w:spacing w:after="120" w:line="276" w:lineRule="auto"/>
      </w:pPr>
      <w:r>
        <w:t>Muito mais do que entregar ferramentas tecnológicas, temos como objetivo ajudar organizações a pensar e executar o trabalho de forma diferente, entrando na era do trabalho 3.0. A POPULOS é especialista e líder na América Latina em soluções de Segurança, End-User Computing, Infraestrutura, Redes e Cloud.</w:t>
      </w:r>
    </w:p>
    <w:p w14:paraId="60A8393F" w14:textId="77777777" w:rsidR="00F227EA" w:rsidRDefault="00000000">
      <w:pPr>
        <w:spacing w:after="120" w:line="276" w:lineRule="auto"/>
      </w:pPr>
      <w:r>
        <w:t>Somos um agente da transformação digital. Nossa missão é compartilhar a visão do futuro do trabalho e entregar os meios para que organizações obtenham os melhores resultados em um mundo que se transforma rápido, suprindo os interesses das áreas de TI, segurança e operações.</w:t>
      </w:r>
    </w:p>
    <w:p>
      <w:pPr>
        <w:pStyle w:val="Ttulo2"/>
        <w:keepNext/>
        <w:keepLines/>
        <w:spacing w:before="220" w:after="90"/>
      </w:pPr>
      <w:r>
        <w:rPr>
          <w:rFonts w:ascii="Lato" w:eastAsia="Lato" w:hAnsi="Lato" w:cs="Lato"/>
          <w:b/>
          <w:bCs/>
          <w:sz w:val="25"/>
          <w:szCs w:val="25"/>
        </w:rPr>
        <w:t>Sobre a Akamai</w:t>
      </w:r>
    </w:p>
    <w:p>
      <w:pPr>
        <w:spacing w:after="120" w:line="276" w:lineRule="auto"/>
      </w:pPr>
      <w:r>
        <w:t>A Akamai opera uma plataforma distribuída de entrega e segurança na borda, que a Lumina já utiliza para entrega das suas propriedades web e proteção de aplicações.</w:t>
      </w:r>
    </w:p>
    <w:p>
      <w:pPr>
        <w:spacing w:after="120" w:line="276" w:lineRule="auto"/>
      </w:pPr>
      <w:r>
        <w:t>O Bot Manager Premier classifica as requisições na borda e aplica ações graduais à automação identificada, preservando o tráfego legítimo do simulador de cotação.</w:t>
      </w:r>
    </w:p>
    <w:p>
      <w:pPr>
        <w:pStyle w:val="Ttulo2"/>
        <w:keepNext/>
        <w:keepLines/>
        <w:spacing w:before="220" w:after="90"/>
      </w:pPr>
      <w:r>
        <w:rPr>
          <w:rFonts w:ascii="Lato" w:eastAsia="Lato" w:hAnsi="Lato" w:cs="Lato"/>
          <w:b/>
          <w:bCs/>
          <w:sz w:val="25"/>
          <w:szCs w:val="25"/>
        </w:rPr>
        <w:t>Parceria POPULOS e Akamai</w:t>
      </w:r>
    </w:p>
    <w:p>
      <w:pPr>
        <w:spacing w:after="120" w:line="276" w:lineRule="auto"/>
      </w:pPr>
      <w:r>
        <w:t>A POPULOS é parceira Akamai e já presta à Lumina os serviços de implantação e sustentação do ambiente atual.</w:t>
      </w:r>
    </w:p>
    <w:p>
      <w:pPr>
        <w:pStyle w:val="PargrafodaLista"/>
        <w:numPr>
          <w:ilvl w:val="0"/>
          <w:numId w:val="3"/>
        </w:numPr>
        <w:spacing w:after="120" w:line="276" w:lineRule="auto"/>
      </w:pPr>
      <w:r>
        <w:t>Arquitetura e configuração de Bot Manager Premier</w:t>
      </w:r>
    </w:p>
    <w:p>
      <w:pPr>
        <w:pStyle w:val="PargrafodaLista"/>
        <w:numPr>
          <w:ilvl w:val="0"/>
          <w:numId w:val="3"/>
        </w:numPr>
        <w:spacing w:after="120" w:line="276" w:lineRule="auto"/>
      </w:pPr>
      <w:r>
        <w:t>Configuração de propriedades Ion e políticas de segurança Akamai</w:t>
      </w:r>
    </w:p>
    <w:p>
      <w:pPr>
        <w:pStyle w:val="PargrafodaLista"/>
        <w:numPr>
          <w:ilvl w:val="0"/>
          <w:numId w:val="3"/>
        </w:numPr>
        <w:spacing w:after="120" w:line="276" w:lineRule="auto"/>
      </w:pPr>
      <w:r>
        <w:t>Gestão de mudanças em produção com reversão controlada</w:t>
      </w:r>
    </w:p>
    <w:p>
      <w:pPr>
        <w:spacing w:after="120" w:line="276" w:lineRule="auto"/>
      </w:pPr>
      <w:r>
        <w:t>A composição final da equipe será confirmada no plano de projeto, preservando as competências exigidas para cada frente.</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3AFBBE49"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Aderência e qualificações</w:t>
            </w:r>
          </w:p>
          <w:p>
            <w:pPr>
              <w:keepLines/>
              <w:spacing w:before="40" w:after="0"/>
            </w:pPr>
            <w:r>
              <w:rPr>
                <w:rFonts w:ascii="Lato" w:hAnsi="Lato"/>
                <w:b w:val="0"/>
                <w:sz w:val="17"/>
              </w:rPr>
              <w:t>Equipe POPULOS com experiência na configuração de Bot Manager Premier e no ambiente Akamai da Lumina.</w:t>
            </w:r>
          </w:p>
        </w:tc>
      </w:tr>
    </w:tbl>
    <w:p w14:paraId="594D7819" w14:textId="77777777" w:rsidR="00ED2387" w:rsidRDefault="00ED2387">
      <w:pPr>
        <w:pStyle w:val="Ttulo1"/>
        <w:keepNext/>
        <w:keepLines/>
        <w:pBdr>
          <w:bottom w:val="single" w:sz="6" w:space="4" w:color="6B46C1"/>
        </w:pBdr>
        <w:spacing w:before="320" w:after="140"/>
        <w:rPr>
          <w:rFonts w:ascii="Lato" w:eastAsia="Lato" w:hAnsi="Lato" w:cs="Lato"/>
          <w:b/>
          <w:bCs/>
          <w:color w:val="6B46C1"/>
          <w:sz w:val="30"/>
          <w:szCs w:val="30"/>
        </w:rPr>
      </w:pPr>
    </w:p>
    <w:p w14:paraId="66BFB71B" w14:textId="0C054DC3"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2.  </w:t>
      </w:r>
      <w:r>
        <w:rPr>
          <w:rFonts w:ascii="Lato" w:eastAsia="Lato" w:hAnsi="Lato" w:cs="Lato"/>
          <w:b/>
          <w:bCs/>
          <w:color w:val="1F2A5E"/>
          <w:sz w:val="30"/>
          <w:szCs w:val="30"/>
        </w:rPr>
        <w:t>Sumário Executivo</w:t>
      </w:r>
    </w:p>
    <w:p>
      <w:pPr>
        <w:spacing w:after="120" w:line="276" w:lineRule="auto"/>
      </w:pPr>
      <w:r>
        <w:rPr>
          <w:b/>
          <w:bCs/>
        </w:rPr>
        <w:t>A Lumina Seguros identificou que o simulador de cotação de seguro auto recebe milhares de cotações por hora vindas de robôs que se passam por navegadores comuns e copiam a tabela de preços. Como cada cotação consulta dois bureaus de dados pagos por consulta, e a Lumina estima que pelo menos metade das cotações seja automatizada, a raspagem também eleva o custo operacional.</w:t>
      </w:r>
    </w:p>
    <w:p>
      <w:pPr>
        <w:spacing w:after="120" w:line="276" w:lineRule="auto"/>
      </w:pPr>
      <w:r>
        <w:t>A POPULOS propõe a implantação do Bot Manager Premier sobre a borda Akamai que a Lumina já utiliza, com período inicial em modo de monitoramento, ajuste das ações por segmento de tráfego e ativação da mitigação em produção, acompanhada de relatório de classificação do tráfego do simulador.</w:t>
      </w:r>
    </w:p>
    <w:p>
      <w:pPr>
        <w:keepLines/>
        <w:spacing w:after="120" w:line="276" w:lineRule="auto"/>
      </w:pPr>
      <w:r>
        <w:t>Viabilidade frente ao lançamento de 15/01/2027: a implantação estimada em 4 a 5 semanas, contada a partir de 24/09/2026, termina entre 22/10/2026 e 29/10/2026. A licença é contratada diretamente com a Akamai por aditivo, com provisionamento em até 10 dias úteis após a assinatura; por isso a data real de conclusão é condicional à assinatura do aditivo. Para concluir antes do congelamento de mudanças (15/12/2026 a 05/01/2027), o aditivo precisa estar assinado até 23/10/2026 e a licença ativa até 09/11/2026.</w:t>
      </w:r>
    </w:p>
    <w:p>
      <w:pPr>
        <w:pStyle w:val="PargrafodaLista"/>
        <w:numPr>
          <w:ilvl w:val="0"/>
          <w:numId w:val="2"/>
        </w:numPr>
        <w:spacing w:after="60" w:line="270" w:lineRule="auto"/>
      </w:pPr>
      <w:r>
        <w:rPr>
          <w:b/>
          <w:bCs/>
        </w:rPr>
        <w:t>Proteção contra automação no simulador de cotação — Bot Manager Premier.</w:t>
      </w:r>
    </w:p>
    <w:p>
      <w:pPr>
        <w:spacing w:after="60" w:line="276" w:lineRule="auto"/>
      </w:pPr>
      <w:r>
        <w:rPr>
          <w:b/>
          <w:bCs/>
        </w:rPr>
        <w:t>Esta proposta cobre a implantação do Bot Manager Premier no simulador de cotação de seguro auto. O ambiente atual (Ion, App &amp; API Protector e Edge DNS) permanece como está.</w:t>
      </w:r>
    </w:p>
    <w:p w14:paraId="71911788" w14:textId="77777777" w:rsidR="003D6743" w:rsidRDefault="003D6743">
      <w:pPr>
        <w:spacing w:after="60" w:line="276"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60F0B8BA"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Modelo de fornecimento</w:t>
            </w:r>
          </w:p>
          <w:p>
            <w:pPr>
              <w:keepLines/>
              <w:spacing w:before="40" w:after="0"/>
            </w:pPr>
            <w:r>
              <w:rPr>
                <w:rFonts w:ascii="Lato" w:hAnsi="Lato"/>
                <w:b w:val="0"/>
                <w:sz w:val="17"/>
              </w:rPr>
              <w:t>Contratação direta pela Lumina com a Akamai: a licença do Bot Manager será adicionada ao contrato direto entre a Lumina e a Akamai, por aditivo, com co-terminação em 31/03/2027. A POPULOS presta apenas os serviços.</w:t>
            </w:r>
          </w:p>
        </w:tc>
      </w:tr>
    </w:tbl>
    <w:p w14:paraId="0DEBA0B3" w14:textId="77777777" w:rsidR="00F227EA" w:rsidRDefault="00000000">
      <w:pPr>
        <w:pStyle w:val="Ttulo2"/>
        <w:keepNext/>
        <w:keepLines/>
        <w:spacing w:before="220" w:after="90"/>
      </w:pPr>
      <w:r>
        <w:rPr>
          <w:rFonts w:ascii="Lato" w:eastAsia="Lato" w:hAnsi="Lato" w:cs="Lato"/>
          <w:b/>
          <w:bCs/>
          <w:sz w:val="25"/>
          <w:szCs w:val="25"/>
        </w:rPr>
        <w:t>Objetivos do Projeto</w:t>
      </w:r>
    </w:p>
    <w:p>
      <w:pPr>
        <w:pStyle w:val="PargrafodaLista"/>
        <w:numPr>
          <w:ilvl w:val="0"/>
          <w:numId w:val="2"/>
        </w:numPr>
        <w:spacing w:after="60" w:line="270" w:lineRule="auto"/>
      </w:pPr>
      <w:r>
        <w:t>Conter a raspagem automatizada do simulador de cotação de seguro auto que copia a tabela de preços (REQ-01)</w:t>
      </w:r>
    </w:p>
    <w:p>
      <w:pPr>
        <w:pStyle w:val="PargrafodaLista"/>
        <w:numPr>
          <w:ilvl w:val="0"/>
          <w:numId w:val="2"/>
        </w:numPr>
        <w:spacing w:after="60" w:line="270" w:lineRule="auto"/>
      </w:pPr>
      <w:r>
        <w:t>Reduzir as consultas a bureaus de dados disparadas por cotações automatizadas, com visibilidade do volume de robôs (REQ-01, REQ-03)</w:t>
      </w:r>
    </w:p>
    <w:p>
      <w:pPr>
        <w:pStyle w:val="PargrafodaLista"/>
        <w:numPr>
          <w:ilvl w:val="0"/>
          <w:numId w:val="2"/>
        </w:numPr>
        <w:spacing w:after="60" w:line="270" w:lineRule="auto"/>
      </w:pPr>
      <w:r>
        <w:t>Ativar a proteção em produção antes do lançamento do novo seguro auto em 15/01/2027, fora do congelamento de fim de ano (REQ-02)</w:t>
      </w:r>
    </w:p>
    <w:p w14:paraId="6845968B" w14:textId="77777777" w:rsidR="00BC59F2" w:rsidRDefault="00BC59F2" w:rsidP="00BC59F2">
      <w:pPr>
        <w:spacing w:after="60" w:line="270" w:lineRule="auto"/>
      </w:pPr>
    </w:p>
    <w:p w14:paraId="60915E81" w14:textId="77777777" w:rsidR="00BC59F2" w:rsidRDefault="00BC59F2" w:rsidP="00BC59F2">
      <w:pPr>
        <w:spacing w:after="60" w:line="270" w:lineRule="auto"/>
      </w:pPr>
    </w:p>
    <w:p w14:paraId="06204E69"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3.  </w:t>
      </w:r>
      <w:r>
        <w:rPr>
          <w:rFonts w:ascii="Lato" w:eastAsia="Lato" w:hAnsi="Lato" w:cs="Lato"/>
          <w:b/>
          <w:bCs/>
          <w:color w:val="1F2A5E"/>
          <w:sz w:val="30"/>
          <w:szCs w:val="30"/>
        </w:rPr>
        <w:t>Descrição da Solução</w:t>
      </w:r>
    </w:p>
    <w:p>
      <w:pPr>
        <w:spacing w:after="120" w:line="276" w:lineRule="auto"/>
      </w:pPr>
      <w:r>
        <w:t>O Bot Manager Premier passa a atuar na borda Akamai já utilizada pela Lumina, sobre a propriedade que atende o simulador de cotação, junto ao Ion e ao App &amp; API Protector em operação. As requisições são classificadas antes de chegar à origem; a automação identificada recebe ações graduais (monitorar, desafiar, atrasar ou bloquear) definidas com a Lumina, e o tráfego legítimo segue normalmente para o simulador.</w:t>
      </w:r>
    </w:p>
    <w:p>
      <w:pPr>
        <w:jc w:val="center"/>
      </w:pPr>
      <w:r>
        <w:drawing>
          <wp:inline xmlns:a="http://schemas.openxmlformats.org/drawingml/2006/main" xmlns:pic="http://schemas.openxmlformats.org/drawingml/2006/picture">
            <wp:extent cx="6080760" cy="1891792"/>
            <wp:docPr id="497703952" name="Picture 49770395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80760" cy="1891792"/>
                    </a:xfrm>
                    <a:prstGeom prst="rect"/>
                  </pic:spPr>
                </pic:pic>
              </a:graphicData>
            </a:graphic>
          </wp:inline>
        </w:drawing>
      </w:r>
    </w:p>
    <w:p>
      <w:pPr>
        <w:pStyle w:val="Ttulo2"/>
        <w:keepNext/>
        <w:keepLines/>
        <w:spacing w:before="220" w:after="90"/>
      </w:pPr>
      <w:r>
        <w:rPr>
          <w:rFonts w:ascii="Lato" w:eastAsia="Lato" w:hAnsi="Lato" w:cs="Lato"/>
          <w:b/>
          <w:bCs/>
          <w:sz w:val="25"/>
          <w:szCs w:val="25"/>
        </w:rPr>
        <w:t>3.1 Proteção contra automação no simulador de cotação</w:t>
      </w:r>
    </w:p>
    <w:p>
      <w:pPr>
        <w:spacing w:after="120" w:line="276" w:lineRule="auto"/>
      </w:pPr>
      <w:r>
        <w:t>Identifica e responde à automação que raspa o simulador de cotação, com ações graduais por segmento de tráfego e telemetria para acompanhar o volume de robôs.</w:t>
      </w:r>
    </w:p>
    <w:p>
      <w:pPr>
        <w:pStyle w:val="PargrafodaLista"/>
        <w:numPr>
          <w:ilvl w:val="0"/>
          <w:numId w:val="2"/>
        </w:numPr>
        <w:spacing w:after="60" w:line="270" w:lineRule="auto"/>
      </w:pPr>
      <w:r>
        <w:t>Bot Manager Premier: detecção de bots, resposta adaptativa, telemetria</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479990F7"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Limite da frente</w:t>
            </w:r>
          </w:p>
          <w:p>
            <w:pPr>
              <w:keepLines/>
              <w:spacing w:before="40" w:after="0"/>
            </w:pPr>
            <w:r>
              <w:rPr>
                <w:rFonts w:ascii="Lato" w:hAnsi="Lato"/>
                <w:b w:val="0"/>
                <w:sz w:val="17"/>
              </w:rPr>
              <w:t>A licença é contratada diretamente com a Akamai; a POPULOS presta apenas os serviços.</w:t>
            </w:r>
          </w:p>
        </w:tc>
      </w:tr>
    </w:tbl>
    <w:p>
      <w:pPr>
        <w:pStyle w:val="Ttulo2"/>
        <w:keepNext/>
        <w:keepLines/>
        <w:spacing w:before="160" w:after="90"/>
        <w:rPr>
          <w:rFonts w:ascii="Lato" w:eastAsia="Lato" w:hAnsi="Lato" w:cs="Lato"/>
          <w:b/>
          <w:bCs/>
          <w:sz w:val="25"/>
          <w:szCs w:val="25"/>
        </w:rPr>
      </w:pPr>
      <w:r>
        <w:rPr>
          <w:rFonts w:ascii="Lato" w:eastAsia="Lato" w:hAnsi="Lato" w:cs="Lato"/>
          <w:b/>
          <w:bCs/>
          <w:sz w:val="25"/>
          <w:szCs w:val="25"/>
        </w:rPr>
        <w:t>3.2 Prontidão para eventos críticos</w:t>
      </w:r>
    </w:p>
    <w:p>
      <w:pPr>
        <w:pStyle w:val="PargrafodaLista"/>
        <w:keepLines/>
        <w:numPr>
          <w:ilvl w:val="0"/>
          <w:numId w:val="2"/>
        </w:numPr>
        <w:spacing w:after="60" w:line="270" w:lineRule="auto"/>
      </w:pPr>
      <w:r>
        <w:t>Ativação da mitigação concluída antes do congelamento de mudanças de 15/12/2026.</w:t>
      </w:r>
    </w:p>
    <w:p>
      <w:pPr>
        <w:pStyle w:val="PargrafodaLista"/>
        <w:keepLines/>
        <w:numPr>
          <w:ilvl w:val="0"/>
          <w:numId w:val="2"/>
        </w:numPr>
        <w:spacing w:after="60" w:line="270" w:lineRule="auto"/>
      </w:pPr>
      <w:r>
        <w:t>Revisão da política e da lista de parceiros autorizados antes do lançamento de 15/01/2027.</w:t>
      </w:r>
    </w:p>
    <w:p>
      <w:pPr>
        <w:pStyle w:val="PargrafodaLista"/>
        <w:keepLines/>
        <w:numPr>
          <w:ilvl w:val="0"/>
          <w:numId w:val="2"/>
        </w:numPr>
        <w:spacing w:after="60" w:line="270" w:lineRule="auto"/>
      </w:pPr>
      <w:r>
        <w:t>Plano de reversão documentado e testado.</w:t>
      </w:r>
    </w:p>
    <w:p>
      <w:pPr>
        <w:pStyle w:val="PargrafodaLista"/>
        <w:keepLines/>
        <w:numPr>
          <w:ilvl w:val="0"/>
          <w:numId w:val="2"/>
        </w:numPr>
        <w:spacing w:after="60" w:line="270" w:lineRule="auto"/>
      </w:pPr>
      <w:r>
        <w:t>Monitoramento reforçado do simulador de cotação nos primeiros dias da campanha.</w:t>
      </w:r>
    </w:p>
    <w:p>
      <w:pPr>
        <w:pStyle w:val="Ttulo2"/>
        <w:keepNext/>
        <w:keepLines/>
        <w:spacing w:before="220" w:after="90"/>
        <w:rPr>
          <w:rFonts w:ascii="Lato" w:eastAsia="Lato" w:hAnsi="Lato" w:cs="Lato"/>
          <w:b/>
          <w:bCs/>
          <w:sz w:val="25"/>
          <w:szCs w:val="25"/>
        </w:rPr>
      </w:pPr>
      <w:r>
        <w:rPr>
          <w:rFonts w:ascii="Lato" w:eastAsia="Lato" w:hAnsi="Lato" w:cs="Lato"/>
          <w:b/>
          <w:bCs/>
          <w:sz w:val="25"/>
          <w:szCs w:val="25"/>
        </w:rPr>
        <w:t>3.3 Matriz de rastreabilidade</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936"/>
            <w:vAlign w:val="center"/>
            <w:shd w:fill="1F2A5E"/>
          </w:tcPr>
          <w:p>
            <w:pPr>
              <w:spacing w:after="40"/>
              <w:jc w:val="left"/>
            </w:pPr>
            <w:r>
              <w:rPr>
                <w:rFonts w:ascii="Lato" w:hAnsi="Lato"/>
                <w:b/>
                <w:color w:val="FFFFFF"/>
                <w:sz w:val="15"/>
              </w:rPr>
              <w:t>Requisito</w:t>
            </w:r>
          </w:p>
        </w:tc>
        <w:tc>
          <w:tcPr>
            <w:tcW w:type="dxa" w:w="3168"/>
            <w:vAlign w:val="center"/>
            <w:shd w:fill="1F2A5E"/>
          </w:tcPr>
          <w:p>
            <w:pPr>
              <w:spacing w:after="40"/>
              <w:jc w:val="left"/>
            </w:pPr>
            <w:r>
              <w:rPr>
                <w:rFonts w:ascii="Lato" w:hAnsi="Lato"/>
                <w:b/>
                <w:color w:val="FFFFFF"/>
                <w:sz w:val="15"/>
              </w:rPr>
              <w:t>Necessidade</w:t>
            </w:r>
          </w:p>
        </w:tc>
        <w:tc>
          <w:tcPr>
            <w:tcW w:type="dxa" w:w="1944"/>
            <w:vAlign w:val="center"/>
            <w:shd w:fill="1F2A5E"/>
          </w:tcPr>
          <w:p>
            <w:pPr>
              <w:spacing w:after="40"/>
              <w:jc w:val="left"/>
            </w:pPr>
            <w:r>
              <w:rPr>
                <w:rFonts w:ascii="Lato" w:hAnsi="Lato"/>
                <w:b/>
                <w:color w:val="FFFFFF"/>
                <w:sz w:val="15"/>
              </w:rPr>
              <w:t>Componente</w:t>
            </w:r>
          </w:p>
        </w:tc>
        <w:tc>
          <w:tcPr>
            <w:tcW w:type="dxa" w:w="3456"/>
            <w:vAlign w:val="center"/>
            <w:shd w:fill="1F2A5E"/>
          </w:tcPr>
          <w:p>
            <w:pPr>
              <w:spacing w:after="40"/>
              <w:jc w:val="left"/>
            </w:pPr>
            <w:r>
              <w:rPr>
                <w:rFonts w:ascii="Lato" w:hAnsi="Lato"/>
                <w:b/>
                <w:color w:val="FFFFFF"/>
                <w:sz w:val="15"/>
              </w:rPr>
              <w:t>Evidência de aceite</w:t>
            </w:r>
          </w:p>
        </w:tc>
      </w:tr>
      <w:tr>
        <w:tc>
          <w:tcPr>
            <w:tcW w:type="dxa" w:w="936"/>
            <w:vAlign w:val="center"/>
            <w:shd w:fill="FFFFFF"/>
          </w:tcPr>
          <w:p>
            <w:pPr>
              <w:spacing w:after="40"/>
              <w:jc w:val="left"/>
            </w:pPr>
            <w:r>
              <w:rPr>
                <w:rFonts w:ascii="Lato" w:hAnsi="Lato"/>
                <w:b w:val="0"/>
                <w:color w:val="1F2A5E"/>
                <w:sz w:val="15"/>
              </w:rPr>
              <w:t>REQ-01</w:t>
            </w:r>
          </w:p>
        </w:tc>
        <w:tc>
          <w:tcPr>
            <w:tcW w:type="dxa" w:w="3168"/>
            <w:vAlign w:val="center"/>
            <w:shd w:fill="FFFFFF"/>
          </w:tcPr>
          <w:p>
            <w:pPr>
              <w:spacing w:after="40"/>
              <w:jc w:val="left"/>
            </w:pPr>
            <w:r>
              <w:rPr>
                <w:rFonts w:ascii="Lato" w:hAnsi="Lato"/>
                <w:b w:val="0"/>
                <w:color w:val="1F2A5E"/>
                <w:sz w:val="15"/>
              </w:rPr>
              <w:t>Detectar e mitigar robôs que imitam navegadores e raspam o simulador de cotação de seguro auto.</w:t>
            </w:r>
          </w:p>
        </w:tc>
        <w:tc>
          <w:tcPr>
            <w:tcW w:type="dxa" w:w="1944"/>
            <w:vAlign w:val="center"/>
            <w:shd w:fill="FFFFFF"/>
          </w:tcPr>
          <w:p>
            <w:pPr>
              <w:spacing w:after="40"/>
              <w:jc w:val="left"/>
            </w:pPr>
            <w:r>
              <w:rPr>
                <w:rFonts w:ascii="Lato" w:hAnsi="Lato"/>
                <w:b w:val="0"/>
                <w:color w:val="1F2A5E"/>
                <w:sz w:val="15"/>
              </w:rPr>
              <w:t>Bot Manager Premier com detecção de bots e resposta adaptativa no fluxo do simulador de cotação.</w:t>
            </w:r>
          </w:p>
        </w:tc>
        <w:tc>
          <w:tcPr>
            <w:tcW w:type="dxa" w:w="3456"/>
            <w:vAlign w:val="center"/>
            <w:shd w:fill="FFFFFF"/>
          </w:tcPr>
          <w:p>
            <w:pPr>
              <w:spacing w:after="40"/>
              <w:jc w:val="left"/>
            </w:pPr>
            <w:r>
              <w:rPr>
                <w:rFonts w:ascii="Lato" w:hAnsi="Lato"/>
                <w:b w:val="0"/>
                <w:color w:val="1F2A5E"/>
                <w:sz w:val="15"/>
              </w:rPr>
              <w:t>Política do Bot Manager Premier ativa em modo de mitigação na propriedade do simulador de cotação, com as ações aprovadas pela Lumina aplicadas aos segmentos de automação definidos no HLD, verificada em teste funcional conjunto.</w:t>
            </w:r>
          </w:p>
        </w:tc>
      </w:tr>
      <w:tr>
        <w:tc>
          <w:tcPr>
            <w:tcW w:type="dxa" w:w="936"/>
            <w:vAlign w:val="center"/>
            <w:shd w:fill="F3F4F6"/>
          </w:tcPr>
          <w:p>
            <w:pPr>
              <w:spacing w:after="40"/>
              <w:jc w:val="left"/>
            </w:pPr>
            <w:r>
              <w:rPr>
                <w:rFonts w:ascii="Lato" w:hAnsi="Lato"/>
                <w:b w:val="0"/>
                <w:color w:val="1F2A5E"/>
                <w:sz w:val="15"/>
              </w:rPr>
              <w:t>REQ-02</w:t>
            </w:r>
          </w:p>
        </w:tc>
        <w:tc>
          <w:tcPr>
            <w:tcW w:type="dxa" w:w="3168"/>
            <w:vAlign w:val="center"/>
            <w:shd w:fill="F3F4F6"/>
          </w:tcPr>
          <w:p>
            <w:pPr>
              <w:spacing w:after="40"/>
              <w:jc w:val="left"/>
            </w:pPr>
            <w:r>
              <w:rPr>
                <w:rFonts w:ascii="Lato" w:hAnsi="Lato"/>
                <w:b w:val="0"/>
                <w:color w:val="1F2A5E"/>
                <w:sz w:val="15"/>
              </w:rPr>
              <w:t>Colocar a proteção contra robôs em produção antes de 15/01/2027, respeitando o congelamento de 15/12/2026 a 05/01/2027.</w:t>
            </w:r>
          </w:p>
        </w:tc>
        <w:tc>
          <w:tcPr>
            <w:tcW w:type="dxa" w:w="1944"/>
            <w:vAlign w:val="center"/>
            <w:shd w:fill="F3F4F6"/>
          </w:tcPr>
          <w:p>
            <w:pPr>
              <w:spacing w:after="40"/>
              <w:jc w:val="left"/>
            </w:pPr>
            <w:r>
              <w:rPr>
                <w:rFonts w:ascii="Lato" w:hAnsi="Lato"/>
                <w:b w:val="0"/>
                <w:color w:val="1F2A5E"/>
                <w:sz w:val="15"/>
              </w:rPr>
              <w:t>Cronograma de implantação de 4 a 5 semanas com ativação em produção antes do congelamento.</w:t>
            </w:r>
          </w:p>
        </w:tc>
        <w:tc>
          <w:tcPr>
            <w:tcW w:type="dxa" w:w="3456"/>
            <w:vAlign w:val="center"/>
            <w:shd w:fill="F3F4F6"/>
          </w:tcPr>
          <w:p>
            <w:pPr>
              <w:spacing w:after="40"/>
              <w:jc w:val="left"/>
            </w:pPr>
            <w:r>
              <w:rPr>
                <w:rFonts w:ascii="Lato" w:hAnsi="Lato"/>
                <w:b w:val="0"/>
                <w:color w:val="1F2A5E"/>
                <w:sz w:val="15"/>
              </w:rPr>
              <w:t>Ativação da mitigação em produção concluída e registrada em janela aprovada antes de 15/12/2026, com runbook de reversão testado.</w:t>
            </w:r>
          </w:p>
        </w:tc>
      </w:tr>
      <w:tr>
        <w:tc>
          <w:tcPr>
            <w:tcW w:type="dxa" w:w="936"/>
            <w:vAlign w:val="center"/>
            <w:shd w:fill="FFFFFF"/>
          </w:tcPr>
          <w:p>
            <w:pPr>
              <w:spacing w:after="40"/>
              <w:jc w:val="left"/>
            </w:pPr>
            <w:r>
              <w:rPr>
                <w:rFonts w:ascii="Lato" w:hAnsi="Lato"/>
                <w:b w:val="0"/>
                <w:color w:val="1F2A5E"/>
                <w:sz w:val="15"/>
              </w:rPr>
              <w:t>REQ-03</w:t>
            </w:r>
          </w:p>
        </w:tc>
        <w:tc>
          <w:tcPr>
            <w:tcW w:type="dxa" w:w="3168"/>
            <w:vAlign w:val="center"/>
            <w:shd w:fill="FFFFFF"/>
          </w:tcPr>
          <w:p>
            <w:pPr>
              <w:spacing w:after="40"/>
              <w:jc w:val="left"/>
            </w:pPr>
            <w:r>
              <w:rPr>
                <w:rFonts w:ascii="Lato" w:hAnsi="Lato"/>
                <w:b w:val="0"/>
                <w:color w:val="1F2A5E"/>
                <w:sz w:val="15"/>
              </w:rPr>
              <w:t>Dar visibilidade do volume de cotações automatizadas para apoiar a análise de custo com consultas a bureaus.</w:t>
            </w:r>
          </w:p>
        </w:tc>
        <w:tc>
          <w:tcPr>
            <w:tcW w:type="dxa" w:w="1944"/>
            <w:vAlign w:val="center"/>
            <w:shd w:fill="FFFFFF"/>
          </w:tcPr>
          <w:p>
            <w:pPr>
              <w:spacing w:after="40"/>
              <w:jc w:val="left"/>
            </w:pPr>
            <w:r>
              <w:rPr>
                <w:rFonts w:ascii="Lato" w:hAnsi="Lato"/>
                <w:b w:val="0"/>
                <w:color w:val="1F2A5E"/>
                <w:sz w:val="15"/>
              </w:rPr>
              <w:t>Telemetria do Bot Manager Premier e relatório de classificação de tráfego do simulador de cotação.</w:t>
            </w:r>
          </w:p>
        </w:tc>
        <w:tc>
          <w:tcPr>
            <w:tcW w:type="dxa" w:w="3456"/>
            <w:vAlign w:val="center"/>
            <w:shd w:fill="FFFFFF"/>
          </w:tcPr>
          <w:p>
            <w:pPr>
              <w:spacing w:after="40"/>
              <w:jc w:val="left"/>
            </w:pPr>
            <w:r>
              <w:rPr>
                <w:rFonts w:ascii="Lato" w:hAnsi="Lato"/>
                <w:b w:val="0"/>
                <w:color w:val="1F2A5E"/>
                <w:sz w:val="15"/>
              </w:rPr>
              <w:t>Entrega do relatório de classificação do tráfego do simulador de cotação com volumes de requisições humanas e automatizadas antes e depois da ativação.</w:t>
            </w:r>
          </w:p>
        </w:tc>
      </w:tr>
    </w:tbl>
    <w:p w14:paraId="466647CD"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4. Dimensionamento e Abrangência</w:t>
      </w:r>
    </w:p>
    <w:p>
      <w:pPr>
        <w:spacing w:after="120" w:line="276" w:lineRule="auto"/>
      </w:pPr>
      <w:r>
        <w:rPr>
          <w:b/>
          <w:bCs/>
        </w:rPr>
        <w:t>O dimensionamento parte do volume informado pela Lumina e das propriedades já em produção.</w:t>
      </w:r>
    </w:p>
    <w:p>
      <w:pPr>
        <w:pStyle w:val="Ttulo2"/>
        <w:keepNext/>
        <w:keepLines/>
        <w:spacing w:before="220" w:after="90"/>
        <w:rPr>
          <w:rFonts w:ascii="Lato" w:eastAsia="Lato" w:hAnsi="Lato" w:cs="Lato"/>
          <w:b/>
          <w:bCs/>
          <w:sz w:val="25"/>
          <w:szCs w:val="25"/>
        </w:rPr>
      </w:pPr>
      <w:r>
        <w:rPr>
          <w:rFonts w:ascii="Lato" w:eastAsia="Lato" w:hAnsi="Lato" w:cs="Lato"/>
          <w:b/>
          <w:bCs/>
          <w:sz w:val="25"/>
          <w:szCs w:val="25"/>
        </w:rPr>
        <w:t>4.1 Itens de dimensionamento</w:t>
      </w:r>
    </w:p>
    <w:tbl>
      <w:tblPr>
        <w:tblW w:w="9790" w:type="dxa"/>
        <w:tblBorders>
          <w:top w:val="single" w:sz="2" w:space="0" w:color="D1D5DB"/>
          <w:bottom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2260"/>
        <w:gridCol w:w="1000"/>
        <w:gridCol w:w="1000"/>
        <w:gridCol w:w="1080"/>
      </w:tblGrid>
      <w:tr w:rsidR="00F227EA" w14:paraId="69B947D6" w14:textId="77777777">
        <w:trPr>
          <w:tblHeader/>
        </w:trPr>
        <w:tc>
          <w:tcPr>
            <w:tcW w:w="2260" w:type="dxa"/>
            <w:shd w:val="clear" w:color="auto" w:fill="1F2A5E"/>
            <w:tcMar>
              <w:top w:w="60" w:type="dxa"/>
              <w:left w:w="100" w:type="dxa"/>
              <w:bottom w:w="60" w:type="dxa"/>
              <w:right w:w="100" w:type="dxa"/>
            </w:tcMar>
          </w:tcPr>
          <w:p>
            <w:r>
              <w:rPr>
                <w:rFonts w:ascii="Lato" w:eastAsia="Lato" w:hAnsi="Lato" w:cs="Lato"/>
                <w:b/>
                <w:bCs/>
                <w:color w:val="FFFFFF"/>
                <w:sz w:val="19"/>
                <w:szCs w:val="19"/>
              </w:rPr>
              <w:t>Item</w:t>
            </w:r>
          </w:p>
        </w:tc>
        <w:tc>
          <w:tcPr>
            <w:tcW w:w="100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Quantidade de referência</w:t>
            </w:r>
          </w:p>
        </w:tc>
        <w:tc>
          <w:tcPr>
            <w:tcW w:w="100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Base de planejamento</w:t>
            </w:r>
          </w:p>
        </w:tc>
        <w:tc>
          <w:tcPr>
            <w:tcW w:w="108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Classificação</w:t>
            </w:r>
          </w:p>
        </w:tc>
      </w:tr>
      <w:tr w:rsidR="00F227EA" w14:paraId="7A5CE6D8" w14:textId="77777777">
        <w:tc>
          <w:tcPr>
            <w:tcW w:w="2260" w:type="dxa"/>
            <w:tcMar>
              <w:top w:w="50" w:type="dxa"/>
              <w:left w:w="100" w:type="dxa"/>
              <w:bottom w:w="50" w:type="dxa"/>
              <w:right w:w="100" w:type="dxa"/>
            </w:tcMar>
          </w:tcPr>
          <w:p>
            <w:r>
              <w:rPr>
                <w:sz w:val="19"/>
                <w:szCs w:val="19"/>
              </w:rPr>
              <w:t>Volume mensal de cotações do simulador</w:t>
            </w:r>
          </w:p>
        </w:tc>
        <w:tc>
          <w:tcPr>
            <w:tcW w:w="1000" w:type="dxa"/>
            <w:tcMar>
              <w:top w:w="50" w:type="dxa"/>
              <w:left w:w="100" w:type="dxa"/>
              <w:bottom w:w="50" w:type="dxa"/>
              <w:right w:w="100" w:type="dxa"/>
            </w:tcMar>
          </w:tcPr>
          <w:p>
            <w:pPr>
              <w:jc w:val="center"/>
            </w:pPr>
            <w:r>
              <w:rPr>
                <w:sz w:val="19"/>
                <w:szCs w:val="19"/>
              </w:rPr>
              <w:t>cerca de 2,1 milhões por mês</w:t>
            </w:r>
          </w:p>
        </w:tc>
        <w:tc>
          <w:tcPr>
            <w:tcW w:w="1000" w:type="dxa"/>
            <w:tcMar>
              <w:top w:w="50" w:type="dxa"/>
              <w:left w:w="100" w:type="dxa"/>
              <w:bottom w:w="50" w:type="dxa"/>
              <w:right w:w="100" w:type="dxa"/>
            </w:tcMar>
          </w:tcPr>
          <w:p>
            <w:pPr>
              <w:jc w:val="center"/>
            </w:pPr>
            <w:r>
              <w:rPr>
                <w:sz w:val="19"/>
                <w:szCs w:val="19"/>
              </w:rPr>
              <w:t>Informado pela Lumina em 23/09/2026; referência para a política e para o relatório de classificação</w:t>
            </w:r>
          </w:p>
        </w:tc>
        <w:tc>
          <w:tcPr>
            <w:tcW w:w="1080" w:type="dxa"/>
            <w:tcMar>
              <w:top w:w="50" w:type="dxa"/>
              <w:left w:w="100" w:type="dxa"/>
              <w:bottom w:w="50" w:type="dxa"/>
              <w:right w:w="100" w:type="dxa"/>
            </w:tcMar>
          </w:tcPr>
          <w:p>
            <w:pPr>
              <w:jc w:val="center"/>
            </w:pPr>
            <w:r>
              <w:rPr>
                <w:sz w:val="19"/>
                <w:szCs w:val="19"/>
              </w:rPr>
              <w:t>Confirmado</w:t>
            </w:r>
          </w:p>
        </w:tc>
      </w:tr>
      <w:tr w:rsidR="00F227EA" w14:paraId="4569A9B2" w14:textId="77777777">
        <w:tc>
          <w:tcPr>
            <w:tcW w:w="2260" w:type="dxa"/>
            <w:shd w:val="clear" w:color="auto" w:fill="F3F4F6"/>
            <w:tcMar>
              <w:top w:w="50" w:type="dxa"/>
              <w:left w:w="100" w:type="dxa"/>
              <w:bottom w:w="50" w:type="dxa"/>
              <w:right w:w="100" w:type="dxa"/>
            </w:tcMar>
          </w:tcPr>
          <w:p>
            <w:r>
              <w:rPr>
                <w:sz w:val="19"/>
                <w:szCs w:val="19"/>
              </w:rPr>
              <w:t>Hosts e endpoints do simulador de cotação</w:t>
            </w:r>
          </w:p>
        </w:tc>
        <w:tc>
          <w:tcPr>
            <w:tcW w:w="1000" w:type="dxa"/>
            <w:shd w:val="clear" w:color="auto" w:fill="F3F4F6"/>
            <w:tcMar>
              <w:top w:w="50" w:type="dxa"/>
              <w:left w:w="100" w:type="dxa"/>
              <w:bottom w:w="50" w:type="dxa"/>
              <w:right w:w="100" w:type="dxa"/>
            </w:tcMar>
          </w:tcPr>
          <w:p>
            <w:pPr>
              <w:jc w:val="center"/>
            </w:pPr>
            <w:r>
              <w:rPr>
                <w:sz w:val="19"/>
                <w:szCs w:val="19"/>
              </w:rPr>
              <w:t>A confirmar</w:t>
            </w:r>
          </w:p>
        </w:tc>
        <w:tc>
          <w:tcPr>
            <w:tcW w:w="1000" w:type="dxa"/>
            <w:shd w:val="clear" w:color="auto" w:fill="F3F4F6"/>
            <w:tcMar>
              <w:top w:w="50" w:type="dxa"/>
              <w:left w:w="100" w:type="dxa"/>
              <w:bottom w:w="50" w:type="dxa"/>
              <w:right w:w="100" w:type="dxa"/>
            </w:tcMar>
          </w:tcPr>
          <w:p>
            <w:pPr>
              <w:jc w:val="center"/>
            </w:pPr>
            <w:r>
              <w:rPr>
                <w:sz w:val="19"/>
                <w:szCs w:val="19"/>
              </w:rPr>
              <w:t>Propriedades Ion atuais: cotacao.lumina.com.br e api.lumina.com.br; escopo exato a confirmar pela Lumina</w:t>
            </w:r>
          </w:p>
        </w:tc>
        <w:tc>
          <w:tcPr>
            <w:tcW w:w="1080" w:type="dxa"/>
            <w:shd w:val="clear" w:color="auto" w:fill="F3F4F6"/>
            <w:tcMar>
              <w:top w:w="50" w:type="dxa"/>
              <w:left w:w="100" w:type="dxa"/>
              <w:bottom w:w="50" w:type="dxa"/>
              <w:right w:w="100" w:type="dxa"/>
            </w:tcMar>
          </w:tcPr>
          <w:p>
            <w:pPr>
              <w:jc w:val="center"/>
            </w:pPr>
            <w:r>
              <w:rPr>
                <w:sz w:val="19"/>
                <w:szCs w:val="19"/>
              </w:rPr>
              <w:t>Pendente</w:t>
            </w:r>
          </w:p>
        </w:tc>
      </w:tr>
      <w:tr w:rsidR="00F227EA" w14:paraId="33FB2B15" w14:textId="77777777">
        <w:tc>
          <w:tcPr>
            <w:tcW w:w="2260" w:type="dxa"/>
            <w:tcMar>
              <w:top w:w="50" w:type="dxa"/>
              <w:left w:w="100" w:type="dxa"/>
              <w:bottom w:w="50" w:type="dxa"/>
              <w:right w:w="100" w:type="dxa"/>
            </w:tcMar>
          </w:tcPr>
          <w:p>
            <w:r>
              <w:rPr>
                <w:sz w:val="19"/>
                <w:szCs w:val="19"/>
              </w:rPr>
              <w:t>Esforço de implantação</w:t>
            </w:r>
          </w:p>
        </w:tc>
        <w:tc>
          <w:tcPr>
            <w:tcW w:w="1000" w:type="dxa"/>
            <w:tcMar>
              <w:top w:w="50" w:type="dxa"/>
              <w:left w:w="100" w:type="dxa"/>
              <w:bottom w:w="50" w:type="dxa"/>
              <w:right w:w="100" w:type="dxa"/>
            </w:tcMar>
          </w:tcPr>
          <w:p>
            <w:pPr>
              <w:jc w:val="center"/>
            </w:pPr>
            <w:r>
              <w:rPr>
                <w:sz w:val="19"/>
                <w:szCs w:val="19"/>
              </w:rPr>
              <w:t>4 a 5 semanas</w:t>
            </w:r>
          </w:p>
        </w:tc>
        <w:tc>
          <w:tcPr>
            <w:tcW w:w="1000" w:type="dxa"/>
            <w:tcMar>
              <w:top w:w="50" w:type="dxa"/>
              <w:left w:w="100" w:type="dxa"/>
              <w:bottom w:w="50" w:type="dxa"/>
              <w:right w:w="100" w:type="dxa"/>
            </w:tcMar>
          </w:tcPr>
          <w:p>
            <w:pPr>
              <w:jc w:val="center"/>
            </w:pPr>
            <w:r>
              <w:rPr>
                <w:sz w:val="19"/>
                <w:szCs w:val="19"/>
              </w:rPr>
              <w:t>Estimativa técnica da arquitetura POPULOS para implantação em uma jornada</w:t>
            </w:r>
          </w:p>
        </w:tc>
        <w:tc>
          <w:tcPr>
            <w:tcW w:w="1080" w:type="dxa"/>
            <w:tcMar>
              <w:top w:w="50" w:type="dxa"/>
              <w:left w:w="100" w:type="dxa"/>
              <w:bottom w:w="50" w:type="dxa"/>
              <w:right w:w="100" w:type="dxa"/>
            </w:tcMar>
          </w:tcPr>
          <w:p>
            <w:pPr>
              <w:jc w:val="center"/>
            </w:pPr>
            <w:r>
              <w:rPr>
                <w:sz w:val="19"/>
                <w:szCs w:val="19"/>
              </w:rPr>
              <w:t>Estimativa</w:t>
            </w:r>
          </w:p>
        </w:tc>
      </w:tr>
    </w:tbl>
    <w:p w14:paraId="675853AF" w14:textId="77777777" w:rsidR="00BD500C" w:rsidRDefault="00BD500C">
      <w:pPr>
        <w:spacing w:after="80" w:line="276" w:lineRule="auto"/>
        <w:rPr>
          <w:b/>
          <w:bCs/>
          <w:i/>
          <w:iCs/>
          <w:color w:val="6B7280"/>
          <w:sz w:val="18"/>
          <w:szCs w:val="18"/>
        </w:rPr>
      </w:pPr>
    </w:p>
    <w:p>
      <w:pPr>
        <w:pStyle w:val="Ttulo2"/>
        <w:keepNext/>
        <w:keepLines/>
        <w:pageBreakBefore w:val="0"/>
        <w:spacing w:before="220" w:after="90"/>
      </w:pPr>
      <w:r>
        <w:rPr>
          <w:rFonts w:ascii="Lato" w:eastAsia="Lato" w:hAnsi="Lato" w:cs="Lato"/>
          <w:b/>
          <w:bCs/>
          <w:sz w:val="25"/>
          <w:szCs w:val="25"/>
        </w:rPr>
        <w:t>4.2 Componentes centralizados e serviços de borda</w:t>
      </w:r>
    </w:p>
    <w:tbl>
      <w:tblPr>
        <w:tblW w:type="auto" w:w="0"/>
        <w:jc w:val="center"/>
        <w:tblLayout w:type="fixed"/>
        <w:tblLook w:firstColumn="1" w:firstRow="1" w:lastColumn="0" w:lastRow="0" w:noHBand="0" w:noVBand="1" w:val="04A0"/>
      </w:tblPr>
      <w:tblGrid>
        <w:gridCol w:w="5043"/>
        <w:gridCol w:w="5043"/>
      </w:tblGrid>
      <w:tr>
        <w:trPr>
          <w:tblHeader w:val="true"/>
        </w:trPr>
        <w:tc>
          <w:tcPr>
            <w:tcW w:type="dxa" w:w="6624"/>
            <w:vAlign w:val="center"/>
            <w:shd w:fill="1F2A5E"/>
          </w:tcPr>
          <w:p>
            <w:pPr>
              <w:spacing w:after="40"/>
              <w:jc w:val="left"/>
            </w:pPr>
            <w:r>
              <w:rPr>
                <w:rFonts w:ascii="Lato" w:hAnsi="Lato"/>
                <w:b/>
                <w:color w:val="FFFFFF"/>
                <w:sz w:val="15"/>
              </w:rPr>
              <w:t>Componente</w:t>
            </w:r>
          </w:p>
        </w:tc>
        <w:tc>
          <w:tcPr>
            <w:tcW w:type="dxa" w:w="2880"/>
            <w:vAlign w:val="center"/>
            <w:shd w:fill="1F2A5E"/>
          </w:tcPr>
          <w:p>
            <w:pPr>
              <w:spacing w:after="40"/>
              <w:jc w:val="left"/>
            </w:pPr>
            <w:r>
              <w:rPr>
                <w:rFonts w:ascii="Lato" w:hAnsi="Lato"/>
                <w:b/>
                <w:color w:val="FFFFFF"/>
                <w:sz w:val="15"/>
              </w:rPr>
              <w:t>Posição na proposta</w:t>
            </w:r>
          </w:p>
        </w:tc>
      </w:tr>
      <w:tr>
        <w:tc>
          <w:tcPr>
            <w:tcW w:type="dxa" w:w="6624"/>
            <w:vAlign w:val="center"/>
            <w:shd w:fill="FFFFFF"/>
          </w:tcPr>
          <w:p>
            <w:pPr>
              <w:spacing w:after="40"/>
              <w:jc w:val="left"/>
            </w:pPr>
            <w:r>
              <w:rPr>
                <w:rFonts w:ascii="Lato" w:hAnsi="Lato"/>
                <w:b w:val="0"/>
                <w:color w:val="1F2A5E"/>
                <w:sz w:val="15"/>
              </w:rPr>
              <w:t>Bot Manager Premier</w:t>
            </w:r>
          </w:p>
        </w:tc>
        <w:tc>
          <w:tcPr>
            <w:tcW w:type="dxa" w:w="2880"/>
            <w:vAlign w:val="center"/>
            <w:shd w:fill="FFFFFF"/>
          </w:tcPr>
          <w:p>
            <w:pPr>
              <w:spacing w:after="40"/>
              <w:jc w:val="left"/>
            </w:pPr>
            <w:r>
              <w:rPr>
                <w:rFonts w:ascii="Lato" w:hAnsi="Lato"/>
                <w:b w:val="0"/>
                <w:color w:val="1F2A5E"/>
                <w:sz w:val="15"/>
              </w:rPr>
              <w:t>Recomendado</w:t>
            </w:r>
          </w:p>
        </w:tc>
      </w:tr>
      <w:tr>
        <w:tc>
          <w:tcPr>
            <w:tcW w:type="dxa" w:w="6624"/>
            <w:vAlign w:val="center"/>
            <w:shd w:fill="F3F4F6"/>
          </w:tcPr>
          <w:p>
            <w:pPr>
              <w:spacing w:after="40"/>
              <w:jc w:val="left"/>
            </w:pPr>
            <w:r>
              <w:rPr>
                <w:rFonts w:ascii="Lato" w:hAnsi="Lato"/>
                <w:b w:val="0"/>
                <w:color w:val="1F2A5E"/>
                <w:sz w:val="15"/>
              </w:rPr>
              <w:t>Ion</w:t>
            </w:r>
          </w:p>
        </w:tc>
        <w:tc>
          <w:tcPr>
            <w:tcW w:type="dxa" w:w="2880"/>
            <w:vAlign w:val="center"/>
            <w:shd w:fill="F3F4F6"/>
          </w:tcPr>
          <w:p>
            <w:pPr>
              <w:spacing w:after="40"/>
              <w:jc w:val="left"/>
            </w:pPr>
            <w:r>
              <w:rPr>
                <w:rFonts w:ascii="Lato" w:hAnsi="Lato"/>
                <w:b w:val="0"/>
                <w:color w:val="1F2A5E"/>
                <w:sz w:val="15"/>
              </w:rPr>
              <w:t>Já contratado — ambiente atual</w:t>
            </w:r>
          </w:p>
        </w:tc>
      </w:tr>
      <w:tr>
        <w:tc>
          <w:tcPr>
            <w:tcW w:type="dxa" w:w="6624"/>
            <w:vAlign w:val="center"/>
            <w:shd w:fill="FFFFFF"/>
          </w:tcPr>
          <w:p>
            <w:pPr>
              <w:spacing w:after="40"/>
              <w:jc w:val="left"/>
            </w:pPr>
            <w:r>
              <w:rPr>
                <w:rFonts w:ascii="Lato" w:hAnsi="Lato"/>
                <w:b w:val="0"/>
                <w:color w:val="1F2A5E"/>
                <w:sz w:val="15"/>
              </w:rPr>
              <w:t>App &amp; API Protector</w:t>
            </w:r>
          </w:p>
        </w:tc>
        <w:tc>
          <w:tcPr>
            <w:tcW w:type="dxa" w:w="2880"/>
            <w:vAlign w:val="center"/>
            <w:shd w:fill="FFFFFF"/>
          </w:tcPr>
          <w:p>
            <w:pPr>
              <w:spacing w:after="40"/>
              <w:jc w:val="left"/>
            </w:pPr>
            <w:r>
              <w:rPr>
                <w:rFonts w:ascii="Lato" w:hAnsi="Lato"/>
                <w:b w:val="0"/>
                <w:color w:val="1F2A5E"/>
                <w:sz w:val="15"/>
              </w:rPr>
              <w:t>Já contratado — ambiente atual</w:t>
            </w:r>
          </w:p>
        </w:tc>
      </w:tr>
      <w:tr>
        <w:tc>
          <w:tcPr>
            <w:tcW w:type="dxa" w:w="6624"/>
            <w:vAlign w:val="center"/>
            <w:shd w:fill="F3F4F6"/>
          </w:tcPr>
          <w:p>
            <w:pPr>
              <w:spacing w:after="40"/>
              <w:jc w:val="left"/>
            </w:pPr>
            <w:r>
              <w:rPr>
                <w:rFonts w:ascii="Lato" w:hAnsi="Lato"/>
                <w:b w:val="0"/>
                <w:color w:val="1F2A5E"/>
                <w:sz w:val="15"/>
              </w:rPr>
              <w:t>Edge DNS</w:t>
            </w:r>
          </w:p>
        </w:tc>
        <w:tc>
          <w:tcPr>
            <w:tcW w:type="dxa" w:w="2880"/>
            <w:vAlign w:val="center"/>
            <w:shd w:fill="F3F4F6"/>
          </w:tcPr>
          <w:p>
            <w:pPr>
              <w:spacing w:after="40"/>
              <w:jc w:val="left"/>
            </w:pPr>
            <w:r>
              <w:rPr>
                <w:rFonts w:ascii="Lato" w:hAnsi="Lato"/>
                <w:b w:val="0"/>
                <w:color w:val="1F2A5E"/>
                <w:sz w:val="15"/>
              </w:rPr>
              <w:t>Já contratado — ambiente atual</w:t>
            </w:r>
          </w:p>
        </w:tc>
      </w:tr>
    </w:tbl>
    <w:p w14:paraId="5941B891" w14:textId="465FDF3E"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5.  </w:t>
      </w:r>
      <w:r>
        <w:rPr>
          <w:rFonts w:ascii="Lato" w:eastAsia="Lato" w:hAnsi="Lato" w:cs="Lato"/>
          <w:b/>
          <w:bCs/>
          <w:color w:val="1F2A5E"/>
          <w:sz w:val="30"/>
          <w:szCs w:val="30"/>
        </w:rPr>
        <w:t>Avaliação e Migração do Ambiente Atual</w:t>
      </w:r>
    </w:p>
    <w:p>
      <w:pPr>
        <w:spacing w:after="120" w:line="276" w:lineRule="auto"/>
      </w:pPr>
      <w:r>
        <w:t>Como primeira etapa, a POPULOS realizará o levantamento detalhado do ambiente atual, contemplando no mínimo:</w:t>
      </w:r>
    </w:p>
    <w:p>
      <w:pPr>
        <w:pStyle w:val="PargrafodaLista"/>
        <w:numPr>
          <w:ilvl w:val="0"/>
          <w:numId w:val="2"/>
        </w:numPr>
        <w:spacing w:after="60" w:line="270" w:lineRule="auto"/>
      </w:pPr>
      <w:r>
        <w:t>Mapeamento dos hosts, endpoints e chamadas de API usados pelo simulador de cotação de seguro auto.</w:t>
      </w:r>
    </w:p>
    <w:p>
      <w:pPr>
        <w:pStyle w:val="PargrafodaLista"/>
        <w:numPr>
          <w:ilvl w:val="0"/>
          <w:numId w:val="2"/>
        </w:numPr>
        <w:spacing w:after="60" w:line="270" w:lineRule="auto"/>
      </w:pPr>
      <w:r>
        <w:t>Revisão da configuração atual do Ion e do App &amp; API Protector nas propriedades do simulador.</w:t>
      </w:r>
    </w:p>
    <w:p>
      <w:pPr>
        <w:pStyle w:val="PargrafodaLista"/>
        <w:numPr>
          <w:ilvl w:val="0"/>
          <w:numId w:val="2"/>
        </w:numPr>
        <w:spacing w:after="60" w:line="270" w:lineRule="auto"/>
      </w:pPr>
      <w:r>
        <w:t>Levantamento dos integradores e parceiros legítimos que consultam o simulador e precisam ser preservados.</w:t>
      </w:r>
    </w:p>
    <w:p>
      <w:pPr>
        <w:spacing w:after="120" w:line="276" w:lineRule="auto"/>
      </w:pPr>
      <w:r>
        <w:t>O levantamento inicial confirma os endpoints do simulador, a configuração atual e os parceiros legítimos, e alimenta o desenho da política de bots.</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78B70CC4"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Estratégia de migração</w:t>
            </w:r>
          </w:p>
          <w:p>
            <w:pPr>
              <w:keepLines/>
              <w:spacing w:before="40" w:after="0"/>
            </w:pPr>
            <w:r>
              <w:rPr>
                <w:rFonts w:ascii="Lato" w:hAnsi="Lato"/>
                <w:b w:val="0"/>
                <w:sz w:val="17"/>
              </w:rPr>
              <w:t>A ativação ocorre em etapas, do monitoramento à mitigação, com reversão documentada.</w:t>
            </w:r>
          </w:p>
        </w:tc>
      </w:tr>
    </w:tbl>
    <w:p w14:paraId="2171A501"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6.  </w:t>
      </w:r>
      <w:r>
        <w:rPr>
          <w:rFonts w:ascii="Lato" w:eastAsia="Lato" w:hAnsi="Lato" w:cs="Lato"/>
          <w:b/>
          <w:bCs/>
          <w:color w:val="1F2A5E"/>
          <w:sz w:val="30"/>
          <w:szCs w:val="30"/>
        </w:rPr>
        <w:t>Serviços POPULOS — Metodologia de Implantação</w:t>
      </w:r>
    </w:p>
    <w:p>
      <w:pPr>
        <w:spacing w:after="120" w:line="276" w:lineRule="auto"/>
      </w:pPr>
      <w:r>
        <w:rPr>
          <w:b/>
          <w:bCs/>
        </w:rPr>
        <w:t>A implantação segue a metodologia POPULOS: levantamento, desenho, configuração em monitoramento, ajuste e ativação em janela aprovada.</w:t>
      </w:r>
    </w:p>
    <w:p w14:paraId="1DD6CC39" w14:textId="77777777" w:rsidR="00F227EA" w:rsidRDefault="00000000">
      <w:pPr>
        <w:pStyle w:val="Ttulo2"/>
        <w:keepNext/>
        <w:keepLines/>
        <w:spacing w:before="220" w:after="90"/>
      </w:pPr>
      <w:r>
        <w:rPr>
          <w:rFonts w:ascii="Lato" w:eastAsia="Lato" w:hAnsi="Lato" w:cs="Lato"/>
          <w:b/>
          <w:bCs/>
          <w:sz w:val="25"/>
          <w:szCs w:val="25"/>
        </w:rPr>
        <w:t>6.1 Escopo previsto</w:t>
      </w:r>
    </w:p>
    <w:p>
      <w:pPr>
        <w:pStyle w:val="PargrafodaLista"/>
        <w:numPr>
          <w:ilvl w:val="0"/>
          <w:numId w:val="2"/>
        </w:numPr>
        <w:spacing w:after="60" w:line="270" w:lineRule="auto"/>
      </w:pPr>
      <w:r>
        <w:t>Configuração do Bot Manager Premier na propriedade que atende o simulador de cotação de seguro auto.</w:t>
      </w:r>
    </w:p>
    <w:p>
      <w:pPr>
        <w:pStyle w:val="PargrafodaLista"/>
        <w:numPr>
          <w:ilvl w:val="0"/>
          <w:numId w:val="2"/>
        </w:numPr>
        <w:spacing w:after="60" w:line="270" w:lineRule="auto"/>
      </w:pPr>
      <w:r>
        <w:t>Definição de segmentos de tráfego e ações de resposta com a Lumina.</w:t>
      </w:r>
    </w:p>
    <w:p>
      <w:pPr>
        <w:pStyle w:val="PargrafodaLista"/>
        <w:numPr>
          <w:ilvl w:val="0"/>
          <w:numId w:val="2"/>
        </w:numPr>
        <w:spacing w:after="60" w:line="270" w:lineRule="auto"/>
      </w:pPr>
      <w:r>
        <w:t>Período de monitoramento, ajuste da política e ativação da mitigação em produção antes do congelamento de mudanças.</w:t>
      </w:r>
    </w:p>
    <w:p>
      <w:pPr>
        <w:pStyle w:val="PargrafodaLista"/>
        <w:numPr>
          <w:ilvl w:val="0"/>
          <w:numId w:val="2"/>
        </w:numPr>
        <w:spacing w:after="60" w:line="270" w:lineRule="auto"/>
      </w:pPr>
      <w:r>
        <w:t>Relatório de classificação do tráfego do simulador de cotação.</w:t>
      </w:r>
    </w:p>
    <w:p>
      <w:pPr>
        <w:pStyle w:val="PargrafodaLista"/>
        <w:numPr>
          <w:ilvl w:val="0"/>
          <w:numId w:val="2"/>
        </w:numPr>
        <w:spacing w:after="60" w:line="270" w:lineRule="auto"/>
      </w:pPr>
      <w:r>
        <w:t>Documento de desenho da política de bots (HLD).</w:t>
      </w:r>
    </w:p>
    <w:p>
      <w:pPr>
        <w:pStyle w:val="PargrafodaLista"/>
        <w:numPr>
          <w:ilvl w:val="0"/>
          <w:numId w:val="2"/>
        </w:numPr>
        <w:spacing w:after="60" w:line="270" w:lineRule="auto"/>
      </w:pPr>
      <w:r>
        <w:t>Política do Bot Manager Premier ativa em produção.</w:t>
      </w:r>
    </w:p>
    <w:p>
      <w:pPr>
        <w:pStyle w:val="PargrafodaLista"/>
        <w:numPr>
          <w:ilvl w:val="0"/>
          <w:numId w:val="2"/>
        </w:numPr>
        <w:spacing w:after="60" w:line="270" w:lineRule="auto"/>
      </w:pPr>
      <w:r>
        <w:t>Relatório de classificação do tráfego antes e depois da ativação.</w:t>
      </w:r>
    </w:p>
    <w:p>
      <w:pPr>
        <w:pStyle w:val="PargrafodaLista"/>
        <w:numPr>
          <w:ilvl w:val="0"/>
          <w:numId w:val="2"/>
        </w:numPr>
        <w:spacing w:after="60" w:line="270" w:lineRule="auto"/>
      </w:pPr>
      <w:r>
        <w:t>Documentação as-built e runbook de reversão.</w:t>
      </w:r>
    </w:p>
    <w:p w14:paraId="5DE8D494" w14:textId="399B44BD" w:rsidR="00ED213E" w:rsidRPr="00ED213E" w:rsidRDefault="00000000">
      <w:pPr>
        <w:pStyle w:val="Ttulo2"/>
        <w:keepNext/>
        <w:keepLines/>
        <w:spacing w:before="220" w:after="90"/>
        <w:rPr>
          <w:rFonts w:ascii="Lato" w:eastAsia="Lato" w:hAnsi="Lato" w:cs="Lato"/>
          <w:b/>
          <w:bCs/>
          <w:sz w:val="25"/>
          <w:szCs w:val="25"/>
        </w:rPr>
      </w:pPr>
      <w:r>
        <w:rPr>
          <w:rFonts w:ascii="Lato" w:eastAsia="Lato" w:hAnsi="Lato" w:cs="Lato"/>
          <w:b/>
          <w:bCs/>
          <w:sz w:val="25"/>
          <w:szCs w:val="25"/>
        </w:rPr>
        <w:lastRenderedPageBreak/>
        <w:t>6.2 Metodologia POPULOS</w:t>
      </w:r>
    </w:p>
    <w:p w14:paraId="458C458F" w14:textId="77777777" w:rsidR="00F227EA" w:rsidRDefault="00000000">
      <w:pPr>
        <w:pStyle w:val="Ttulo3"/>
        <w:keepNext/>
        <w:keepLines/>
        <w:spacing w:before="160" w:after="70"/>
      </w:pPr>
      <w:r>
        <w:rPr>
          <w:rFonts w:ascii="Lato" w:eastAsia="Lato" w:hAnsi="Lato" w:cs="Lato"/>
          <w:b/>
          <w:bCs/>
          <w:sz w:val="22"/>
          <w:szCs w:val="22"/>
        </w:rPr>
        <w:t>Fase 1 — Levantamento e configuração em monitoramento</w:t>
      </w:r>
    </w:p>
    <w:p>
      <w:pPr>
        <w:spacing w:after="120" w:line="276" w:lineRule="auto"/>
      </w:pPr>
      <w:r>
        <w:t>Mapear o simulador, desenhar a política e ativar o Bot Manager Premier em modo de monitoramento.</w:t>
      </w:r>
    </w:p>
    <w:p w14:paraId="31BAB4E0" w14:textId="77777777" w:rsidR="00F227EA" w:rsidRDefault="00000000">
      <w:pPr>
        <w:pStyle w:val="Ttulo3"/>
        <w:keepNext/>
        <w:keepLines/>
        <w:spacing w:before="160" w:after="70"/>
      </w:pPr>
      <w:r>
        <w:rPr>
          <w:rFonts w:ascii="Lato" w:eastAsia="Lato" w:hAnsi="Lato" w:cs="Lato"/>
          <w:b/>
          <w:bCs/>
          <w:sz w:val="22"/>
          <w:szCs w:val="22"/>
        </w:rPr>
        <w:t>Fase 2 — Ajuste e ativação da mitigação</w:t>
      </w:r>
    </w:p>
    <w:p>
      <w:pPr>
        <w:spacing w:after="120" w:line="276" w:lineRule="auto"/>
      </w:pPr>
      <w:r>
        <w:t>Ajustar segmentos e ações com base no tráfego observado e ativar a mitigação em produção em janela aprovada.</w:t>
      </w:r>
    </w:p>
    <w:p w14:paraId="1FE5BD3A" w14:textId="77777777" w:rsidR="00F227EA" w:rsidRDefault="00000000">
      <w:pPr>
        <w:pStyle w:val="Ttulo3"/>
        <w:keepNext/>
        <w:keepLines/>
        <w:spacing w:before="160" w:after="70"/>
      </w:pPr>
      <w:r>
        <w:rPr>
          <w:rFonts w:ascii="Lato" w:eastAsia="Lato" w:hAnsi="Lato" w:cs="Lato"/>
          <w:b/>
          <w:bCs/>
          <w:sz w:val="22"/>
          <w:szCs w:val="22"/>
        </w:rPr>
        <w:t>Gestão do Projeto</w:t>
      </w:r>
    </w:p>
    <w:p>
      <w:pPr>
        <w:spacing w:after="120" w:line="276" w:lineRule="auto"/>
      </w:pPr>
      <w:r>
        <w:t>A POPULOS conduzirá o planejamento, a gestão de riscos e dependências e os reportes periódicos, em alinhamento com o ponto focal do cliente.</w:t>
      </w:r>
    </w:p>
    <w:p w14:paraId="49957D7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7.  </w:t>
      </w:r>
      <w:r>
        <w:rPr>
          <w:rFonts w:ascii="Lato" w:eastAsia="Lato" w:hAnsi="Lato" w:cs="Lato"/>
          <w:b/>
          <w:bCs/>
          <w:color w:val="1F2A5E"/>
          <w:sz w:val="30"/>
          <w:szCs w:val="30"/>
        </w:rPr>
        <w:t>Limites do Escopo</w:t>
      </w:r>
    </w:p>
    <w:p w14:paraId="06FA1EDD" w14:textId="77777777" w:rsidR="00F227EA" w:rsidRDefault="00000000">
      <w:pPr>
        <w:pStyle w:val="Ttulo2"/>
        <w:keepNext/>
        <w:keepLines/>
        <w:spacing w:before="220" w:after="90"/>
      </w:pPr>
      <w:r>
        <w:rPr>
          <w:rFonts w:ascii="Lato" w:eastAsia="Lato" w:hAnsi="Lato" w:cs="Lato"/>
          <w:b/>
          <w:bCs/>
          <w:sz w:val="25"/>
          <w:szCs w:val="25"/>
        </w:rPr>
        <w:t>7.1 Passagem de conhecimento</w:t>
      </w:r>
    </w:p>
    <w:p>
      <w:pPr>
        <w:spacing w:after="120" w:line="276" w:lineRule="auto"/>
      </w:pPr>
      <w:r>
        <w:t>A POPULOS realiza sessão de repasse com a equipe da Lumina sobre a política, os relatórios e o runbook de reversão.</w:t>
      </w:r>
    </w:p>
    <w:p w14:paraId="4A59FCA9" w14:textId="77777777" w:rsidR="00F227EA" w:rsidRDefault="00000000">
      <w:pPr>
        <w:pStyle w:val="Ttulo2"/>
        <w:keepNext/>
        <w:keepLines/>
        <w:spacing w:before="220" w:after="90"/>
      </w:pPr>
      <w:r>
        <w:rPr>
          <w:rFonts w:ascii="Lato" w:eastAsia="Lato" w:hAnsi="Lato" w:cs="Lato"/>
          <w:b/>
          <w:bCs/>
          <w:sz w:val="25"/>
          <w:szCs w:val="25"/>
        </w:rPr>
        <w:t>7.2 Homologação e testes</w:t>
      </w:r>
    </w:p>
    <w:p>
      <w:pPr>
        <w:spacing w:after="120" w:line="276" w:lineRule="auto"/>
      </w:pPr>
      <w:r>
        <w:t>Os testes incluem validação funcional do simulador com tráfego legítimo e verificação das ações aplicadas aos segmentos de automação.</w:t>
      </w:r>
    </w:p>
    <w:p w14:paraId="7794161C" w14:textId="77777777" w:rsidR="00F227EA" w:rsidRDefault="00000000">
      <w:pPr>
        <w:pStyle w:val="Ttulo2"/>
        <w:keepNext/>
        <w:keepLines/>
        <w:spacing w:before="220" w:after="90"/>
      </w:pPr>
      <w:r>
        <w:rPr>
          <w:rFonts w:ascii="Lato" w:eastAsia="Lato" w:hAnsi="Lato" w:cs="Lato"/>
          <w:b/>
          <w:bCs/>
          <w:sz w:val="25"/>
          <w:szCs w:val="25"/>
        </w:rPr>
        <w:t>7.3 Áreas fora do escopo</w:t>
      </w:r>
    </w:p>
    <w:p w14:paraId="072132ED" w14:textId="77777777" w:rsidR="00F227EA" w:rsidRDefault="00000000">
      <w:pPr>
        <w:spacing w:after="120" w:line="276" w:lineRule="auto"/>
      </w:pPr>
      <w:r>
        <w:t>Qualquer área/tópico não expressamente enumerado no escopo previsto está fora deste projeto. Em especial, estão fora do escopo:</w:t>
      </w:r>
    </w:p>
    <w:p>
      <w:pPr>
        <w:pStyle w:val="PargrafodaLista"/>
        <w:numPr>
          <w:ilvl w:val="0"/>
          <w:numId w:val="2"/>
        </w:numPr>
        <w:spacing w:after="60" w:line="270" w:lineRule="auto"/>
      </w:pPr>
      <w:r>
        <w:rPr>
          <w:b/>
          <w:bCs/>
        </w:rPr>
        <w:t>Fornecimento de licenças Akamai, contratadas diretamente pela Lumina com a Akamai.</w:t>
      </w:r>
    </w:p>
    <w:p>
      <w:pPr>
        <w:pStyle w:val="PargrafodaLista"/>
        <w:numPr>
          <w:ilvl w:val="0"/>
          <w:numId w:val="2"/>
        </w:numPr>
        <w:spacing w:after="60" w:line="270" w:lineRule="auto"/>
      </w:pPr>
      <w:r>
        <w:rPr>
          <w:b/>
          <w:bCs/>
        </w:rPr>
        <w:t>Proteção de login e da área do cliente, pendente de confirmação.</w:t>
      </w:r>
    </w:p>
    <w:p>
      <w:pPr>
        <w:pStyle w:val="PargrafodaLista"/>
        <w:numPr>
          <w:ilvl w:val="0"/>
          <w:numId w:val="2"/>
        </w:numPr>
        <w:spacing w:after="60" w:line="270" w:lineRule="auto"/>
      </w:pPr>
      <w:r>
        <w:rPr>
          <w:b/>
          <w:bCs/>
        </w:rPr>
        <w:t>Alterações no código do simulador de cotação ou nas integrações com bureaus.</w:t>
      </w:r>
    </w:p>
    <w:p>
      <w:pPr>
        <w:pStyle w:val="PargrafodaLista"/>
        <w:numPr>
          <w:ilvl w:val="0"/>
          <w:numId w:val="2"/>
        </w:numPr>
        <w:spacing w:after="60" w:line="270" w:lineRule="auto"/>
      </w:pPr>
      <w:r>
        <w:t>Sustentação contínua, já coberta pelo contrato de sustentação 8x5 vigente.</w:t>
      </w:r>
    </w:p>
    <w:p w14:paraId="29CE5CDD" w14:textId="77777777" w:rsidR="004D3A65" w:rsidRDefault="004D3A65" w:rsidP="004D3A65">
      <w:pPr>
        <w:spacing w:after="60" w:line="270" w:lineRule="auto"/>
      </w:pPr>
    </w:p>
    <w:p w14:paraId="5A6DAA59" w14:textId="77777777" w:rsidR="004D3A65" w:rsidRDefault="004D3A65" w:rsidP="004D3A65">
      <w:pPr>
        <w:spacing w:after="60" w:line="270"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51C7CCBD"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Itens que exigem contratação específica</w:t>
            </w:r>
          </w:p>
          <w:p>
            <w:pPr>
              <w:keepLines/>
              <w:spacing w:before="40" w:after="0"/>
            </w:pPr>
            <w:r>
              <w:rPr>
                <w:rFonts w:ascii="Lato" w:hAnsi="Lato"/>
                <w:b w:val="0"/>
                <w:sz w:val="17"/>
              </w:rPr>
              <w:t>Operação continuada, NOC 24x7, equipe residente, desenvolvimento de aplicações e serviços gerenciados adicionais não estão incluídos.</w:t>
            </w:r>
          </w:p>
        </w:tc>
      </w:tr>
    </w:tbl>
    <w:p w14:paraId="790651B6" w14:textId="77777777" w:rsidR="00F227EA" w:rsidRDefault="00000000">
      <w:pPr>
        <w:pStyle w:val="Ttulo1"/>
        <w:keepNext/>
        <w:keepLines/>
        <w:pageBreakBefore w:val="0"/>
        <w:pBdr>
          <w:bottom w:val="single" w:sz="6" w:space="4" w:color="6B46C1"/>
        </w:pBdr>
        <w:spacing w:before="320" w:after="140"/>
      </w:pPr>
      <w:r>
        <w:rPr>
          <w:rFonts w:ascii="Lato" w:eastAsia="Lato" w:hAnsi="Lato" w:cs="Lato"/>
          <w:b/>
          <w:bCs/>
          <w:color w:val="6B46C1"/>
          <w:sz w:val="30"/>
          <w:szCs w:val="30"/>
        </w:rPr>
        <w:t xml:space="preserve">8.  </w:t>
      </w:r>
      <w:r>
        <w:rPr>
          <w:rFonts w:ascii="Lato" w:eastAsia="Lato" w:hAnsi="Lato" w:cs="Lato"/>
          <w:b/>
          <w:bCs/>
          <w:color w:val="1F2A5E"/>
          <w:sz w:val="30"/>
          <w:szCs w:val="30"/>
        </w:rPr>
        <w:t>Premissas, Requisitos e Restrições</w:t>
      </w:r>
    </w:p>
    <w:p w14:paraId="0279B845" w14:textId="77777777" w:rsidR="00F227EA" w:rsidRDefault="00000000">
      <w:pPr>
        <w:pStyle w:val="Ttulo2"/>
        <w:keepNext/>
        <w:keepLines/>
        <w:spacing w:before="220" w:after="90"/>
      </w:pPr>
      <w:r>
        <w:rPr>
          <w:rFonts w:ascii="Lato" w:eastAsia="Lato" w:hAnsi="Lato" w:cs="Lato"/>
          <w:b/>
          <w:bCs/>
          <w:sz w:val="25"/>
          <w:szCs w:val="25"/>
        </w:rPr>
        <w:t>8.1 Premissas</w:t>
      </w:r>
    </w:p>
    <w:p>
      <w:pPr>
        <w:pStyle w:val="PargrafodaLista"/>
        <w:numPr>
          <w:ilvl w:val="0"/>
          <w:numId w:val="2"/>
        </w:numPr>
        <w:spacing w:after="60" w:line="270" w:lineRule="auto"/>
      </w:pPr>
      <w:r>
        <w:rPr>
          <w:b/>
          <w:bCs/>
        </w:rPr>
        <w:t>O simulador de cotação é entregue pelas propriedades Ion atuais; validação na Fase 1.</w:t>
      </w:r>
    </w:p>
    <w:p>
      <w:pPr>
        <w:pStyle w:val="PargrafodaLista"/>
        <w:numPr>
          <w:ilvl w:val="0"/>
          <w:numId w:val="2"/>
        </w:numPr>
        <w:spacing w:after="60" w:line="270" w:lineRule="auto"/>
      </w:pPr>
      <w:r>
        <w:t>A licença do Bot Manager Premier é provisionada em até 10 dias úteis após a assinatura do aditivo, conforme informado pela Akamai.</w:t>
      </w:r>
    </w:p>
    <w:p>
      <w:pPr>
        <w:pStyle w:val="PargrafodaLista"/>
        <w:numPr>
          <w:ilvl w:val="0"/>
          <w:numId w:val="2"/>
        </w:numPr>
        <w:spacing w:after="60" w:line="270" w:lineRule="auto"/>
      </w:pPr>
      <w:r>
        <w:t>A Lumina disponibiliza janela de mudança em produção antes de 15/12/2026.</w:t>
      </w:r>
    </w:p>
    <w:p>
      <w:pPr>
        <w:pStyle w:val="PargrafodaLista"/>
        <w:numPr>
          <w:ilvl w:val="0"/>
          <w:numId w:val="2"/>
        </w:numPr>
        <w:spacing w:after="60" w:line="270" w:lineRule="auto"/>
      </w:pPr>
      <w:r>
        <w:t>A redução de custo com bureaus depende do comportamento dos robôs e das integrações da Lumina e não é resultado garantido desta proposta.</w:t>
      </w:r>
    </w:p>
    <w:p>
      <w:pPr>
        <w:pStyle w:val="Ttulo2"/>
        <w:keepNext/>
        <w:keepLines/>
        <w:spacing w:before="220" w:after="90"/>
      </w:pPr>
      <w:r>
        <w:rPr>
          <w:rFonts w:ascii="Lato" w:eastAsia="Lato" w:hAnsi="Lato" w:cs="Lato"/>
          <w:b/>
          <w:bCs/>
          <w:sz w:val="25"/>
          <w:szCs w:val="25"/>
        </w:rPr>
        <w:t>8.2 Requisitos — Pessoas (Lumina Seguros)</w:t>
      </w:r>
    </w:p>
    <w:p>
      <w:pPr>
        <w:pStyle w:val="PargrafodaLista"/>
        <w:numPr>
          <w:ilvl w:val="0"/>
          <w:numId w:val="2"/>
        </w:numPr>
        <w:spacing w:after="60" w:line="270" w:lineRule="auto"/>
      </w:pPr>
      <w:r>
        <w:rPr>
          <w:b/>
          <w:bCs/>
        </w:rPr>
        <w:t>Responsável de negócio pelos canais digitais (aprovação das ações de resposta)</w:t>
      </w:r>
    </w:p>
    <w:p>
      <w:pPr>
        <w:pStyle w:val="PargrafodaLista"/>
        <w:numPr>
          <w:ilvl w:val="0"/>
          <w:numId w:val="2"/>
        </w:numPr>
        <w:spacing w:after="60" w:line="270" w:lineRule="auto"/>
      </w:pPr>
      <w:r>
        <w:rPr>
          <w:b/>
          <w:bCs/>
        </w:rPr>
        <w:t>Arquiteto de soluções da Lumina (endpoints, integração e janelas de mudança)</w:t>
      </w:r>
    </w:p>
    <w:p>
      <w:pPr>
        <w:pStyle w:val="PargrafodaLista"/>
        <w:numPr>
          <w:ilvl w:val="0"/>
          <w:numId w:val="2"/>
        </w:numPr>
        <w:spacing w:after="60" w:line="270" w:lineRule="auto"/>
      </w:pPr>
      <w:r>
        <w:rPr>
          <w:b/>
          <w:bCs/>
        </w:rPr>
        <w:t>Equipe de desenvolvimento do simulador de cotação (validação funcional)</w:t>
      </w:r>
    </w:p>
    <w:p>
      <w:pPr>
        <w:pStyle w:val="PargrafodaLista"/>
        <w:numPr>
          <w:ilvl w:val="0"/>
          <w:numId w:val="2"/>
        </w:numPr>
        <w:spacing w:after="60" w:line="270" w:lineRule="auto"/>
      </w:pPr>
      <w:r>
        <w:rPr>
          <w:b/>
          <w:bCs/>
        </w:rPr>
        <w:t>Operação ou monitoração (acompanhamento pós-ativação)</w:t>
      </w:r>
    </w:p>
    <w:p w14:paraId="199C1D9F" w14:textId="77777777" w:rsidR="00F227EA" w:rsidRDefault="00000000">
      <w:pPr>
        <w:pStyle w:val="Ttulo2"/>
        <w:keepNext/>
        <w:keepLines/>
        <w:spacing w:before="220" w:after="90"/>
      </w:pPr>
      <w:r>
        <w:rPr>
          <w:rFonts w:ascii="Lato" w:eastAsia="Lato" w:hAnsi="Lato" w:cs="Lato"/>
          <w:b/>
          <w:bCs/>
          <w:sz w:val="25"/>
          <w:szCs w:val="25"/>
        </w:rPr>
        <w:t>8.3 Restrições</w:t>
      </w:r>
    </w:p>
    <w:p w14:paraId="15290CA5" w14:textId="77777777" w:rsidR="00F227EA" w:rsidRDefault="00000000">
      <w:pPr>
        <w:pStyle w:val="PargrafodaLista"/>
        <w:numPr>
          <w:ilvl w:val="0"/>
          <w:numId w:val="2"/>
        </w:numPr>
        <w:spacing w:after="60" w:line="270" w:lineRule="auto"/>
      </w:pPr>
      <w:r>
        <w:t>Nenhuma mudança em produção entre 15/12/2026 e 05/01/2027 (congelamento de mudanças da Lumina).</w:t>
      </w:r>
    </w:p>
    <w:p w14:paraId="62D6CC0A" w14:textId="77777777" w:rsidR="00F227EA" w:rsidRDefault="00000000">
      <w:pPr>
        <w:pStyle w:val="PargrafodaLista"/>
        <w:numPr>
          <w:ilvl w:val="0"/>
          <w:numId w:val="2"/>
        </w:numPr>
        <w:spacing w:after="60" w:line="270" w:lineRule="auto"/>
      </w:pPr>
      <w:r>
        <w:t>O início da configuração depende da licença ativa, contratada diretamente pela Lumina com a Akamai.</w:t>
      </w:r>
    </w:p>
    <w:p w14:paraId="655E7B04" w14:textId="77777777" w:rsidR="00F227EA" w:rsidRDefault="00000000">
      <w:pPr>
        <w:pStyle w:val="PargrafodaLista"/>
        <w:numPr>
          <w:ilvl w:val="0"/>
          <w:numId w:val="2"/>
        </w:numPr>
        <w:spacing w:after="60" w:line="270" w:lineRule="auto"/>
      </w:pPr>
      <w:r>
        <w:t>A proposta não altera o código do simulador de cotação nem as integrações com bureaus.</w:t>
      </w:r>
    </w:p>
    <w:p>
      <w:pPr>
        <w:pStyle w:val="PargrafodaLista"/>
        <w:numPr>
          <w:ilvl w:val="0"/>
          <w:numId w:val="2"/>
        </w:numPr>
        <w:spacing w:after="60" w:line="270" w:lineRule="auto"/>
      </w:pPr>
      <w:r>
        <w:t>Ativações em produção seguem janela aprovada pela Lumina com plano de reversão.</w:t>
      </w:r>
    </w:p>
    <w:p w14:paraId="359018A2" w14:textId="77777777" w:rsidR="00BB2913" w:rsidRDefault="00BB2913" w:rsidP="00BB2913">
      <w:pPr>
        <w:spacing w:after="60" w:line="270" w:lineRule="auto"/>
      </w:pPr>
    </w:p>
    <w:p w14:paraId="62DB3BC2" w14:textId="77777777" w:rsidR="00BB2913" w:rsidRDefault="00BB2913" w:rsidP="00BB2913">
      <w:pPr>
        <w:spacing w:after="60" w:line="270" w:lineRule="auto"/>
      </w:pPr>
    </w:p>
    <w:p w14:paraId="302BA2AD" w14:textId="77777777" w:rsidR="00BB2913" w:rsidRDefault="00BB2913" w:rsidP="00BB2913">
      <w:pPr>
        <w:spacing w:after="60" w:line="270" w:lineRule="auto"/>
      </w:pPr>
    </w:p>
    <w:p w14:paraId="1F60BE6A" w14:textId="77777777" w:rsidR="00BB2913" w:rsidRDefault="00BB2913" w:rsidP="00BB2913">
      <w:pPr>
        <w:spacing w:after="60" w:line="270" w:lineRule="auto"/>
      </w:pPr>
    </w:p>
    <w:p>
      <w:pPr>
        <w:pStyle w:val="Ttulo2"/>
        <w:keepNext/>
        <w:keepLines/>
        <w:spacing w:before="160" w:after="90"/>
        <w:rPr>
          <w:rFonts w:ascii="Lato" w:eastAsia="Lato" w:hAnsi="Lato" w:cs="Lato"/>
          <w:b/>
          <w:bCs/>
          <w:sz w:val="25"/>
          <w:szCs w:val="25"/>
        </w:rPr>
      </w:pPr>
      <w:r>
        <w:rPr>
          <w:rFonts w:ascii="Lato" w:eastAsia="Lato" w:hAnsi="Lato" w:cs="Lato"/>
          <w:b/>
          <w:bCs/>
          <w:sz w:val="25"/>
          <w:szCs w:val="25"/>
        </w:rPr>
        <w:t>8.4 Riscos e mitigação</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3168"/>
            <w:vAlign w:val="center"/>
            <w:shd w:fill="1F2A5E"/>
          </w:tcPr>
          <w:p>
            <w:pPr>
              <w:spacing w:after="40"/>
              <w:jc w:val="left"/>
            </w:pPr>
            <w:r>
              <w:rPr>
                <w:rFonts w:ascii="Lato" w:hAnsi="Lato"/>
                <w:b/>
                <w:color w:val="FFFFFF"/>
                <w:sz w:val="15"/>
              </w:rPr>
              <w:t>Risco</w:t>
            </w:r>
          </w:p>
        </w:tc>
        <w:tc>
          <w:tcPr>
            <w:tcW w:type="dxa" w:w="2304"/>
            <w:vAlign w:val="center"/>
            <w:shd w:fill="1F2A5E"/>
          </w:tcPr>
          <w:p>
            <w:pPr>
              <w:spacing w:after="40"/>
              <w:jc w:val="left"/>
            </w:pPr>
            <w:r>
              <w:rPr>
                <w:rFonts w:ascii="Lato" w:hAnsi="Lato"/>
                <w:b/>
                <w:color w:val="FFFFFF"/>
                <w:sz w:val="15"/>
              </w:rPr>
              <w:t>Impacto</w:t>
            </w:r>
          </w:p>
        </w:tc>
        <w:tc>
          <w:tcPr>
            <w:tcW w:type="dxa" w:w="4032"/>
            <w:vAlign w:val="center"/>
            <w:shd w:fill="1F2A5E"/>
          </w:tcPr>
          <w:p>
            <w:pPr>
              <w:spacing w:after="40"/>
              <w:jc w:val="left"/>
            </w:pPr>
            <w:r>
              <w:rPr>
                <w:rFonts w:ascii="Lato" w:hAnsi="Lato"/>
                <w:b/>
                <w:color w:val="FFFFFF"/>
                <w:sz w:val="15"/>
              </w:rPr>
              <w:t>Mitigação</w:t>
            </w:r>
          </w:p>
        </w:tc>
      </w:tr>
      <w:tr>
        <w:tc>
          <w:tcPr>
            <w:tcW w:type="dxa" w:w="3168"/>
            <w:vAlign w:val="center"/>
            <w:shd w:fill="FFFFFF"/>
          </w:tcPr>
          <w:p>
            <w:pPr>
              <w:spacing w:after="40"/>
              <w:jc w:val="left"/>
            </w:pPr>
            <w:r>
              <w:rPr>
                <w:rFonts w:ascii="Lato" w:hAnsi="Lato"/>
                <w:b w:val="0"/>
                <w:color w:val="1F2A5E"/>
                <w:sz w:val="15"/>
              </w:rPr>
              <w:t>Atraso na assinatura do aditivo de licenciamento</w:t>
            </w:r>
          </w:p>
        </w:tc>
        <w:tc>
          <w:tcPr>
            <w:tcW w:type="dxa" w:w="2304"/>
            <w:vAlign w:val="center"/>
            <w:shd w:fill="FFFFFF"/>
          </w:tcPr>
          <w:p>
            <w:pPr>
              <w:spacing w:after="40"/>
              <w:jc w:val="left"/>
            </w:pPr>
            <w:r>
              <w:rPr>
                <w:rFonts w:ascii="Lato" w:hAnsi="Lato"/>
                <w:b w:val="0"/>
                <w:color w:val="1F2A5E"/>
                <w:sz w:val="15"/>
              </w:rPr>
              <w:t>Ativação em produção pode não ocorrer antes do congelamento</w:t>
            </w:r>
          </w:p>
        </w:tc>
        <w:tc>
          <w:tcPr>
            <w:tcW w:type="dxa" w:w="4032"/>
            <w:vAlign w:val="center"/>
            <w:shd w:fill="FFFFFF"/>
          </w:tcPr>
          <w:p>
            <w:pPr>
              <w:spacing w:after="40"/>
              <w:jc w:val="left"/>
            </w:pPr>
            <w:r>
              <w:rPr>
                <w:rFonts w:ascii="Lato" w:hAnsi="Lato"/>
                <w:b w:val="0"/>
                <w:color w:val="1F2A5E"/>
                <w:sz w:val="15"/>
              </w:rPr>
              <w:t>Assinar o aditivo até 23/10/2026 e acompanhar o provisionamento semanalmente.</w:t>
            </w:r>
          </w:p>
        </w:tc>
      </w:tr>
      <w:tr>
        <w:tc>
          <w:tcPr>
            <w:tcW w:type="dxa" w:w="3168"/>
            <w:vAlign w:val="center"/>
            <w:shd w:fill="F3F4F6"/>
          </w:tcPr>
          <w:p>
            <w:pPr>
              <w:spacing w:after="40"/>
              <w:jc w:val="left"/>
            </w:pPr>
            <w:r>
              <w:rPr>
                <w:rFonts w:ascii="Lato" w:hAnsi="Lato"/>
                <w:b w:val="0"/>
                <w:color w:val="1F2A5E"/>
                <w:sz w:val="15"/>
              </w:rPr>
              <w:t>Bloqueio de integradores legítimos</w:t>
            </w:r>
          </w:p>
        </w:tc>
        <w:tc>
          <w:tcPr>
            <w:tcW w:type="dxa" w:w="2304"/>
            <w:vAlign w:val="center"/>
            <w:shd w:fill="F3F4F6"/>
          </w:tcPr>
          <w:p>
            <w:pPr>
              <w:spacing w:after="40"/>
              <w:jc w:val="left"/>
            </w:pPr>
            <w:r>
              <w:rPr>
                <w:rFonts w:ascii="Lato" w:hAnsi="Lato"/>
                <w:b w:val="0"/>
                <w:color w:val="1F2A5E"/>
                <w:sz w:val="15"/>
              </w:rPr>
              <w:t>Perda de cotações válidas</w:t>
            </w:r>
          </w:p>
        </w:tc>
        <w:tc>
          <w:tcPr>
            <w:tcW w:type="dxa" w:w="4032"/>
            <w:vAlign w:val="center"/>
            <w:shd w:fill="F3F4F6"/>
          </w:tcPr>
          <w:p>
            <w:pPr>
              <w:spacing w:after="40"/>
              <w:jc w:val="left"/>
            </w:pPr>
            <w:r>
              <w:rPr>
                <w:rFonts w:ascii="Lato" w:hAnsi="Lato"/>
                <w:b w:val="0"/>
                <w:color w:val="1F2A5E"/>
                <w:sz w:val="15"/>
              </w:rPr>
              <w:t>Período de monitoramento e lista de parceiros autorizados antes da mitigação.</w:t>
            </w:r>
          </w:p>
        </w:tc>
      </w:tr>
    </w:tbl>
    <w:p w14:paraId="0C5AB9CA"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9.  </w:t>
      </w:r>
      <w:r>
        <w:rPr>
          <w:rFonts w:ascii="Lato" w:eastAsia="Lato" w:hAnsi="Lato" w:cs="Lato"/>
          <w:b/>
          <w:bCs/>
          <w:color w:val="1F2A5E"/>
          <w:sz w:val="30"/>
          <w:szCs w:val="30"/>
        </w:rPr>
        <w:t>Cronograma Macro</w:t>
      </w:r>
    </w:p>
    <w:p>
      <w:pPr>
        <w:spacing w:after="120" w:line="276" w:lineRule="auto"/>
      </w:pPr>
      <w:r>
        <w:t>O cronograma prevê 4 a 5 semanas de implantação, contadas a partir da licença ativa.</w:t>
      </w:r>
    </w:p>
    <w:p>
      <w:pPr>
        <w:spacing w:after="120" w:line="276" w:lineRule="auto"/>
      </w:pPr>
      <w:r>
        <w:t>A Fase 1 (2 semanas) cobre levantamento e monitoramento; a Fase 2 (2 a 3 semanas) cobre ajuste e ativação da mitigação antes de 15/12/2026.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3024"/>
        <w:gridCol w:w="1944"/>
        <w:gridCol w:w="1296"/>
        <w:gridCol w:w="1584"/>
      </w:tblGrid>
      <w:tr w:rsidR="000025B6" w14:paraId="3B67D474" w14:textId="77777777">
        <w:trPr>
          <w:tblHeader/>
        </w:trPr>
        <w:tc>
          <w:tcPr>
            <w:tcW w:w="1728"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30C4EC7D" w14:textId="77777777" w:rsidR="0039468C" w:rsidRDefault="00000000">
            <w:r>
              <w:rPr>
                <w:b/>
                <w:bCs/>
                <w:color w:val="FFFFFF"/>
              </w:rPr>
              <w:t>Fase</w:t>
            </w:r>
          </w:p>
        </w:tc>
        <w:tc>
          <w:tcPr>
            <w:tcW w:w="302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0DB1572C" w14:textId="77777777" w:rsidR="0039468C" w:rsidRDefault="00000000">
            <w:r>
              <w:rPr>
                <w:b/>
                <w:bCs/>
                <w:color w:val="FFFFFF"/>
              </w:rPr>
              <w:t>Atividade</w:t>
            </w:r>
          </w:p>
        </w:tc>
        <w:tc>
          <w:tcPr>
            <w:tcW w:w="194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6769EBB4" w14:textId="77777777" w:rsidR="0039468C" w:rsidRDefault="00000000">
            <w:pPr>
              <w:jc w:val="center"/>
            </w:pPr>
            <w:r>
              <w:rPr>
                <w:b/>
                <w:bCs/>
                <w:color w:val="FFFFFF"/>
              </w:rPr>
              <w:t>Dependência</w:t>
            </w:r>
          </w:p>
        </w:tc>
        <w:tc>
          <w:tcPr>
            <w:tcW w:w="1296"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6584457C" w14:textId="77777777" w:rsidR="0039468C" w:rsidRDefault="00000000">
            <w:pPr>
              <w:jc w:val="center"/>
            </w:pPr>
            <w:r>
              <w:rPr>
                <w:b/>
                <w:bCs/>
                <w:color w:val="FFFFFF"/>
              </w:rPr>
              <w:t>Duração</w:t>
            </w:r>
          </w:p>
        </w:tc>
        <w:tc>
          <w:tcPr>
            <w:tcW w:w="158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1E6A91DF" w14:textId="77777777" w:rsidR="0039468C" w:rsidRDefault="00000000">
            <w:pPr>
              <w:jc w:val="center"/>
            </w:pPr>
            <w:r>
              <w:rPr>
                <w:b/>
                <w:bCs/>
                <w:color w:val="FFFFFF"/>
              </w:rPr>
              <w:t>Evidência</w:t>
            </w:r>
          </w:p>
        </w:tc>
      </w:tr>
      <w:tr w:rsidR="000025B6" w14:paraId="3F1FC04D" w14:textId="77777777">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94E3199" w14:textId="77777777" w:rsidR="0039468C" w:rsidRDefault="00000000">
            <w:pPr>
              <w:jc w:val="left"/>
            </w:pPr>
            <w:r>
              <w:rPr>
                <w:b/>
                <w:bCs/>
                <w:color w:val="1F2A5E"/>
                <w:sz w:val="15"/>
                <w:szCs w:val="20"/>
              </w:rPr>
              <w:t>Fase 1 — Levantamento e configuração em monitoramento</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pPr>
              <w:jc w:val="left"/>
            </w:pPr>
            <w:r>
              <w:rPr>
                <w:color w:val="1F2A5E"/>
                <w:sz w:val="15"/>
                <w:szCs w:val="20"/>
              </w:rPr>
              <w:t>Mapear o simulador, desenhar a política e ativar o Bot Manager Premier em modo de monitoramento.</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67F6ACF0" w14:textId="77777777" w:rsidR="0039468C" w:rsidRDefault="00000000">
            <w:pPr>
              <w:jc w:val="left"/>
            </w:pPr>
            <w:r>
              <w:rPr>
                <w:color w:val="1F2A5E"/>
                <w:sz w:val="15"/>
                <w:szCs w:val="20"/>
              </w:rPr>
              <w:t>Licença do Bot Manager Premier provisionada pela Akamai após assinatura do aditivo.</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7A1C635C" w14:textId="77777777" w:rsidR="0039468C" w:rsidRDefault="00000000">
            <w:pPr>
              <w:jc w:val="left"/>
            </w:pPr>
            <w:r>
              <w:rPr>
                <w:color w:val="1F2A5E"/>
                <w:sz w:val="15"/>
                <w:szCs w:val="20"/>
              </w:rPr>
              <w:t>2 semanas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2E1CAC2C" w14:textId="77777777" w:rsidR="0039468C" w:rsidRDefault="00000000">
            <w:pPr>
              <w:jc w:val="left"/>
            </w:pPr>
            <w:r>
              <w:rPr>
                <w:color w:val="1F2A5E"/>
                <w:sz w:val="15"/>
                <w:szCs w:val="20"/>
              </w:rPr>
              <w:t>HLD da política de bots, Política em modo de monitoramento</w:t>
            </w:r>
          </w:p>
        </w:tc>
      </w:tr>
      <w:tr w:rsidR="000025B6" w14:paraId="2299E885" w14:textId="77777777">
        <w:tc>
          <w:tcPr>
            <w:tcW w:w="1728"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9C84597" w14:textId="77777777" w:rsidR="0039468C" w:rsidRDefault="00000000">
            <w:pPr>
              <w:jc w:val="left"/>
            </w:pPr>
            <w:r>
              <w:rPr>
                <w:b/>
                <w:bCs/>
                <w:color w:val="1F2A5E"/>
                <w:sz w:val="15"/>
                <w:szCs w:val="20"/>
              </w:rPr>
              <w:t>Fase 2 — Ajuste e ativação da mitigação</w:t>
            </w:r>
          </w:p>
        </w:tc>
        <w:tc>
          <w:tcPr>
            <w:tcW w:w="302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pPr>
              <w:jc w:val="left"/>
            </w:pPr>
            <w:r>
              <w:rPr>
                <w:color w:val="1F2A5E"/>
                <w:sz w:val="15"/>
                <w:szCs w:val="20"/>
              </w:rPr>
              <w:t>Ajustar segmentos e ações com base no tráfego observado e ativar a mitigação em produção em janela aprovada.</w:t>
            </w:r>
          </w:p>
        </w:tc>
        <w:tc>
          <w:tcPr>
            <w:tcW w:w="194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5E928621" w14:textId="77777777" w:rsidR="0039468C" w:rsidRDefault="00000000">
            <w:pPr>
              <w:jc w:val="left"/>
            </w:pPr>
            <w:r>
              <w:rPr>
                <w:color w:val="1F2A5E"/>
                <w:sz w:val="15"/>
                <w:szCs w:val="20"/>
              </w:rPr>
              <w:t>Aprovação da Lumina para a janela de mudança, antes de 15/12/2026.</w:t>
            </w:r>
          </w:p>
        </w:tc>
        <w:tc>
          <w:tcPr>
            <w:tcW w:w="129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36308512" w14:textId="77777777" w:rsidR="0039468C" w:rsidRDefault="00000000">
            <w:pPr>
              <w:jc w:val="left"/>
            </w:pPr>
            <w:r>
              <w:rPr>
                <w:color w:val="1F2A5E"/>
                <w:sz w:val="15"/>
                <w:szCs w:val="20"/>
              </w:rPr>
              <w:t>2 a 3 semanas</w:t>
            </w:r>
          </w:p>
        </w:tc>
        <w:tc>
          <w:tcPr>
            <w:tcW w:w="158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7E6DCF4A" w14:textId="77777777" w:rsidR="0039468C" w:rsidRDefault="00000000">
            <w:pPr>
              <w:jc w:val="left"/>
            </w:pPr>
            <w:r>
              <w:rPr>
                <w:color w:val="1F2A5E"/>
                <w:sz w:val="15"/>
                <w:szCs w:val="20"/>
              </w:rPr>
              <w:t>Política em mitigação em produção, Relatório de classificação, As-built e runbook de reversão</w:t>
            </w:r>
          </w:p>
        </w:tc>
      </w:tr>
    </w:tbl>
    <w:p w14:paraId="613B77DA" w14:textId="77777777" w:rsidR="00BB0D50" w:rsidRDefault="00BB0D50">
      <w:pPr>
        <w:spacing w:after="60" w:line="276" w:lineRule="auto"/>
        <w:rPr>
          <w:i/>
          <w:iCs/>
          <w:color w:val="6B7280"/>
          <w:sz w:val="18"/>
          <w:szCs w:val="18"/>
        </w:rPr>
      </w:pPr>
    </w:p>
    <w:p w14:paraId="1C6D7AB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10.  </w:t>
      </w:r>
      <w:r>
        <w:rPr>
          <w:rFonts w:ascii="Lato" w:eastAsia="Lato" w:hAnsi="Lato" w:cs="Lato"/>
          <w:b/>
          <w:bCs/>
          <w:color w:val="1F2A5E"/>
          <w:sz w:val="30"/>
          <w:szCs w:val="30"/>
        </w:rPr>
        <w:t>Critérios de Aceite</w:t>
      </w:r>
    </w:p>
    <w:p>
      <w:pPr>
        <w:spacing w:after="120" w:line="276" w:lineRule="auto"/>
      </w:pPr>
      <w:r>
        <w:t>A aceitação seguirá os critérios mínimos registrados na matriz de rastreabilidade. A POPULOS propõe, como instrumento complementar de apoio, checklists por entrega, sem prejuízo dos marcos formais de aceite do projeto:</w:t>
      </w:r>
    </w:p>
    <w:p>
      <w:pPr>
        <w:pStyle w:val="PargrafodaLista"/>
        <w:numPr>
          <w:ilvl w:val="0"/>
          <w:numId w:val="2"/>
        </w:numPr>
        <w:spacing w:after="60" w:line="270" w:lineRule="auto"/>
      </w:pPr>
      <w:r>
        <w:t>Política do Bot Manager Premier ativa em modo de mitigação na propriedade do simulador de cotação, com as ações aprovadas pela Lumina aplicadas aos segmentos de automação definidos no HLD, verificada em teste funcional conjunto.</w:t>
      </w:r>
    </w:p>
    <w:p>
      <w:pPr>
        <w:pStyle w:val="PargrafodaLista"/>
        <w:numPr>
          <w:ilvl w:val="0"/>
          <w:numId w:val="2"/>
        </w:numPr>
        <w:spacing w:after="60" w:line="270" w:lineRule="auto"/>
      </w:pPr>
      <w:r>
        <w:t>Ativação da mitigação em produção concluída e registrada em janela aprovada antes de 15/12/2026, com runbook de reversão testado.</w:t>
      </w:r>
    </w:p>
    <w:p>
      <w:pPr>
        <w:pStyle w:val="PargrafodaLista"/>
        <w:numPr>
          <w:ilvl w:val="0"/>
          <w:numId w:val="2"/>
        </w:numPr>
        <w:spacing w:after="60" w:line="270" w:lineRule="auto"/>
      </w:pPr>
      <w:r>
        <w:t>Entrega do relatório de classificação do tráfego do simulador de cotação com volumes de requisições humanas e automatizadas antes e depois da ativação.</w:t>
      </w:r>
    </w:p>
    <w:p w14:paraId="26E65A66" w14:textId="77777777" w:rsidR="00BB2913" w:rsidRDefault="00BB2913" w:rsidP="00BB2913">
      <w:pPr>
        <w:spacing w:after="60" w:line="270"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45A687A1"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Marcos formais de aceite</w:t>
            </w:r>
          </w:p>
          <w:p>
            <w:pPr>
              <w:keepLines/>
              <w:spacing w:before="40" w:after="0"/>
            </w:pPr>
            <w:r>
              <w:rPr>
                <w:rFonts w:ascii="Lato" w:hAnsi="Lato"/>
                <w:b w:val="0"/>
                <w:sz w:val="17"/>
              </w:rPr>
              <w:t>Marcos: política em monitoramento ao fim da Fase 1 e mitigação em produção ao fim da Fase 2, antes de 15/12/2026.</w:t>
            </w:r>
          </w:p>
        </w:tc>
      </w:tr>
    </w:tbl>
    <w:p w14:paraId="20ADFDB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11.  </w:t>
      </w:r>
      <w:r>
        <w:rPr>
          <w:rFonts w:ascii="Lato" w:eastAsia="Lato" w:hAnsi="Lato" w:cs="Lato"/>
          <w:b/>
          <w:bCs/>
          <w:color w:val="1F2A5E"/>
          <w:sz w:val="30"/>
          <w:szCs w:val="30"/>
        </w:rPr>
        <w:t>Garantia Técnica</w:t>
      </w:r>
    </w:p>
    <w:p>
      <w:pPr>
        <w:spacing w:after="120" w:line="276" w:lineRule="auto"/>
      </w:pPr>
      <w:r>
        <w:t>A POPULOS corrigirá defeitos diretamente atribuíveis aos serviços executados por 90 dias corridos após o aceite final.</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04B9EB64"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Garantia e vigência</w:t>
            </w:r>
          </w:p>
          <w:p>
            <w:pPr>
              <w:keepLines/>
              <w:spacing w:before="40" w:after="0"/>
            </w:pPr>
            <w:r>
              <w:rPr>
                <w:rFonts w:ascii="Lato" w:hAnsi="Lato"/>
                <w:b w:val="0"/>
                <w:sz w:val="17"/>
              </w:rPr>
              <w:t>A POPULOS corrigirá defeitos diretamente atribuíveis aos serviços executados por 90 dias corridos após o aceite final.</w:t>
            </w:r>
          </w:p>
        </w:tc>
      </w:tr>
    </w:tbl>
    <w:p w14:paraId="4251E7E2" w14:textId="77777777" w:rsidR="00F71DA0" w:rsidRDefault="00F71DA0">
      <w:pPr>
        <w:spacing w:after="120" w:line="276" w:lineRule="auto"/>
      </w:pPr>
    </w:p>
    <w:p>
      <w:pPr>
        <w:spacing w:after="120" w:line="276" w:lineRule="auto"/>
      </w:pPr>
      <w:r>
        <w:t>A POPULOS permanece à disposição para esclarecimentos e para alinhar a assinatura do aditivo e as janelas de mudança.</w:t>
      </w:r>
    </w:p>
    <w:p w14:paraId="5A1A0001" w14:textId="77777777" w:rsidR="0039468C" w:rsidRDefault="00000000">
      <w:pPr>
        <w:pStyle w:val="Ttulo2"/>
        <w:keepNext/>
        <w:keepLines/>
        <w:spacing w:before="220" w:after="90"/>
      </w:pPr>
      <w:r>
        <w:rPr>
          <w:rFonts w:ascii="Lato" w:hAnsi="Lato"/>
          <w:b/>
          <w:bCs/>
          <w:sz w:val="25"/>
        </w:rPr>
        <w:t>Condições de atendimento</w:t>
      </w:r>
    </w:p>
    <w:p>
      <w:pPr>
        <w:spacing w:after="120" w:line="276" w:lineRule="auto"/>
      </w:pPr>
      <w:r>
        <w:t>Durante a execução e a garantia, a POPULOS adotará o padrão institucional de atendimento abaixo para falhas atribuíveis aos serviços executados.</w:t>
      </w:r>
    </w:p>
    <w:p w14:paraId="56D09804" w14:textId="77777777" w:rsidR="00263911" w:rsidRDefault="00263911">
      <w:pPr>
        <w:spacing w:after="120" w:line="276" w:lineRule="auto"/>
      </w:pPr>
    </w:p>
    <w:p w14:paraId="7FC73105" w14:textId="77777777" w:rsidR="00263911" w:rsidRDefault="00263911">
      <w:pPr>
        <w:spacing w:after="120" w:line="276" w:lineRule="auto"/>
      </w:pPr>
    </w:p>
    <w:tbl>
      <w:tblPr>
        <w:tblpPr w:leftFromText="141" w:rightFromText="141"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65"/>
        <w:gridCol w:w="3695"/>
      </w:tblGrid>
      <w:tr w:rsidR="000025B6" w14:paraId="086C88CC" w14:textId="77777777" w:rsidTr="00263911">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58C13410" w14:textId="77777777" w:rsidR="0039468C" w:rsidRDefault="00000000" w:rsidP="00263911">
            <w:r>
              <w:rPr>
                <w:b/>
                <w:bCs/>
                <w:color w:val="FFFFFF"/>
              </w:rPr>
              <w:lastRenderedPageBreak/>
              <w:t>Severidade</w:t>
            </w:r>
          </w:p>
        </w:tc>
        <w:tc>
          <w:tcPr>
            <w:tcW w:w="1800"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06F7424D" w14:textId="77777777" w:rsidR="0039468C" w:rsidRDefault="00000000" w:rsidP="00263911">
            <w:pPr>
              <w:jc w:val="center"/>
            </w:pPr>
            <w:r>
              <w:rPr>
                <w:b/>
                <w:bCs/>
                <w:color w:val="FFFFFF"/>
              </w:rPr>
              <w:t>Tempo de Resposta</w:t>
            </w:r>
          </w:p>
        </w:tc>
        <w:tc>
          <w:tcPr>
            <w:tcW w:w="2065"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56B73A72" w14:textId="77777777" w:rsidR="0039468C" w:rsidRDefault="00000000" w:rsidP="00263911">
            <w:pPr>
              <w:jc w:val="center"/>
            </w:pPr>
            <w:r>
              <w:rPr>
                <w:b/>
                <w:bCs/>
                <w:color w:val="FFFFFF"/>
              </w:rPr>
              <w:t>Tempo de Resolução</w:t>
            </w:r>
          </w:p>
        </w:tc>
        <w:tc>
          <w:tcPr>
            <w:tcW w:w="3695"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4E4A0347" w14:textId="77777777" w:rsidR="0039468C" w:rsidRDefault="00000000" w:rsidP="00263911">
            <w:r>
              <w:rPr>
                <w:b/>
                <w:bCs/>
                <w:color w:val="FFFFFF"/>
              </w:rPr>
              <w:t>Descrição</w:t>
            </w:r>
          </w:p>
        </w:tc>
      </w:tr>
      <w:tr w:rsidR="000025B6" w14:paraId="60073BC3"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DC2626"/>
            <w:tcMar>
              <w:top w:w="100" w:type="dxa"/>
              <w:left w:w="140" w:type="dxa"/>
              <w:bottom w:w="100" w:type="dxa"/>
              <w:right w:w="140" w:type="dxa"/>
            </w:tcMar>
            <w:vAlign w:val="center"/>
          </w:tcPr>
          <w:p w14:paraId="46C8B0F5" w14:textId="77777777" w:rsidR="0039468C" w:rsidRDefault="00000000" w:rsidP="00263911">
            <w:pPr>
              <w:jc w:val="center"/>
            </w:pPr>
            <w:r>
              <w:rPr>
                <w:b/>
                <w:bCs/>
                <w:color w:val="FFFFFF"/>
              </w:rPr>
              <w:t>ALTA</w:t>
            </w:r>
          </w:p>
        </w:tc>
        <w:tc>
          <w:tcPr>
            <w:tcW w:w="1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C397F59" w14:textId="77777777" w:rsidR="0039468C" w:rsidRDefault="00000000" w:rsidP="00263911">
            <w:pPr>
              <w:jc w:val="center"/>
            </w:pPr>
            <w:r>
              <w:rPr>
                <w:b/>
                <w:bCs/>
                <w:color w:val="1F2937"/>
                <w:sz w:val="20"/>
                <w:szCs w:val="20"/>
              </w:rPr>
              <w:t>Até 1 hora</w:t>
            </w:r>
          </w:p>
        </w:tc>
        <w:tc>
          <w:tcPr>
            <w:tcW w:w="20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4D732BA" w14:textId="77777777" w:rsidR="0039468C" w:rsidRDefault="00000000" w:rsidP="00263911">
            <w:pPr>
              <w:jc w:val="center"/>
            </w:pPr>
            <w:r>
              <w:rPr>
                <w:b/>
                <w:bCs/>
                <w:color w:val="1F2937"/>
                <w:sz w:val="20"/>
                <w:szCs w:val="20"/>
              </w:rPr>
              <w:t>Até 4 horas</w:t>
            </w:r>
          </w:p>
        </w:tc>
        <w:tc>
          <w:tcPr>
            <w:tcW w:w="369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EC1E8A8" w14:textId="77777777" w:rsidR="0039468C" w:rsidRDefault="00000000" w:rsidP="00263911">
            <w:r>
              <w:rPr>
                <w:color w:val="1F2937"/>
                <w:sz w:val="20"/>
                <w:szCs w:val="20"/>
              </w:rPr>
              <w:t>Situação de alto impacto que possivelmente coloque em risco o ambiente de produção. A apresentação de uma solução de contorno (workaround) também é considerada tempo de solução.</w:t>
            </w:r>
          </w:p>
        </w:tc>
      </w:tr>
      <w:tr w:rsidR="000025B6" w14:paraId="3EC3F82F"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D97706"/>
            <w:tcMar>
              <w:top w:w="100" w:type="dxa"/>
              <w:left w:w="140" w:type="dxa"/>
              <w:bottom w:w="100" w:type="dxa"/>
              <w:right w:w="140" w:type="dxa"/>
            </w:tcMar>
            <w:vAlign w:val="center"/>
          </w:tcPr>
          <w:p w14:paraId="108C93AA" w14:textId="77777777" w:rsidR="0039468C" w:rsidRDefault="00000000" w:rsidP="00263911">
            <w:pPr>
              <w:jc w:val="center"/>
            </w:pPr>
            <w:r>
              <w:rPr>
                <w:b/>
                <w:bCs/>
                <w:color w:val="FFFFFF"/>
              </w:rPr>
              <w:t>MÉDIA</w:t>
            </w:r>
          </w:p>
        </w:tc>
        <w:tc>
          <w:tcPr>
            <w:tcW w:w="1800"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7C09A2D7" w14:textId="77777777" w:rsidR="0039468C" w:rsidRDefault="00000000" w:rsidP="00263911">
            <w:pPr>
              <w:jc w:val="center"/>
            </w:pPr>
            <w:r>
              <w:rPr>
                <w:b/>
                <w:bCs/>
                <w:color w:val="1F2937"/>
                <w:sz w:val="20"/>
                <w:szCs w:val="20"/>
              </w:rPr>
              <w:t>Até 2 horas</w:t>
            </w:r>
          </w:p>
        </w:tc>
        <w:tc>
          <w:tcPr>
            <w:tcW w:w="2065"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18B91A41" w14:textId="77777777" w:rsidR="0039468C" w:rsidRDefault="00000000" w:rsidP="00263911">
            <w:pPr>
              <w:jc w:val="center"/>
            </w:pPr>
            <w:r>
              <w:rPr>
                <w:b/>
                <w:bCs/>
                <w:color w:val="1F2937"/>
                <w:sz w:val="20"/>
                <w:szCs w:val="20"/>
              </w:rPr>
              <w:t>Até 8 horas</w:t>
            </w:r>
          </w:p>
        </w:tc>
        <w:tc>
          <w:tcPr>
            <w:tcW w:w="3695"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1030E4BE" w14:textId="77777777" w:rsidR="0039468C" w:rsidRDefault="00000000" w:rsidP="00263911">
            <w:r>
              <w:rPr>
                <w:color w:val="1F2937"/>
                <w:sz w:val="20"/>
                <w:szCs w:val="20"/>
              </w:rPr>
              <w:t>Situação de baixo impacto, podendo a maioria das funções do software ser usada; entretanto, alguma intervenção pode ser necessária. A apresentação de workaround também é considerada tempo de solução.</w:t>
            </w:r>
          </w:p>
        </w:tc>
      </w:tr>
      <w:tr w:rsidR="000025B6" w14:paraId="5BD768E3"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059669"/>
            <w:tcMar>
              <w:top w:w="100" w:type="dxa"/>
              <w:left w:w="140" w:type="dxa"/>
              <w:bottom w:w="100" w:type="dxa"/>
              <w:right w:w="140" w:type="dxa"/>
            </w:tcMar>
            <w:vAlign w:val="center"/>
          </w:tcPr>
          <w:p w14:paraId="7F14EE86" w14:textId="77777777" w:rsidR="0039468C" w:rsidRDefault="00000000" w:rsidP="00263911">
            <w:pPr>
              <w:jc w:val="center"/>
            </w:pPr>
            <w:r>
              <w:rPr>
                <w:b/>
                <w:bCs/>
                <w:color w:val="FFFFFF"/>
              </w:rPr>
              <w:t>BAIXA</w:t>
            </w:r>
          </w:p>
        </w:tc>
        <w:tc>
          <w:tcPr>
            <w:tcW w:w="1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10F8782" w14:textId="77777777" w:rsidR="0039468C" w:rsidRDefault="00000000" w:rsidP="00263911">
            <w:pPr>
              <w:jc w:val="center"/>
            </w:pPr>
            <w:r>
              <w:rPr>
                <w:b/>
                <w:bCs/>
                <w:color w:val="1F2937"/>
                <w:sz w:val="20"/>
                <w:szCs w:val="20"/>
              </w:rPr>
              <w:t>Até 16 horas</w:t>
            </w:r>
          </w:p>
        </w:tc>
        <w:tc>
          <w:tcPr>
            <w:tcW w:w="20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BCE7798" w14:textId="77777777" w:rsidR="0039468C" w:rsidRDefault="00000000" w:rsidP="00263911">
            <w:pPr>
              <w:jc w:val="center"/>
            </w:pPr>
            <w:r>
              <w:rPr>
                <w:b/>
                <w:bCs/>
                <w:color w:val="1F2937"/>
                <w:sz w:val="20"/>
                <w:szCs w:val="20"/>
              </w:rPr>
              <w:t>Até 24 horas</w:t>
            </w:r>
          </w:p>
        </w:tc>
        <w:tc>
          <w:tcPr>
            <w:tcW w:w="369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ACED53E" w14:textId="77777777" w:rsidR="0039468C" w:rsidRDefault="00000000" w:rsidP="00263911">
            <w:r>
              <w:rPr>
                <w:color w:val="1F2937"/>
                <w:sz w:val="20"/>
                <w:szCs w:val="20"/>
              </w:rPr>
              <w:t>Solicitações de mudança, atualizações, gerenciamento de usuários, dúvidas, novas instalações ou publicações de aplicativos e outras ações planejadas.</w:t>
            </w:r>
          </w:p>
        </w:tc>
      </w:tr>
    </w:tbl>
    <w:p w14:paraId="5A1A0003" w14:textId="43317108" w:rsidR="0039468C" w:rsidRDefault="00263911">
      <w:pPr>
        <w:spacing w:after="60"/>
      </w:pPr>
      <w:r>
        <w:br w:type="textWrapping" w:clear="all"/>
      </w:r>
    </w:p>
    <w:p w14:paraId="5FE30D07"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12.  </w:t>
      </w:r>
      <w:r>
        <w:rPr>
          <w:rFonts w:ascii="Lato" w:eastAsia="Lato" w:hAnsi="Lato" w:cs="Lato"/>
          <w:b/>
          <w:bCs/>
          <w:color w:val="1F2A5E"/>
          <w:sz w:val="30"/>
          <w:szCs w:val="30"/>
        </w:rPr>
        <w:t>Papéis e Responsabilidades do Projeto</w:t>
      </w:r>
    </w:p>
    <w:tbl>
      <w:tblPr>
        <w:tblW w:w="10348" w:type="dxa"/>
        <w:tblBorders>
          <w:top w:val="single" w:sz="2" w:space="0" w:color="D1D5DB"/>
          <w:bottom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3000"/>
        <w:gridCol w:w="4513"/>
        <w:gridCol w:w="2835"/>
      </w:tblGrid>
      <w:tr w:rsidR="00F227EA" w14:paraId="6D32BE7C" w14:textId="77777777" w:rsidTr="0017666D">
        <w:trPr>
          <w:tblHeader/>
        </w:trPr>
        <w:tc>
          <w:tcPr>
            <w:tcW w:w="3000" w:type="dxa"/>
            <w:shd w:val="clear" w:color="auto" w:fill="1F2A5E"/>
            <w:tcMar>
              <w:top w:w="60" w:type="dxa"/>
              <w:left w:w="100" w:type="dxa"/>
              <w:bottom w:w="60" w:type="dxa"/>
              <w:right w:w="100" w:type="dxa"/>
            </w:tcMar>
          </w:tcPr>
          <w:p w14:paraId="2477BF27" w14:textId="77777777" w:rsidR="00F227EA" w:rsidRDefault="00000000">
            <w:r>
              <w:rPr>
                <w:rFonts w:ascii="Lato" w:eastAsia="Lato" w:hAnsi="Lato" w:cs="Lato"/>
                <w:b/>
                <w:bCs/>
                <w:color w:val="FFFFFF"/>
                <w:sz w:val="19"/>
                <w:szCs w:val="19"/>
              </w:rPr>
              <w:t>Função / Área</w:t>
            </w:r>
          </w:p>
        </w:tc>
        <w:tc>
          <w:tcPr>
            <w:tcW w:w="4513" w:type="dxa"/>
            <w:shd w:val="clear" w:color="auto" w:fill="1F2A5E"/>
            <w:tcMar>
              <w:top w:w="60" w:type="dxa"/>
              <w:left w:w="100" w:type="dxa"/>
              <w:bottom w:w="60" w:type="dxa"/>
              <w:right w:w="100" w:type="dxa"/>
            </w:tcMar>
          </w:tcPr>
          <w:p w14:paraId="20ED0D71" w14:textId="77777777" w:rsidR="00F227EA" w:rsidRDefault="00000000">
            <w:r>
              <w:rPr>
                <w:rFonts w:ascii="Lato" w:eastAsia="Lato" w:hAnsi="Lato" w:cs="Lato"/>
                <w:b/>
                <w:bCs/>
                <w:color w:val="FFFFFF"/>
                <w:sz w:val="19"/>
                <w:szCs w:val="19"/>
              </w:rPr>
              <w:t>Responsabilidades</w:t>
            </w:r>
          </w:p>
        </w:tc>
        <w:tc>
          <w:tcPr>
            <w:tcW w:w="2835" w:type="dxa"/>
            <w:shd w:val="clear" w:color="auto" w:fill="1F2A5E"/>
            <w:tcMar>
              <w:top w:w="60" w:type="dxa"/>
              <w:left w:w="100" w:type="dxa"/>
              <w:bottom w:w="60" w:type="dxa"/>
              <w:right w:w="100" w:type="dxa"/>
            </w:tcMar>
          </w:tcPr>
          <w:p w14:paraId="41296C76" w14:textId="77777777" w:rsidR="00F227EA" w:rsidRDefault="00000000">
            <w:r>
              <w:rPr>
                <w:rFonts w:ascii="Lato" w:eastAsia="Lato" w:hAnsi="Lato" w:cs="Lato"/>
                <w:b/>
                <w:bCs/>
                <w:color w:val="FFFFFF"/>
                <w:sz w:val="19"/>
                <w:szCs w:val="19"/>
              </w:rPr>
              <w:t>Compromisso</w:t>
            </w:r>
          </w:p>
        </w:tc>
      </w:tr>
      <w:tr w:rsidR="00F227EA" w14:paraId="652C4FBB" w14:textId="77777777" w:rsidTr="0017666D">
        <w:tc>
          <w:tcPr>
            <w:tcW w:w="3000" w:type="dxa"/>
            <w:shd w:val="clear" w:color="auto" w:fill="E5E7EB"/>
            <w:tcMar>
              <w:top w:w="50" w:type="dxa"/>
              <w:left w:w="100" w:type="dxa"/>
              <w:bottom w:w="50" w:type="dxa"/>
              <w:right w:w="100" w:type="dxa"/>
            </w:tcMar>
          </w:tcPr>
          <w:p w14:paraId="4EC29029" w14:textId="77777777" w:rsidR="00F227EA" w:rsidRDefault="00000000">
            <w:r>
              <w:rPr>
                <w:b/>
                <w:bCs/>
                <w:sz w:val="19"/>
                <w:szCs w:val="19"/>
              </w:rPr>
              <w:t>Arquiteto de soluções</w:t>
            </w:r>
          </w:p>
        </w:tc>
        <w:tc>
          <w:tcPr>
            <w:tcW w:w="4513" w:type="dxa"/>
            <w:shd w:val="clear" w:color="auto" w:fill="E5E7EB"/>
            <w:tcMar>
              <w:top w:w="50" w:type="dxa"/>
              <w:left w:w="100" w:type="dxa"/>
              <w:bottom w:w="50" w:type="dxa"/>
              <w:right w:w="100" w:type="dxa"/>
            </w:tcMar>
          </w:tcPr>
          <w:p w14:paraId="19214B24" w14:textId="77777777" w:rsidR="00F227EA" w:rsidRDefault="00F227EA">
            <w:r>
              <w:t>Desenho da política de bots e validação técnica</w:t>
            </w:r>
          </w:p>
        </w:tc>
        <w:tc>
          <w:tcPr>
            <w:tcW w:w="2835" w:type="dxa"/>
            <w:shd w:val="clear" w:color="auto" w:fill="E5E7EB"/>
            <w:tcMar>
              <w:top w:w="50" w:type="dxa"/>
              <w:left w:w="100" w:type="dxa"/>
              <w:bottom w:w="50" w:type="dxa"/>
              <w:right w:w="100" w:type="dxa"/>
            </w:tcMar>
          </w:tcPr>
          <w:p w14:paraId="2D4C5A2E" w14:textId="77777777" w:rsidR="00F227EA" w:rsidRDefault="00F227EA">
            <w:r>
              <w:t>Durante todo o projeto</w:t>
            </w:r>
          </w:p>
        </w:tc>
      </w:tr>
      <w:tr w:rsidR="00F227EA" w14:paraId="53D75110" w14:textId="77777777" w:rsidTr="0017666D">
        <w:tc>
          <w:tcPr>
            <w:tcW w:w="3000" w:type="dxa"/>
            <w:shd w:val="clear" w:color="auto" w:fill="F3F4F6"/>
            <w:tcMar>
              <w:top w:w="50" w:type="dxa"/>
              <w:left w:w="100" w:type="dxa"/>
              <w:bottom w:w="50" w:type="dxa"/>
              <w:right w:w="100" w:type="dxa"/>
            </w:tcMar>
          </w:tcPr>
          <w:p w14:paraId="6FFB9B89" w14:textId="77777777" w:rsidR="00F227EA" w:rsidRDefault="00000000">
            <w:r>
              <w:rPr>
                <w:sz w:val="19"/>
                <w:szCs w:val="19"/>
              </w:rPr>
              <w:t>Engenheiro de implantação</w:t>
            </w:r>
          </w:p>
        </w:tc>
        <w:tc>
          <w:tcPr>
            <w:tcW w:w="4513" w:type="dxa"/>
            <w:shd w:val="clear" w:color="auto" w:fill="F3F4F6"/>
            <w:tcMar>
              <w:top w:w="50" w:type="dxa"/>
              <w:left w:w="100" w:type="dxa"/>
              <w:bottom w:w="50" w:type="dxa"/>
              <w:right w:w="100" w:type="dxa"/>
            </w:tcMar>
          </w:tcPr>
          <w:p w14:paraId="228AD879" w14:textId="77777777" w:rsidR="00F227EA" w:rsidRDefault="00000000">
            <w:r>
              <w:rPr>
                <w:sz w:val="19"/>
                <w:szCs w:val="19"/>
              </w:rPr>
              <w:t>Configuração, ajuste e ativação em produção</w:t>
            </w:r>
          </w:p>
        </w:tc>
        <w:tc>
          <w:tcPr>
            <w:tcW w:w="2835" w:type="dxa"/>
            <w:shd w:val="clear" w:color="auto" w:fill="F3F4F6"/>
            <w:tcMar>
              <w:top w:w="50" w:type="dxa"/>
              <w:left w:w="100" w:type="dxa"/>
              <w:bottom w:w="50" w:type="dxa"/>
              <w:right w:w="100" w:type="dxa"/>
            </w:tcMar>
          </w:tcPr>
          <w:p w14:paraId="439F5D9E" w14:textId="77777777" w:rsidR="00F227EA" w:rsidRDefault="00000000">
            <w:r>
              <w:rPr>
                <w:sz w:val="19"/>
                <w:szCs w:val="19"/>
              </w:rPr>
              <w:t>Fases 1 e 2</w:t>
            </w:r>
          </w:p>
        </w:tc>
      </w:tr>
      <w:tr w:rsidR="00F227EA" w14:paraId="5B6E9CA2" w14:textId="77777777" w:rsidTr="0017666D">
        <w:tc>
          <w:tcPr>
            <w:tcW w:w="3000" w:type="dxa"/>
            <w:tcMar>
              <w:top w:w="50" w:type="dxa"/>
              <w:left w:w="100" w:type="dxa"/>
              <w:bottom w:w="50" w:type="dxa"/>
              <w:right w:w="100" w:type="dxa"/>
            </w:tcMar>
          </w:tcPr>
          <w:p w14:paraId="064DA46A" w14:textId="77777777" w:rsidR="00F227EA" w:rsidRDefault="00000000">
            <w:r>
              <w:rPr>
                <w:sz w:val="19"/>
                <w:szCs w:val="19"/>
              </w:rPr>
              <w:t>Gerente de projeto</w:t>
            </w:r>
          </w:p>
        </w:tc>
        <w:tc>
          <w:tcPr>
            <w:tcW w:w="4513" w:type="dxa"/>
            <w:tcMar>
              <w:top w:w="50" w:type="dxa"/>
              <w:left w:w="100" w:type="dxa"/>
              <w:bottom w:w="50" w:type="dxa"/>
              <w:right w:w="100" w:type="dxa"/>
            </w:tcMar>
          </w:tcPr>
          <w:p w14:paraId="6BA92290" w14:textId="77777777" w:rsidR="00F227EA" w:rsidRDefault="00000000">
            <w:r>
              <w:rPr>
                <w:sz w:val="19"/>
                <w:szCs w:val="19"/>
              </w:rPr>
              <w:t>Cronograma, janelas de mudança e aceite</w:t>
            </w:r>
          </w:p>
        </w:tc>
        <w:tc>
          <w:tcPr>
            <w:tcW w:w="2835" w:type="dxa"/>
            <w:tcMar>
              <w:top w:w="50" w:type="dxa"/>
              <w:left w:w="100" w:type="dxa"/>
              <w:bottom w:w="50" w:type="dxa"/>
              <w:right w:w="100" w:type="dxa"/>
            </w:tcMar>
          </w:tcPr>
          <w:p w14:paraId="529FE705" w14:textId="77777777" w:rsidR="00F227EA" w:rsidRDefault="00000000">
            <w:r>
              <w:rPr>
                <w:sz w:val="19"/>
                <w:szCs w:val="19"/>
              </w:rPr>
              <w:t>Durante todo o projeto</w:t>
            </w:r>
          </w:p>
        </w:tc>
      </w:tr>
      <w:tr w:rsidR="00F227EA" w14:paraId="2EFB69EF" w14:textId="77777777" w:rsidTr="0017666D">
        <w:tc>
          <w:tcPr>
            <w:tcW w:w="3000" w:type="dxa"/>
            <w:shd w:val="clear" w:color="auto" w:fill="F3F4F6"/>
            <w:tcMar>
              <w:top w:w="50" w:type="dxa"/>
              <w:left w:w="100" w:type="dxa"/>
              <w:bottom w:w="50" w:type="dxa"/>
              <w:right w:w="100" w:type="dxa"/>
            </w:tcMar>
          </w:tcPr>
          <w:p w14:paraId="3D7BC952" w14:textId="77777777" w:rsidR="00F227EA" w:rsidRDefault="00000000">
            <w:r>
              <w:rPr>
                <w:sz w:val="19"/>
                <w:szCs w:val="19"/>
              </w:rPr>
              <w:t>Lumina Seguros</w:t>
            </w:r>
          </w:p>
        </w:tc>
        <w:tc>
          <w:tcPr>
            <w:tcW w:w="4513" w:type="dxa"/>
            <w:shd w:val="clear" w:color="auto" w:fill="F3F4F6"/>
            <w:tcMar>
              <w:top w:w="50" w:type="dxa"/>
              <w:left w:w="100" w:type="dxa"/>
              <w:bottom w:w="50" w:type="dxa"/>
              <w:right w:w="100" w:type="dxa"/>
            </w:tcMar>
          </w:tcPr>
          <w:p w14:paraId="50E719CB" w14:textId="77777777" w:rsidR="00F227EA" w:rsidRDefault="00000000">
            <w:r>
              <w:rPr>
                <w:sz w:val="19"/>
                <w:szCs w:val="19"/>
              </w:rPr>
              <w:t>Assinar o aditivo de licenciamento com a Akamai, informar endpoints do simulador, aprovar ações de resposta e janelas de mudança.</w:t>
            </w:r>
          </w:p>
        </w:tc>
        <w:tc>
          <w:tcPr>
            <w:tcW w:w="2835" w:type="dxa"/>
            <w:shd w:val="clear" w:color="auto" w:fill="F3F4F6"/>
            <w:tcMar>
              <w:top w:w="50" w:type="dxa"/>
              <w:left w:w="100" w:type="dxa"/>
              <w:bottom w:w="50" w:type="dxa"/>
              <w:right w:w="100" w:type="dxa"/>
            </w:tcMar>
          </w:tcPr>
          <w:p w14:paraId="4CD553C4" w14:textId="77777777" w:rsidR="00F227EA" w:rsidRDefault="00000000">
            <w:r>
              <w:rPr>
                <w:sz w:val="19"/>
                <w:szCs w:val="19"/>
              </w:rPr>
              <w:t>Conforme plano</w:t>
            </w:r>
          </w:p>
        </w:tc>
      </w:tr>
      <w:tr w:rsidR="00F227EA" w14:paraId="19041142" w14:textId="77777777" w:rsidTr="0017666D">
        <w:tc>
          <w:tcPr>
            <w:tcW w:w="3000" w:type="dxa"/>
            <w:tcMar>
              <w:top w:w="50" w:type="dxa"/>
              <w:left w:w="100" w:type="dxa"/>
              <w:bottom w:w="50" w:type="dxa"/>
              <w:right w:w="100" w:type="dxa"/>
            </w:tcMar>
          </w:tcPr>
          <w:p>
            <w:r>
              <w:rPr>
                <w:sz w:val="19"/>
                <w:szCs w:val="19"/>
              </w:rPr>
              <w:t>Akamai</w:t>
            </w:r>
          </w:p>
        </w:tc>
        <w:tc>
          <w:tcPr>
            <w:tcW w:w="4513" w:type="dxa"/>
            <w:tcMar>
              <w:top w:w="50" w:type="dxa"/>
              <w:left w:w="100" w:type="dxa"/>
              <w:bottom w:w="50" w:type="dxa"/>
              <w:right w:w="100" w:type="dxa"/>
            </w:tcMar>
          </w:tcPr>
          <w:p w14:paraId="0A9EAE15" w14:textId="77777777" w:rsidR="00F227EA" w:rsidRDefault="00000000">
            <w:r>
              <w:rPr>
                <w:sz w:val="19"/>
                <w:szCs w:val="19"/>
              </w:rPr>
              <w:t>Provisionar a licença do Bot Manager Premier conforme o aditivo firmado diretamente com a Lumina.</w:t>
            </w:r>
          </w:p>
        </w:tc>
        <w:tc>
          <w:tcPr>
            <w:tcW w:w="2835" w:type="dxa"/>
            <w:tcMar>
              <w:top w:w="50" w:type="dxa"/>
              <w:left w:w="100" w:type="dxa"/>
              <w:bottom w:w="50" w:type="dxa"/>
              <w:right w:w="100" w:type="dxa"/>
            </w:tcMar>
          </w:tcPr>
          <w:p w14:paraId="04890EA9" w14:textId="77777777" w:rsidR="00F227EA" w:rsidRDefault="00000000">
            <w:r>
              <w:rPr>
                <w:sz w:val="19"/>
                <w:szCs w:val="19"/>
              </w:rPr>
              <w:t>Conforme plano</w:t>
            </w:r>
          </w:p>
        </w:tc>
      </w:tr>
    </w:tbl>
    <w:p w14:paraId="68A0A745" w14:textId="77777777" w:rsidR="00263911" w:rsidRDefault="00263911">
      <w:pPr>
        <w:pStyle w:val="Ttulo1"/>
        <w:keepNext/>
        <w:keepLines/>
        <w:pBdr>
          <w:bottom w:val="single" w:sz="6" w:space="4" w:color="6B46C1"/>
        </w:pBdr>
        <w:spacing w:before="320" w:after="140"/>
        <w:rPr>
          <w:rFonts w:ascii="Lato" w:eastAsia="Lato" w:hAnsi="Lato" w:cs="Lato"/>
          <w:b/>
          <w:bCs/>
          <w:color w:val="6B46C1"/>
          <w:sz w:val="30"/>
          <w:szCs w:val="30"/>
        </w:rPr>
      </w:pPr>
    </w:p>
    <w:p w14:paraId="4BCE6B76" w14:textId="17B07C63" w:rsidR="00F227EA" w:rsidRDefault="00000000">
      <w:pPr>
        <w:pStyle w:val="Ttulo1"/>
        <w:keepNext/>
        <w:keepLines/>
        <w:pageBreakBefore w:val="0"/>
        <w:pBdr>
          <w:bottom w:val="single" w:sz="6" w:space="4" w:color="6B46C1"/>
        </w:pBdr>
        <w:spacing w:before="320" w:after="140"/>
      </w:pPr>
      <w:r>
        <w:rPr>
          <w:rFonts w:ascii="Lato" w:eastAsia="Lato" w:hAnsi="Lato" w:cs="Lato"/>
          <w:b/>
          <w:bCs/>
          <w:color w:val="6B46C1"/>
          <w:sz w:val="30"/>
          <w:szCs w:val="30"/>
        </w:rPr>
        <w:lastRenderedPageBreak/>
        <w:t xml:space="preserve">13.  </w:t>
      </w:r>
      <w:r>
        <w:rPr>
          <w:rFonts w:ascii="Lato" w:eastAsia="Lato" w:hAnsi="Lato" w:cs="Lato"/>
          <w:b/>
          <w:bCs/>
          <w:color w:val="1F2A5E"/>
          <w:sz w:val="30"/>
          <w:szCs w:val="30"/>
        </w:rPr>
        <w:t>Nota de Confidencialidade</w:t>
      </w:r>
    </w:p>
    <w:p>
      <w:pPr>
        <w:keepNext/>
        <w:spacing w:after="120" w:line="276" w:lineRule="auto"/>
      </w:pPr>
      <w:r>
        <w:t>Todas as informações deste documento são confidenciais e destinam-se exclusivamente à avaliação da proposta por Lumina Seguros e pela POPULOS.</w:t>
      </w:r>
    </w:p>
    <w:p>
      <w:pPr>
        <w:keepNext/>
        <w:spacing w:after="200" w:line="276" w:lineRule="auto"/>
      </w:pPr>
      <w:r>
        <w:t>Os direitos de propriedade intelectual sobre trabalhos preexistentes, roteiros de instalação, automações e métodos da POPULOS permanecem com a POPULOS. A documentação técnica específica do ambiente será entregue a Lumina Seguros conforme o escopo aprovado.</w:t>
      </w:r>
    </w:p>
    <w:p w14:paraId="797633B9" w14:textId="77777777" w:rsidR="00BD500C" w:rsidRDefault="00BD500C">
      <w:pPr>
        <w:spacing w:after="200" w:line="276"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5F04289C" w14:textId="77777777">
        <w:trPr>
          <w:cantSplit/>
        </w:trPr>
        <w:tc>
          <w:tcPr>
            <w:tcW w:w="10080" w:type="dxa"/>
            <w:shd w:val="clear" w:color="auto" w:fill="F9FAFB"/>
            <w:tcMar>
              <w:top w:w="120" w:type="dxa"/>
              <w:left w:w="200" w:type="dxa"/>
              <w:bottom w:w="120" w:type="dxa"/>
              <w:right w:w="200" w:type="dxa"/>
            </w:tcMar>
          </w:tcPr>
          <w:p w14:paraId="7A1FA577" w14:textId="77777777" w:rsidR="00F227EA" w:rsidRPr="00803FB7" w:rsidRDefault="00000000">
            <w:pPr>
              <w:spacing w:after="60"/>
              <w:rPr>
                <w:lang w:val="en-US"/>
              </w:rPr>
            </w:pPr>
            <w:r>
              <w:rPr>
                <w:rFonts w:ascii="Lato" w:eastAsia="Lato" w:hAnsi="Lato" w:cs="Lato"/>
                <w:b/>
                <w:bCs/>
                <w:color w:val="1F2A5E"/>
                <w:lang w:val="en-US"/>
              </w:rPr>
              <w:t>POPULOS — Enterprise Sales</w:t>
            </w:r>
          </w:p>
          <w:p w14:paraId="2B1BD1D3" w14:textId="2AAA9464" w:rsidR="00F227EA" w:rsidRPr="00803FB7" w:rsidRDefault="00BD500C">
            <w:pPr>
              <w:spacing w:after="40" w:line="276" w:lineRule="auto"/>
              <w:rPr>
                <w:lang w:val="en-US"/>
              </w:rPr>
            </w:pPr>
            <w:r>
              <w:rPr>
                <w:lang w:val="en-US"/>
              </w:rPr>
              <w:t>Brazil |  +55 (11) 3021-3761</w:t>
            </w:r>
          </w:p>
          <w:p w14:paraId="654D4E69" w14:textId="77777777" w:rsidR="00F227EA" w:rsidRPr="00803FB7" w:rsidRDefault="00000000">
            <w:pPr>
              <w:spacing w:after="20" w:line="276" w:lineRule="auto"/>
              <w:rPr>
                <w:lang w:val="en-US"/>
              </w:rPr>
            </w:pPr>
            <w:r>
              <w:rPr>
                <w:b/>
                <w:bCs/>
                <w:lang w:val="en-US"/>
              </w:rPr>
              <w:t>Locations</w:t>
            </w:r>
          </w:p>
          <w:p w14:paraId="61C60C47" w14:textId="77777777" w:rsidR="00F227EA" w:rsidRPr="00803FB7" w:rsidRDefault="00000000">
            <w:pPr>
              <w:spacing w:after="20" w:line="276" w:lineRule="auto"/>
              <w:rPr>
                <w:lang w:val="en-US"/>
              </w:rPr>
            </w:pPr>
            <w:r>
              <w:rPr>
                <w:lang w:val="en-US"/>
              </w:rPr>
              <w:t>Deerfield Beach — 3275 W Hillsboro BLVD, FL 33442, United States</w:t>
            </w:r>
          </w:p>
          <w:p w14:paraId="05D1DC7C" w14:textId="77777777" w:rsidR="00F227EA" w:rsidRDefault="00000000">
            <w:pPr>
              <w:spacing w:line="276" w:lineRule="auto"/>
            </w:pPr>
            <w:r>
              <w:t>Av. Tamboré, 267 — Alphaville, Barueri — SP, 06460-000, Brasil</w:t>
            </w:r>
          </w:p>
        </w:tc>
      </w:tr>
    </w:tbl>
    <w:p w14:paraId="4403C193" w14:textId="77777777" w:rsidR="00263911" w:rsidRDefault="00263911" w:rsidP="00BE28E3">
      <w:pPr>
        <w:spacing w:before="100"/>
        <w:jc w:val="center"/>
        <w:rPr>
          <w:i/>
          <w:iCs/>
          <w:color w:val="6B7280"/>
          <w:sz w:val="15"/>
          <w:szCs w:val="15"/>
          <w:lang w:val="en-US"/>
        </w:rPr>
      </w:pPr>
    </w:p>
    <w:p w14:paraId="3D96BEEA" w14:textId="763E02F1" w:rsidR="00F227EA" w:rsidRPr="00803FB7" w:rsidRDefault="00000000" w:rsidP="00BE28E3">
      <w:pPr>
        <w:spacing w:before="100"/>
        <w:jc w:val="center"/>
        <w:rPr>
          <w:lang w:val="en-US"/>
        </w:rPr>
      </w:pPr>
      <w:r>
        <w:rPr>
          <w:i/>
          <w:iCs/>
          <w:color w:val="6B7280"/>
          <w:sz w:val="15"/>
          <w:szCs w:val="15"/>
          <w:lang w:val="en-US"/>
        </w:rPr>
        <w:t>Copyright © POPULOS. All rights reserved. POPULOS, the POPULOS logo, and other marks appearing herein are property of POPULOS Technology and/or one or more of its subsidiaries. All other marks are the property of their respective owners.</w:t>
      </w:r>
    </w:p>
    <w:sectPr w:rsidR="00F227EA" w:rsidRPr="00803FB7" w:rsidSect="00BC59F2">
      <w:headerReference w:type="default" r:id="rId17"/>
      <w:footerReference w:type="default" r:id="rId18"/>
      <w:pgSz w:w="12240" w:h="15840"/>
      <w:pgMar w:top="1304" w:right="1077" w:bottom="1304"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B45C6" w14:textId="77777777" w:rsidR="005854F8" w:rsidRDefault="005854F8">
      <w:r>
        <w:separator/>
      </w:r>
    </w:p>
  </w:endnote>
  <w:endnote w:type="continuationSeparator" w:id="0">
    <w:p w14:paraId="04629C59" w14:textId="77777777" w:rsidR="005854F8" w:rsidRDefault="00585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25736" w14:textId="77777777" w:rsidR="00F53D0F"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0F5DD" w14:textId="77777777" w:rsidR="00F53D0F"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3EFD0" w14:textId="3D368F95" w:rsidR="00F227EA" w:rsidRDefault="009F3C05">
    <w:pPr>
      <w:pBdr>
        <w:top w:val="single" w:sz="6" w:space="4" w:color="6B46C1"/>
      </w:pBdr>
      <w:jc w:val="center"/>
    </w:pPr>
    <w:r>
      <w:rPr>
        <w:color w:val="6B7280"/>
        <w:sz w:val="16"/>
        <w:szCs w:val="16"/>
      </w:rPr>
      <w:t xml:space="preserve">POPULOS | AKAMAI Partner | Página </w:t>
    </w:r>
    <w:r>
      <w:rPr>
        <w:b/>
        <w:bCs/>
        <w:color w:val="1F2A5E"/>
        <w:sz w:val="16"/>
        <w:szCs w:val="16"/>
      </w:rPr>
      <w:fldChar w:fldCharType="begin"/>
    </w:r>
    <w:r>
      <w:rPr>
        <w:b/>
        <w:bCs/>
        <w:color w:val="1F2A5E"/>
        <w:sz w:val="16"/>
        <w:szCs w:val="16"/>
      </w:rPr>
      <w:instrText>PAGE</w:instrText>
    </w:r>
    <w:r>
      <w:rPr>
        <w:b/>
        <w:bCs/>
        <w:color w:val="1F2A5E"/>
        <w:sz w:val="16"/>
        <w:szCs w:val="16"/>
      </w:rPr>
      <w:fldChar w:fldCharType="separate"/>
    </w:r>
    <w:r w:rsidR="00803FB7">
      <w:rPr>
        <w:b/>
        <w:bCs/>
        <w:noProof/>
        <w:color w:val="1F2A5E"/>
        <w:sz w:val="16"/>
        <w:szCs w:val="16"/>
      </w:rPr>
      <w:t>2</w:t>
    </w:r>
    <w:r>
      <w:rPr>
        <w:b/>
        <w:bCs/>
        <w:color w:val="1F2A5E"/>
        <w:sz w:val="16"/>
        <w:szCs w:val="16"/>
      </w:rPr>
      <w:fldChar w:fldCharType="end"/>
    </w:r>
    <w:r>
      <w:rPr>
        <w:color w:val="6B7280"/>
        <w:sz w:val="16"/>
        <w:szCs w:val="16"/>
      </w:rPr>
      <w:t xml:space="preserve"> de </w:t>
    </w:r>
    <w:r>
      <w:rPr>
        <w:b/>
        <w:bCs/>
        <w:color w:val="1F2A5E"/>
        <w:sz w:val="16"/>
        <w:szCs w:val="16"/>
      </w:rPr>
      <w:fldChar w:fldCharType="begin"/>
    </w:r>
    <w:r>
      <w:rPr>
        <w:b/>
        <w:bCs/>
        <w:color w:val="1F2A5E"/>
        <w:sz w:val="16"/>
        <w:szCs w:val="16"/>
      </w:rPr>
      <w:instrText>NUMPAGES</w:instrText>
    </w:r>
    <w:r>
      <w:rPr>
        <w:b/>
        <w:bCs/>
        <w:color w:val="1F2A5E"/>
        <w:sz w:val="16"/>
        <w:szCs w:val="16"/>
      </w:rPr>
      <w:fldChar w:fldCharType="separate"/>
    </w:r>
    <w:r w:rsidR="00803FB7">
      <w:rPr>
        <w:b/>
        <w:bCs/>
        <w:noProof/>
        <w:color w:val="1F2A5E"/>
        <w:sz w:val="16"/>
        <w:szCs w:val="16"/>
      </w:rPr>
      <w:t>3</w:t>
    </w:r>
    <w:r>
      <w:rPr>
        <w:b/>
        <w:bCs/>
        <w:color w:val="1F2A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A7FB05" w14:textId="77777777" w:rsidR="005854F8" w:rsidRDefault="005854F8">
      <w:r>
        <w:separator/>
      </w:r>
    </w:p>
  </w:footnote>
  <w:footnote w:type="continuationSeparator" w:id="0">
    <w:p w14:paraId="05B877FB" w14:textId="77777777" w:rsidR="005854F8" w:rsidRDefault="00585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42FFF6" w14:textId="77777777" w:rsidR="00F53D0F"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87A19" w14:textId="77777777" w:rsidR="00F53D0F"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4DE86" w14:textId="541B9CF5" w:rsidR="00F227EA" w:rsidRPr="00841401" w:rsidRDefault="00000000" w:rsidP="00841401">
    <w:pPr>
      <w:pBdr>
        <w:bottom w:val="single" w:sz="6" w:space="4" w:color="6B46C1"/>
      </w:pBdr>
      <w:jc w:val="right"/>
      <w:rPr>
        <w:color w:val="6B7280"/>
        <w:sz w:val="18"/>
        <w:szCs w:val="18"/>
      </w:rPr>
    </w:pPr>
    <w:r>
      <w:rPr>
        <w:b/>
        <w:bCs/>
        <w:color w:val="1F2A5E"/>
        <w:sz w:val="18"/>
        <w:szCs w:val="18"/>
      </w:rPr>
      <w:t>PROPOSTA TÉCNICA | Proteção contra automação no simulador de cotação de seguro auto - Lumina Seguros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8130EA"/>
    <w:multiLevelType w:val="hybridMultilevel"/>
    <w:tmpl w:val="EB1C226E"/>
    <w:lvl w:ilvl="0" w:tplc="B4B4DADA">
      <w:start w:val="1"/>
      <w:numFmt w:val="bullet"/>
      <w:lvlText w:val="●"/>
      <w:lvlJc w:val="left"/>
      <w:pPr>
        <w:ind w:left="560" w:hanging="360"/>
      </w:pPr>
      <w:rPr>
        <w:color w:val="6B46C1"/>
        <w:sz w:val="22"/>
        <w:szCs w:val="22"/>
      </w:rPr>
    </w:lvl>
    <w:lvl w:ilvl="1" w:tplc="4572AA4A">
      <w:start w:val="1"/>
      <w:numFmt w:val="bullet"/>
      <w:lvlText w:val="◦"/>
      <w:lvlJc w:val="left"/>
      <w:pPr>
        <w:ind w:left="900" w:hanging="260"/>
      </w:pPr>
    </w:lvl>
    <w:lvl w:ilvl="2" w:tplc="5D949178">
      <w:numFmt w:val="decimal"/>
      <w:lvlText w:val=""/>
      <w:lvlJc w:val="left"/>
    </w:lvl>
    <w:lvl w:ilvl="3" w:tplc="3BAA3BFE">
      <w:numFmt w:val="decimal"/>
      <w:lvlText w:val=""/>
      <w:lvlJc w:val="left"/>
    </w:lvl>
    <w:lvl w:ilvl="4" w:tplc="EE0013DC">
      <w:numFmt w:val="decimal"/>
      <w:lvlText w:val=""/>
      <w:lvlJc w:val="left"/>
    </w:lvl>
    <w:lvl w:ilvl="5" w:tplc="1FBE12FA">
      <w:numFmt w:val="decimal"/>
      <w:lvlText w:val=""/>
      <w:lvlJc w:val="left"/>
    </w:lvl>
    <w:lvl w:ilvl="6" w:tplc="4E928B7C">
      <w:numFmt w:val="decimal"/>
      <w:lvlText w:val=""/>
      <w:lvlJc w:val="left"/>
    </w:lvl>
    <w:lvl w:ilvl="7" w:tplc="77986DFE">
      <w:numFmt w:val="decimal"/>
      <w:lvlText w:val=""/>
      <w:lvlJc w:val="left"/>
    </w:lvl>
    <w:lvl w:ilvl="8" w:tplc="42644CDA">
      <w:numFmt w:val="decimal"/>
      <w:lvlText w:val=""/>
      <w:lvlJc w:val="left"/>
    </w:lvl>
  </w:abstractNum>
  <w:abstractNum w:abstractNumId="1" w15:restartNumberingAfterBreak="0">
    <w:nsid w:val="6A07502B"/>
    <w:multiLevelType w:val="hybridMultilevel"/>
    <w:tmpl w:val="AC2A4652"/>
    <w:lvl w:ilvl="0" w:tplc="4F3078CE">
      <w:start w:val="1"/>
      <w:numFmt w:val="bullet"/>
      <w:lvlText w:val="●"/>
      <w:lvlJc w:val="left"/>
      <w:pPr>
        <w:ind w:left="720" w:hanging="360"/>
      </w:pPr>
    </w:lvl>
    <w:lvl w:ilvl="1" w:tplc="F58CB7D2">
      <w:start w:val="1"/>
      <w:numFmt w:val="bullet"/>
      <w:lvlText w:val="○"/>
      <w:lvlJc w:val="left"/>
      <w:pPr>
        <w:ind w:left="1440" w:hanging="360"/>
      </w:pPr>
    </w:lvl>
    <w:lvl w:ilvl="2" w:tplc="725A7476">
      <w:start w:val="1"/>
      <w:numFmt w:val="bullet"/>
      <w:lvlText w:val="■"/>
      <w:lvlJc w:val="left"/>
      <w:pPr>
        <w:ind w:left="2160" w:hanging="360"/>
      </w:pPr>
    </w:lvl>
    <w:lvl w:ilvl="3" w:tplc="5B1803F2">
      <w:start w:val="1"/>
      <w:numFmt w:val="bullet"/>
      <w:lvlText w:val="●"/>
      <w:lvlJc w:val="left"/>
      <w:pPr>
        <w:ind w:left="2880" w:hanging="360"/>
      </w:pPr>
    </w:lvl>
    <w:lvl w:ilvl="4" w:tplc="AB486F06">
      <w:start w:val="1"/>
      <w:numFmt w:val="bullet"/>
      <w:lvlText w:val="○"/>
      <w:lvlJc w:val="left"/>
      <w:pPr>
        <w:ind w:left="3600" w:hanging="360"/>
      </w:pPr>
    </w:lvl>
    <w:lvl w:ilvl="5" w:tplc="BDB2E41A">
      <w:start w:val="1"/>
      <w:numFmt w:val="bullet"/>
      <w:lvlText w:val="■"/>
      <w:lvlJc w:val="left"/>
      <w:pPr>
        <w:ind w:left="4320" w:hanging="360"/>
      </w:pPr>
    </w:lvl>
    <w:lvl w:ilvl="6" w:tplc="4A80A58C">
      <w:start w:val="1"/>
      <w:numFmt w:val="bullet"/>
      <w:lvlText w:val="●"/>
      <w:lvlJc w:val="left"/>
      <w:pPr>
        <w:ind w:left="5040" w:hanging="360"/>
      </w:pPr>
    </w:lvl>
    <w:lvl w:ilvl="7" w:tplc="99FA9986">
      <w:start w:val="1"/>
      <w:numFmt w:val="bullet"/>
      <w:lvlText w:val="●"/>
      <w:lvlJc w:val="left"/>
      <w:pPr>
        <w:ind w:left="5760" w:hanging="360"/>
      </w:pPr>
    </w:lvl>
    <w:lvl w:ilvl="8" w:tplc="1B6682CC">
      <w:start w:val="1"/>
      <w:numFmt w:val="bullet"/>
      <w:lvlText w:val="●"/>
      <w:lvlJc w:val="left"/>
      <w:pPr>
        <w:ind w:left="6480" w:hanging="360"/>
      </w:pPr>
    </w:lvl>
  </w:abstractNum>
  <w:abstractNum w:abstractNumId="2" w15:restartNumberingAfterBreak="0">
    <w:nsid w:val="748140C5"/>
    <w:multiLevelType w:val="hybridMultilevel"/>
    <w:tmpl w:val="067292E6"/>
    <w:lvl w:ilvl="0" w:tplc="B4B4DADA">
      <w:start w:val="1"/>
      <w:numFmt w:val="bullet"/>
      <w:lvlText w:val="●"/>
      <w:lvlJc w:val="left"/>
      <w:pPr>
        <w:ind w:left="763" w:hanging="360"/>
      </w:pPr>
      <w:rPr>
        <w:rFonts w:hint="default"/>
        <w:color w:val="6B46C1"/>
        <w:sz w:val="22"/>
        <w:szCs w:val="22"/>
      </w:rPr>
    </w:lvl>
    <w:lvl w:ilvl="1" w:tplc="04160003" w:tentative="1">
      <w:start w:val="1"/>
      <w:numFmt w:val="bullet"/>
      <w:lvlText w:val="o"/>
      <w:lvlJc w:val="left"/>
      <w:pPr>
        <w:ind w:left="1483" w:hanging="360"/>
      </w:pPr>
      <w:rPr>
        <w:rFonts w:ascii="Courier New" w:hAnsi="Courier New" w:cs="Courier New" w:hint="default"/>
      </w:rPr>
    </w:lvl>
    <w:lvl w:ilvl="2" w:tplc="04160005" w:tentative="1">
      <w:start w:val="1"/>
      <w:numFmt w:val="bullet"/>
      <w:lvlText w:val=""/>
      <w:lvlJc w:val="left"/>
      <w:pPr>
        <w:ind w:left="2203" w:hanging="360"/>
      </w:pPr>
      <w:rPr>
        <w:rFonts w:ascii="Wingdings" w:hAnsi="Wingdings" w:hint="default"/>
      </w:rPr>
    </w:lvl>
    <w:lvl w:ilvl="3" w:tplc="04160001" w:tentative="1">
      <w:start w:val="1"/>
      <w:numFmt w:val="bullet"/>
      <w:lvlText w:val=""/>
      <w:lvlJc w:val="left"/>
      <w:pPr>
        <w:ind w:left="2923" w:hanging="360"/>
      </w:pPr>
      <w:rPr>
        <w:rFonts w:ascii="Symbol" w:hAnsi="Symbol" w:hint="default"/>
      </w:rPr>
    </w:lvl>
    <w:lvl w:ilvl="4" w:tplc="04160003" w:tentative="1">
      <w:start w:val="1"/>
      <w:numFmt w:val="bullet"/>
      <w:lvlText w:val="o"/>
      <w:lvlJc w:val="left"/>
      <w:pPr>
        <w:ind w:left="3643" w:hanging="360"/>
      </w:pPr>
      <w:rPr>
        <w:rFonts w:ascii="Courier New" w:hAnsi="Courier New" w:cs="Courier New" w:hint="default"/>
      </w:rPr>
    </w:lvl>
    <w:lvl w:ilvl="5" w:tplc="04160005" w:tentative="1">
      <w:start w:val="1"/>
      <w:numFmt w:val="bullet"/>
      <w:lvlText w:val=""/>
      <w:lvlJc w:val="left"/>
      <w:pPr>
        <w:ind w:left="4363" w:hanging="360"/>
      </w:pPr>
      <w:rPr>
        <w:rFonts w:ascii="Wingdings" w:hAnsi="Wingdings" w:hint="default"/>
      </w:rPr>
    </w:lvl>
    <w:lvl w:ilvl="6" w:tplc="04160001" w:tentative="1">
      <w:start w:val="1"/>
      <w:numFmt w:val="bullet"/>
      <w:lvlText w:val=""/>
      <w:lvlJc w:val="left"/>
      <w:pPr>
        <w:ind w:left="5083" w:hanging="360"/>
      </w:pPr>
      <w:rPr>
        <w:rFonts w:ascii="Symbol" w:hAnsi="Symbol" w:hint="default"/>
      </w:rPr>
    </w:lvl>
    <w:lvl w:ilvl="7" w:tplc="04160003" w:tentative="1">
      <w:start w:val="1"/>
      <w:numFmt w:val="bullet"/>
      <w:lvlText w:val="o"/>
      <w:lvlJc w:val="left"/>
      <w:pPr>
        <w:ind w:left="5803" w:hanging="360"/>
      </w:pPr>
      <w:rPr>
        <w:rFonts w:ascii="Courier New" w:hAnsi="Courier New" w:cs="Courier New" w:hint="default"/>
      </w:rPr>
    </w:lvl>
    <w:lvl w:ilvl="8" w:tplc="04160005" w:tentative="1">
      <w:start w:val="1"/>
      <w:numFmt w:val="bullet"/>
      <w:lvlText w:val=""/>
      <w:lvlJc w:val="left"/>
      <w:pPr>
        <w:ind w:left="6523" w:hanging="360"/>
      </w:pPr>
      <w:rPr>
        <w:rFonts w:ascii="Wingdings" w:hAnsi="Wingdings" w:hint="default"/>
      </w:rPr>
    </w:lvl>
  </w:abstractNum>
  <w:num w:numId="1" w16cid:durableId="77605820">
    <w:abstractNumId w:val="1"/>
    <w:lvlOverride w:ilvl="0">
      <w:startOverride w:val="1"/>
    </w:lvlOverride>
  </w:num>
  <w:num w:numId="2" w16cid:durableId="1448089016">
    <w:abstractNumId w:val="0"/>
  </w:num>
  <w:num w:numId="3" w16cid:durableId="1596523485">
    <w:abstractNumId w:val="2"/>
  </w:num>
  <w:num w:numId="4" w16cid:durableId="855576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EA"/>
    <w:rsid w:val="00040C3A"/>
    <w:rsid w:val="000439AE"/>
    <w:rsid w:val="00061930"/>
    <w:rsid w:val="000637DB"/>
    <w:rsid w:val="000B2FDA"/>
    <w:rsid w:val="000D66FE"/>
    <w:rsid w:val="000F4CAE"/>
    <w:rsid w:val="00122D97"/>
    <w:rsid w:val="00123062"/>
    <w:rsid w:val="00124352"/>
    <w:rsid w:val="0017666D"/>
    <w:rsid w:val="001D6306"/>
    <w:rsid w:val="00201DA6"/>
    <w:rsid w:val="00263911"/>
    <w:rsid w:val="002B62A7"/>
    <w:rsid w:val="003212B8"/>
    <w:rsid w:val="00367582"/>
    <w:rsid w:val="00384C04"/>
    <w:rsid w:val="0039468C"/>
    <w:rsid w:val="003D6743"/>
    <w:rsid w:val="003D68CE"/>
    <w:rsid w:val="004236FB"/>
    <w:rsid w:val="004260B1"/>
    <w:rsid w:val="004A0FD6"/>
    <w:rsid w:val="004D3A65"/>
    <w:rsid w:val="00563A4C"/>
    <w:rsid w:val="00585448"/>
    <w:rsid w:val="005854F8"/>
    <w:rsid w:val="005E1836"/>
    <w:rsid w:val="005E72CB"/>
    <w:rsid w:val="005F7E51"/>
    <w:rsid w:val="006161F1"/>
    <w:rsid w:val="00657CD9"/>
    <w:rsid w:val="00664B6A"/>
    <w:rsid w:val="006A41E5"/>
    <w:rsid w:val="007576C4"/>
    <w:rsid w:val="00803FB7"/>
    <w:rsid w:val="0081108E"/>
    <w:rsid w:val="00821580"/>
    <w:rsid w:val="00841401"/>
    <w:rsid w:val="008B4400"/>
    <w:rsid w:val="008D0CE0"/>
    <w:rsid w:val="008E6617"/>
    <w:rsid w:val="0093334E"/>
    <w:rsid w:val="00944AC1"/>
    <w:rsid w:val="00965FFC"/>
    <w:rsid w:val="009E38D4"/>
    <w:rsid w:val="009E74E3"/>
    <w:rsid w:val="009F3C05"/>
    <w:rsid w:val="00A1027D"/>
    <w:rsid w:val="00AC3773"/>
    <w:rsid w:val="00AD7401"/>
    <w:rsid w:val="00B511D1"/>
    <w:rsid w:val="00B55639"/>
    <w:rsid w:val="00BB0D50"/>
    <w:rsid w:val="00BB2913"/>
    <w:rsid w:val="00BC59F2"/>
    <w:rsid w:val="00BD500C"/>
    <w:rsid w:val="00BE28E3"/>
    <w:rsid w:val="00BF323B"/>
    <w:rsid w:val="00C21CFE"/>
    <w:rsid w:val="00C459CB"/>
    <w:rsid w:val="00C50EC5"/>
    <w:rsid w:val="00C579FF"/>
    <w:rsid w:val="00D24A21"/>
    <w:rsid w:val="00D25F5B"/>
    <w:rsid w:val="00D31BD9"/>
    <w:rsid w:val="00D45053"/>
    <w:rsid w:val="00E20C93"/>
    <w:rsid w:val="00ED213E"/>
    <w:rsid w:val="00ED2387"/>
    <w:rsid w:val="00ED4DB0"/>
    <w:rsid w:val="00F227EA"/>
    <w:rsid w:val="00F327E1"/>
    <w:rsid w:val="00F46CDF"/>
    <w:rsid w:val="00F50886"/>
    <w:rsid w:val="00F53D0F"/>
    <w:rsid w:val="00F71DA0"/>
    <w:rsid w:val="00F87B90"/>
    <w:rsid w:val="00FD6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E59E"/>
  <w15:docId w15:val="{B8AFE555-A88C-F341-BD58-3C839FBA15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74151"/>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48"/>
    <w:pPr>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Normal0">
    <w:name w:val="Normal0"/>
    <w:qFormat/>
    <w:rsid w:val="00AC3773"/>
    <w:pPr>
      <w:spacing w:after="200" w:line="312" w:lineRule="auto"/>
      <w:ind w:left="-6"/>
    </w:pPr>
    <w:rPr>
      <w:rFonts w:ascii="Lato" w:eastAsia="Lato" w:hAnsi="Lato" w:cs="Lato"/>
      <w:color w:val="595959"/>
      <w:sz w:val="20"/>
      <w:szCs w:val="20"/>
      <w:lang w:eastAsia="en-US"/>
    </w:rPr>
  </w:style>
  <w:style w:type="paragraph" w:customStyle="1" w:styleId="Subtitle0">
    <w:name w:val="Subtitle0"/>
    <w:basedOn w:val="Normal0"/>
    <w:next w:val="Normal0"/>
    <w:rsid w:val="00AC3773"/>
    <w:pPr>
      <w:keepNext/>
      <w:keepLines/>
    </w:pPr>
    <w:rPr>
      <w:b/>
      <w:color w:val="666666"/>
      <w:sz w:val="40"/>
      <w:szCs w:val="40"/>
    </w:rPr>
  </w:style>
  <w:style w:type="paragraph" w:styleId="Cabealho">
    <w:name w:val="header"/>
    <w:basedOn w:val="Normal"/>
    <w:link w:val="CabealhoChar"/>
    <w:uiPriority w:val="99"/>
    <w:unhideWhenUsed/>
    <w:rsid w:val="00AC3773"/>
    <w:pPr>
      <w:tabs>
        <w:tab w:val="center" w:pos="4252"/>
        <w:tab w:val="right" w:pos="8504"/>
      </w:tabs>
    </w:pPr>
  </w:style>
  <w:style w:type="character" w:customStyle="1" w:styleId="CabealhoChar">
    <w:name w:val="Cabeçalho Char"/>
    <w:basedOn w:val="Fontepargpadro"/>
    <w:link w:val="Cabealho"/>
    <w:uiPriority w:val="99"/>
    <w:rsid w:val="00AC3773"/>
  </w:style>
  <w:style w:type="paragraph" w:styleId="Rodap">
    <w:name w:val="footer"/>
    <w:basedOn w:val="Normal"/>
    <w:link w:val="RodapChar"/>
    <w:uiPriority w:val="99"/>
    <w:unhideWhenUsed/>
    <w:rsid w:val="00AC3773"/>
    <w:pPr>
      <w:tabs>
        <w:tab w:val="center" w:pos="4252"/>
        <w:tab w:val="right" w:pos="8504"/>
      </w:tabs>
    </w:pPr>
  </w:style>
  <w:style w:type="character" w:customStyle="1" w:styleId="RodapChar">
    <w:name w:val="Rodapé Char"/>
    <w:basedOn w:val="Fontepargpadro"/>
    <w:link w:val="Rodap"/>
    <w:uiPriority w:val="99"/>
    <w:rsid w:val="00AC3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aa116b-8286-452a-ad11-9bfb85584ae0">
      <Terms xmlns="http://schemas.microsoft.com/office/infopath/2007/PartnerControls"/>
    </lcf76f155ced4ddcb4097134ff3c332f>
    <TaxCatchAll xmlns="219277de-6618-4cc7-bdb8-2ede8afd49f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0D9AD5308FF7D4B91152391E51B657F" ma:contentTypeVersion="19" ma:contentTypeDescription="Crie um novo documento." ma:contentTypeScope="" ma:versionID="6213242d335f4d963f0fc8e055b000e9">
  <xsd:schema xmlns:xsd="http://www.w3.org/2001/XMLSchema" xmlns:xs="http://www.w3.org/2001/XMLSchema" xmlns:p="http://schemas.microsoft.com/office/2006/metadata/properties" xmlns:ns2="57aa116b-8286-452a-ad11-9bfb85584ae0" xmlns:ns3="219277de-6618-4cc7-bdb8-2ede8afd49fb" targetNamespace="http://schemas.microsoft.com/office/2006/metadata/properties" ma:root="true" ma:fieldsID="4ce8b9b105c99073f40ae004358d12b6" ns2:_="" ns3:_="">
    <xsd:import namespace="57aa116b-8286-452a-ad11-9bfb85584ae0"/>
    <xsd:import namespace="219277de-6618-4cc7-bdb8-2ede8afd49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OCR" minOccurs="0"/>
                <xsd:element ref="ns2:MediaServiceSearchProperties" minOccurs="0"/>
                <xsd:element ref="ns2:MediaServiceObjectDetectorVersion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a116b-8286-452a-ad11-9bfb85584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f566eb4a-84a7-4f03-9cf4-83584b28a29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9277de-6618-4cc7-bdb8-2ede8afd49fb"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150c78be-d6dd-4461-b83c-1af308392aaf}" ma:internalName="TaxCatchAll" ma:showField="CatchAllData" ma:web="219277de-6618-4cc7-bdb8-2ede8afd4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6CF224-2329-41B7-AB5E-00AECA73DCE6}">
  <ds:schemaRefs>
    <ds:schemaRef ds:uri="http://schemas.microsoft.com/office/2006/metadata/properties"/>
    <ds:schemaRef ds:uri="http://schemas.microsoft.com/office/infopath/2007/PartnerControls"/>
    <ds:schemaRef ds:uri="57aa116b-8286-452a-ad11-9bfb85584ae0"/>
    <ds:schemaRef ds:uri="219277de-6618-4cc7-bdb8-2ede8afd49fb"/>
  </ds:schemaRefs>
</ds:datastoreItem>
</file>

<file path=customXml/itemProps2.xml><?xml version="1.0" encoding="utf-8"?>
<ds:datastoreItem xmlns:ds="http://schemas.openxmlformats.org/officeDocument/2006/customXml" ds:itemID="{3BA5B480-FB04-CF4D-888F-22A6B84659D1}">
  <ds:schemaRefs>
    <ds:schemaRef ds:uri="http://schemas.openxmlformats.org/officeDocument/2006/bibliography"/>
  </ds:schemaRefs>
</ds:datastoreItem>
</file>

<file path=customXml/itemProps3.xml><?xml version="1.0" encoding="utf-8"?>
<ds:datastoreItem xmlns:ds="http://schemas.openxmlformats.org/officeDocument/2006/customXml" ds:itemID="{9BF81703-7A1A-410C-944C-CACF4BA2BB7F}">
  <ds:schemaRefs>
    <ds:schemaRef ds:uri="http://schemas.microsoft.com/sharepoint/v3/contenttype/forms"/>
  </ds:schemaRefs>
</ds:datastoreItem>
</file>

<file path=customXml/itemProps4.xml><?xml version="1.0" encoding="utf-8"?>
<ds:datastoreItem xmlns:ds="http://schemas.openxmlformats.org/officeDocument/2006/customXml" ds:itemID="{A74AE9F9-6353-432E-B7B2-AD52FEF70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a116b-8286-452a-ad11-9bfb85584ae0"/>
    <ds:schemaRef ds:uri="219277de-6618-4cc7-bdb8-2ede8afd49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3449</Words>
  <Characters>20175</Characters>
  <Application>Microsoft Office Word</Application>
  <DocSecurity>0</DocSecurity>
  <Lines>567</Lines>
  <Paragraphs>326</Paragraphs>
  <ScaleCrop>false</ScaleCrop>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técnica — Lumina Seguros</dc:title>
  <dc:creator>POPULOS Sales Engineering</dc:creator>
  <cp:lastModifiedBy>Paulo Barbosa | Secbuilder</cp:lastModifiedBy>
  <cp:revision>3</cp:revision>
  <cp:lastPrinted>2026-07-23T18:30:00Z</cp:lastPrinted>
  <dcterms:created xsi:type="dcterms:W3CDTF">2026-07-23T18:30:00Z</dcterms:created>
  <dcterms:modified xsi:type="dcterms:W3CDTF">2026-07-23T18:30:00Z</dcterms:modified>
  <dc:subject>Proteção contra automação no simulador de cotação de seguro auto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0x01010010D9AD5308FF7D4B91152391E51B657F</vt:lpwstr>
  </property>
  <property fmtid="{D5CDD505-2E9C-101B-9397-08002B2CF9AE}" pid="3" name="MediaServiceImageTags">
    <vt:lpwstr/>
  </property>
</Properties>
</file>