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E2A33" w14:textId="0B40027C" w:rsidR="00AC3773" w:rsidRDefault="00B55639" w:rsidP="00AC3773">
      <w:pPr>
        <w:pStyle w:val="Subtitle0"/>
        <w:spacing w:after="0" w:line="276" w:lineRule="auto"/>
        <w:ind w:left="0"/>
        <w:rPr>
          <w:color w:val="FFFFFF" w:themeColor="background1"/>
          <w:sz w:val="48"/>
          <w:szCs w:val="48"/>
        </w:rPr>
      </w:pPr>
      <w:r>
        <w:fldChar w:fldCharType="begin"/>
      </w:r>
      <w:r>
        <w:instrText xml:space="preserve"> INCLUDEPICTURE "https://yt3.googleusercontent.com/GM9aUAG2BP22F7JircpALbMAoRz2rOY94R9NJwkmcJ8NxGaWWXNtYA3hYYKkNvVyK3_utBIL=s900-c-k-c0x00ffffff-no-rj" \* MERGEFORMATINET </w:instrText>
      </w:r>
      <w:r>
        <w:fldChar w:fldCharType="separate"/>
      </w:r>
      <w:r>
        <w:fldChar w:fldCharType="end"/>
      </w:r>
      <w:r>
        <w:rPr>
          <w:rFonts w:ascii="Open Sans" w:eastAsia="Open Sans" w:hAnsi="Open Sans" w:cs="Open Sans"/>
          <w:noProof/>
          <w:color w:val="695D46"/>
        </w:rPr>
        <w:drawing>
          <wp:anchor distT="0" distB="0" distL="114300" distR="114300" simplePos="0" relativeHeight="251659264" behindDoc="1" locked="0" layoutInCell="1" allowOverlap="1" wp14:anchorId="43DCC4BD" wp14:editId="023D3B8F">
            <wp:simplePos x="0" y="0"/>
            <wp:positionH relativeFrom="page">
              <wp:posOffset>0</wp:posOffset>
            </wp:positionH>
            <wp:positionV relativeFrom="paragraph">
              <wp:posOffset>-339984</wp:posOffset>
            </wp:positionV>
            <wp:extent cx="7781192" cy="10729945"/>
            <wp:effectExtent l="0" t="0" r="4445" b="1905"/>
            <wp:wrapNone/>
            <wp:docPr id="130306582" name="Imagem 1" descr="A blue and white background with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582" name="Imagem 1" descr="A blue and white background with text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781192" cy="10729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754C45" w14:textId="7E032A73" w:rsidR="00C50EC5" w:rsidRDefault="00C50EC5" w:rsidP="00C50EC5">
      <w:pPr>
        <w:pStyle w:val="Subtitle0"/>
        <w:spacing w:after="0" w:line="276" w:lineRule="auto"/>
        <w:ind w:left="0"/>
        <w:rPr>
          <w:color w:val="FFFFFF" w:themeColor="background1"/>
          <w:sz w:val="48"/>
          <w:szCs w:val="48"/>
        </w:rPr>
      </w:pPr>
    </w:p>
    <w:p w14:paraId="3A5E188D" w14:textId="00A8B694" w:rsidR="00C50EC5" w:rsidRDefault="00C50EC5" w:rsidP="00C50EC5">
      <w:pPr>
        <w:pStyle w:val="Subtitle0"/>
        <w:spacing w:after="0" w:line="276" w:lineRule="auto"/>
        <w:ind w:left="0"/>
        <w:rPr>
          <w:color w:val="FFFFFF" w:themeColor="background1"/>
          <w:sz w:val="48"/>
          <w:szCs w:val="48"/>
        </w:rPr>
      </w:pPr>
    </w:p>
    <w:p w14:paraId="323181CB" w14:textId="00855A1A" w:rsidR="00C50EC5" w:rsidRDefault="00C50EC5" w:rsidP="00C50EC5">
      <w:pPr>
        <w:pStyle w:val="Subtitle0"/>
        <w:spacing w:after="0" w:line="276" w:lineRule="auto"/>
        <w:ind w:left="0"/>
        <w:rPr>
          <w:color w:val="FFFFFF" w:themeColor="background1"/>
          <w:sz w:val="48"/>
          <w:szCs w:val="48"/>
        </w:rPr>
      </w:pPr>
    </w:p>
    <w:p w14:paraId="1643B38F" w14:textId="3A5BA659" w:rsidR="00C50EC5" w:rsidRDefault="00C50EC5" w:rsidP="00C50EC5">
      <w:pPr>
        <w:pStyle w:val="Subtitle0"/>
        <w:spacing w:after="0" w:line="276" w:lineRule="auto"/>
        <w:ind w:left="0"/>
        <w:rPr>
          <w:color w:val="FFFFFF" w:themeColor="background1"/>
          <w:sz w:val="48"/>
          <w:szCs w:val="48"/>
        </w:rPr>
      </w:pPr>
    </w:p>
    <w:p w14:paraId="0EB4215D" w14:textId="0767440C" w:rsidR="00C50EC5" w:rsidRDefault="00C50EC5" w:rsidP="00C50EC5">
      <w:pPr>
        <w:pStyle w:val="Subtitle0"/>
        <w:spacing w:after="0" w:line="276" w:lineRule="auto"/>
        <w:ind w:left="0"/>
        <w:rPr>
          <w:color w:val="FFFFFF" w:themeColor="background1"/>
          <w:sz w:val="48"/>
          <w:szCs w:val="48"/>
        </w:rPr>
      </w:pPr>
    </w:p>
    <w:p w14:paraId="0DE965B7" w14:textId="2148EEE9" w:rsidR="00C50EC5" w:rsidRDefault="00C50EC5" w:rsidP="00C50EC5">
      <w:pPr>
        <w:pStyle w:val="Subtitle0"/>
        <w:spacing w:after="0" w:line="276" w:lineRule="auto"/>
        <w:ind w:left="0"/>
        <w:rPr>
          <w:color w:val="FFFFFF" w:themeColor="background1"/>
          <w:sz w:val="48"/>
          <w:szCs w:val="48"/>
        </w:rPr>
      </w:pPr>
    </w:p>
    <w:p w14:paraId="047235B5" w14:textId="360FA79E" w:rsidR="00C50EC5" w:rsidRDefault="00C50EC5" w:rsidP="00C50EC5">
      <w:pPr>
        <w:pStyle w:val="Subtitle0"/>
        <w:spacing w:after="0" w:line="276" w:lineRule="auto"/>
        <w:ind w:left="0"/>
        <w:rPr>
          <w:color w:val="FFFFFF" w:themeColor="background1"/>
          <w:sz w:val="48"/>
          <w:szCs w:val="48"/>
        </w:rPr>
      </w:pPr>
    </w:p>
    <w:p w14:paraId="38E5ED0D" w14:textId="307D5FAD" w:rsidR="00C50EC5" w:rsidRDefault="00C50EC5" w:rsidP="00C50EC5">
      <w:pPr>
        <w:pStyle w:val="Subtitle0"/>
        <w:spacing w:after="0" w:line="276" w:lineRule="auto"/>
        <w:ind w:left="0"/>
        <w:rPr>
          <w:color w:val="FFFFFF" w:themeColor="background1"/>
          <w:sz w:val="48"/>
          <w:szCs w:val="48"/>
        </w:rPr>
      </w:pPr>
    </w:p>
    <w:p w14:paraId="51E2F662" w14:textId="4F63DEF6" w:rsidR="00C50EC5" w:rsidRPr="009A297D" w:rsidRDefault="00C50EC5" w:rsidP="00C50EC5">
      <w:pPr>
        <w:pStyle w:val="Subtitle0"/>
        <w:spacing w:after="0" w:line="276" w:lineRule="auto"/>
        <w:ind w:left="0" w:firstLine="1134"/>
        <w:rPr>
          <w:color w:val="FFFFFF" w:themeColor="background1"/>
          <w:sz w:val="48"/>
          <w:szCs w:val="48"/>
        </w:rPr>
      </w:pPr>
      <w:r>
        <w:rPr>
          <w:color w:val="FFFFFF" w:themeColor="background1"/>
          <w:sz w:val="48"/>
          <w:szCs w:val="48"/>
        </w:rPr>
        <w:t>PROPOSTA TÉCNICA</w:t>
      </w:r>
    </w:p>
    <w:p w14:paraId="0B130125" w14:textId="6D9BC620" w:rsidR="00C50EC5" w:rsidRDefault="00C50EC5" w:rsidP="00C50EC5">
      <w:pPr>
        <w:pStyle w:val="Subtitle0"/>
        <w:spacing w:after="0" w:line="276" w:lineRule="auto"/>
        <w:ind w:firstLine="1134"/>
        <w:rPr>
          <w:color w:val="FFFFFF" w:themeColor="background1"/>
        </w:rPr>
      </w:pPr>
    </w:p>
    <w:p>
      <w:pPr>
        <w:pStyle w:val="Subtitle0"/>
        <w:spacing w:after="0" w:line="276" w:lineRule="auto"/>
        <w:ind w:left="1134" w:right="758"/>
        <w:rPr>
          <w:b w:val="0"/>
          <w:bCs/>
          <w:color w:val="FFFFFF" w:themeColor="background1"/>
        </w:rPr>
      </w:pPr>
      <w:r>
        <w:rPr>
          <w:b w:val="0"/>
          <w:bCs/>
          <w:color w:val="FFFFFF" w:themeColor="background1"/>
        </w:rPr>
        <w:t>Proteção e continuidade do portal do cliente · Solaris Energia · SOLARIS-PORTAL-2026</w:t>
      </w:r>
    </w:p>
    <w:p>
      <w:pPr>
        <w:pStyle w:val="Normal0"/>
        <w:ind w:firstLine="1134"/>
        <w:rPr>
          <w:color w:val="FFFFFF" w:themeColor="background1"/>
        </w:rPr>
      </w:pPr>
      <w:r>
        <w:rPr>
          <w:color w:val="FFFFFF" w:themeColor="background1"/>
        </w:rPr>
        <w:t>EMPRESA: Solaris Energia</w:t>
      </w:r>
    </w:p>
    <w:p>
      <w:pPr>
        <w:pStyle w:val="Normal0"/>
        <w:spacing w:after="0" w:line="276" w:lineRule="auto"/>
        <w:ind w:firstLine="1134"/>
        <w:rPr>
          <w:color w:val="FFFFFF" w:themeColor="background1"/>
        </w:rPr>
      </w:pPr>
      <w:r>
        <w:rPr>
          <w:color w:val="FFFFFF" w:themeColor="background1"/>
        </w:rPr>
        <w:t>| SETEMBRO 2026 |</w:t>
      </w:r>
    </w:p>
    <w:p w14:paraId="498C438A" w14:textId="799C8663" w:rsidR="00F227EA" w:rsidRDefault="00B55639" w:rsidP="00BC59F2">
      <w:pPr>
        <w:spacing w:line="240" w:lineRule="exact"/>
        <w:jc w:val="left"/>
        <w:sectPr w:rsidR="00F227EA">
          <w:headerReference w:type="default" r:id="rId12"/>
          <w:footerReference w:type="default" r:id="rId13"/>
          <w:headerReference w:type="first" r:id="rId14"/>
          <w:footerReference w:type="first" r:id="rId15"/>
          <w:pgSz w:w="12240" w:h="15840"/>
          <w:pgMar w:top="0" w:right="0" w:bottom="0" w:left="0" w:header="0" w:footer="0" w:gutter="0"/>
          <w:cols w:space="720"/>
          <w:titlePg/>
          <w:docGrid w:linePitch="360"/>
        </w:sectPr>
      </w:pPr>
      <w:r>
        <w:rPr>
          <w:noProof/>
        </w:rPr>
        <w:drawing>
          <wp:anchor distT="0" distB="0" distL="114300" distR="114300" simplePos="0" relativeHeight="251660288" behindDoc="1" locked="0" layoutInCell="1" allowOverlap="1" wp14:anchorId="305B9463" wp14:editId="09D1AD0E">
            <wp:simplePos x="0" y="0"/>
            <wp:positionH relativeFrom="column">
              <wp:posOffset>2580640</wp:posOffset>
            </wp:positionH>
            <wp:positionV relativeFrom="paragraph">
              <wp:posOffset>499745</wp:posOffset>
            </wp:positionV>
            <wp:extent cx="2092960" cy="2092960"/>
            <wp:effectExtent l="0" t="0" r="2540" b="2540"/>
            <wp:wrapNone/>
            <wp:docPr id="497703951" name="Imagem 2" descr="Logo do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do cli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96641" cy="20966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07EEC9"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1.  </w:t>
      </w:r>
      <w:r>
        <w:rPr>
          <w:rFonts w:ascii="Lato" w:eastAsia="Lato" w:hAnsi="Lato" w:cs="Lato"/>
          <w:b/>
          <w:bCs/>
          <w:color w:val="1F2A5E"/>
          <w:sz w:val="30"/>
          <w:szCs w:val="30"/>
        </w:rPr>
        <w:t>Sobre a POPULOS</w:t>
      </w:r>
    </w:p>
    <w:p w14:paraId="3C604CD7" w14:textId="77777777" w:rsidR="00F227EA" w:rsidRDefault="00000000">
      <w:pPr>
        <w:spacing w:after="120" w:line="276" w:lineRule="auto"/>
      </w:pPr>
      <w:r>
        <w:t>A POPULOS nasceu em São Paulo com o objetivo de levar o futuro para organizações de todos os tipos e tamanhos, através da entrega de soluções que têm o poder de transformar radicalmente a forma como as pessoas trabalham, criam e colaboram.</w:t>
      </w:r>
    </w:p>
    <w:p w14:paraId="5570BA4F" w14:textId="61F7A7ED" w:rsidR="00F227EA" w:rsidRDefault="00000000">
      <w:pPr>
        <w:spacing w:after="120" w:line="276" w:lineRule="auto"/>
      </w:pPr>
      <w:r>
        <w:t>Muito mais do que entregar ferramentas tecnológicas, temos como objetivo ajudar organizações a pensar e executar o trabalho de forma diferente, entrando na era do trabalho 3.0. A POPULOS é especialista e líder na América Latina em soluções de Segurança, End-User Computing, Infraestrutura, Redes e Cloud.</w:t>
      </w:r>
    </w:p>
    <w:p w14:paraId="60A8393F" w14:textId="77777777" w:rsidR="00F227EA" w:rsidRDefault="00000000">
      <w:pPr>
        <w:spacing w:after="120" w:line="276" w:lineRule="auto"/>
      </w:pPr>
      <w:r>
        <w:t>Somos um agente da transformação digital. Nossa missão é compartilhar a visão do futuro do trabalho e entregar os meios para que organizações obtenham os melhores resultados em um mundo que se transforma rápido, suprindo os interesses das áreas de TI, segurança e operações.</w:t>
      </w:r>
    </w:p>
    <w:p>
      <w:pPr>
        <w:pStyle w:val="Ttulo2"/>
        <w:keepNext/>
        <w:keepLines/>
        <w:spacing w:before="220" w:after="90"/>
      </w:pPr>
      <w:r>
        <w:rPr>
          <w:rFonts w:ascii="Lato" w:eastAsia="Lato" w:hAnsi="Lato" w:cs="Lato"/>
          <w:b/>
          <w:bCs/>
          <w:sz w:val="25"/>
          <w:szCs w:val="25"/>
        </w:rPr>
        <w:t>Sobre a Akamai</w:t>
      </w:r>
    </w:p>
    <w:p>
      <w:pPr>
        <w:spacing w:after="120" w:line="276" w:lineRule="auto"/>
      </w:pPr>
      <w:r>
        <w:t>A Akamai opera uma plataforma distribuída de borda para entrega e segurança de aplicações, sobre a qual são configuradas as proteções e o direcionamento de tráfego desta proposta.</w:t>
      </w:r>
    </w:p>
    <w:p>
      <w:pPr>
        <w:spacing w:after="120" w:line="276" w:lineRule="auto"/>
      </w:pPr>
      <w:r>
        <w:t>A solução combina App &amp; API Protector, Bot Manager Premier e Global Traffic Management para proteger o portal do cliente e as APIs do app e tornar automático o failover entre o datacenter próprio e a nuvem pública da Solaris.</w:t>
      </w:r>
    </w:p>
    <w:p>
      <w:pPr>
        <w:pStyle w:val="Ttulo2"/>
        <w:keepNext/>
        <w:keepLines/>
        <w:spacing w:before="220" w:after="90"/>
      </w:pPr>
      <w:r>
        <w:rPr>
          <w:rFonts w:ascii="Lato" w:eastAsia="Lato" w:hAnsi="Lato" w:cs="Lato"/>
          <w:b/>
          <w:bCs/>
          <w:sz w:val="25"/>
          <w:szCs w:val="25"/>
        </w:rPr>
        <w:t>Parceria POPULOS e Akamai</w:t>
      </w:r>
    </w:p>
    <w:p>
      <w:pPr>
        <w:spacing w:after="120" w:line="276" w:lineRule="auto"/>
      </w:pPr>
      <w:r>
        <w:t>A POPULOS é parceira Akamai e fornece as licenças por meio de revenda autorizada, com serviços de desenho e implantação executados pela sua equipe técnica.</w:t>
      </w:r>
    </w:p>
    <w:p>
      <w:pPr>
        <w:pStyle w:val="PargrafodaLista"/>
        <w:numPr>
          <w:ilvl w:val="0"/>
          <w:numId w:val="3"/>
        </w:numPr>
        <w:spacing w:after="120" w:line="276" w:lineRule="auto"/>
      </w:pPr>
      <w:r>
        <w:t>Arquitetura de segurança de aplicações e APIs na borda Akamai</w:t>
      </w:r>
    </w:p>
    <w:p>
      <w:pPr>
        <w:pStyle w:val="PargrafodaLista"/>
        <w:numPr>
          <w:ilvl w:val="0"/>
          <w:numId w:val="3"/>
        </w:numPr>
        <w:spacing w:after="120" w:line="276" w:lineRule="auto"/>
      </w:pPr>
      <w:r>
        <w:t>Gestão de robôs e automação maliciosa</w:t>
      </w:r>
    </w:p>
    <w:p>
      <w:pPr>
        <w:pStyle w:val="PargrafodaLista"/>
        <w:numPr>
          <w:ilvl w:val="0"/>
          <w:numId w:val="3"/>
        </w:numPr>
        <w:spacing w:after="120" w:line="276" w:lineRule="auto"/>
      </w:pPr>
      <w:r>
        <w:t>Continuidade de tráfego entre origens com Global Traffic Management</w:t>
      </w:r>
    </w:p>
    <w:p>
      <w:pPr>
        <w:spacing w:after="120" w:line="276" w:lineRule="auto"/>
      </w:pPr>
      <w:r>
        <w:t>A composição final da equipe será confirmada no plano de projeto, preservando as competências exigidas para cada frente.</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3AFBBE49"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Aderência e qualificações</w:t>
            </w:r>
          </w:p>
          <w:p>
            <w:pPr>
              <w:keepLines/>
              <w:spacing w:before="40" w:after="0"/>
            </w:pPr>
            <w:r>
              <w:rPr>
                <w:rFonts w:ascii="Lato" w:hAnsi="Lato"/>
                <w:b w:val="0"/>
                <w:sz w:val="17"/>
              </w:rPr>
              <w:t>Equipe POPULOS com experiência em segurança de aplicações, gestão de robôs e continuidade de tráfego na plataforma Akamai.</w:t>
            </w:r>
          </w:p>
        </w:tc>
      </w:tr>
    </w:tbl>
    <w:p w14:paraId="594D7819" w14:textId="77777777" w:rsidR="00ED2387" w:rsidRDefault="00ED2387">
      <w:pPr>
        <w:pStyle w:val="Ttulo1"/>
        <w:keepNext/>
        <w:keepLines/>
        <w:pBdr>
          <w:bottom w:val="single" w:sz="6" w:space="4" w:color="6B46C1"/>
        </w:pBdr>
        <w:spacing w:before="320" w:after="140"/>
        <w:rPr>
          <w:rFonts w:ascii="Lato" w:eastAsia="Lato" w:hAnsi="Lato" w:cs="Lato"/>
          <w:b/>
          <w:bCs/>
          <w:color w:val="6B46C1"/>
          <w:sz w:val="30"/>
          <w:szCs w:val="30"/>
        </w:rPr>
      </w:pPr>
    </w:p>
    <w:p w14:paraId="66BFB71B" w14:textId="0C054DC3"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2.  </w:t>
      </w:r>
      <w:r>
        <w:rPr>
          <w:rFonts w:ascii="Lato" w:eastAsia="Lato" w:hAnsi="Lato" w:cs="Lato"/>
          <w:b/>
          <w:bCs/>
          <w:color w:val="1F2A5E"/>
          <w:sz w:val="30"/>
          <w:szCs w:val="30"/>
        </w:rPr>
        <w:t>Sumário Executivo</w:t>
      </w:r>
    </w:p>
    <w:p>
      <w:pPr>
        <w:spacing w:after="120" w:line="276" w:lineRule="auto"/>
      </w:pPr>
      <w:r>
        <w:rPr>
          <w:b/>
          <w:bCs/>
        </w:rPr>
        <w:t>A Solaris Energia atende 4,2 milhões de unidades consumidoras, e o portal do cliente concentra segunda via de conta, pedido de religação e consulta de débitos, com as mesmas APIs usadas pelo app. Em junho e em agosto o portal ficou fora do ar por cerca de 3 horas em cada episódio, por ataques de negação de serviço na camada de aplicação com milhões de requisições na consulta de débitos. Além disso, robôs testam números de CPF nessa mesma página.</w:t>
      </w:r>
    </w:p>
    <w:p>
      <w:pPr>
        <w:spacing w:after="120" w:line="276" w:lineRule="auto"/>
      </w:pPr>
      <w:r>
        <w:t>A continuidade depende hoje de uma decisão manual: a nuvem pública só recebe tráfego quando alguém a aciona após a queda do datacenter. Na última campanha de renegociação de dívidas o tráfego do portal triplicou, e a próxima campanha estadual começa em 01/03/2027.</w:t>
      </w:r>
    </w:p>
    <w:p>
      <w:pPr>
        <w:keepLines/>
        <w:spacing w:after="120" w:line="276" w:lineRule="auto"/>
      </w:pPr>
      <w:r>
        <w:t>A POPULOS propõe um engajamento em duas fases. A Fase 1, contratada agora, faz o levantamento do ambiente atual e entrega o desenho da solução com App &amp; API Protector, Bot Manager Premier e Global Traffic Management, sem mudança no ambiente de produção. A Fase 2, de implantação, é apresentada como opção e é contratada após o aceite do desenho.</w:t>
      </w:r>
    </w:p>
    <w:p>
      <w:pPr>
        <w:keepLines/>
        <w:spacing w:after="120" w:line="276" w:lineRule="auto"/>
      </w:pPr>
      <w:r>
        <w:t>Viabilidade frente a Campanha estadual de renegociação de dívidas (01/03/2027): cabe no prazo. Com início em 24/09/2026 e a sequência Fase 1 — Levantamento e desenho → Provisionamento das licenças Akamai → Implantação da proteção e do failover automático (opcional), a conclusão fica entre 26/11/2026 e 31/12/2026. Para cumprir a data limite, o início deve ocorrer até 23/11/2026. Ressalvas: não há folga de estabilização aprovada: a conclusão pode coincidir com a data limite.</w:t>
      </w:r>
    </w:p>
    <w:p>
      <w:pPr>
        <w:pStyle w:val="PargrafodaLista"/>
        <w:numPr>
          <w:ilvl w:val="0"/>
          <w:numId w:val="2"/>
        </w:numPr>
        <w:spacing w:after="60" w:line="270" w:lineRule="auto"/>
      </w:pPr>
      <w:r>
        <w:rPr>
          <w:b/>
          <w:bCs/>
        </w:rPr>
        <w:t>Continuidade entre origens — Global Traffic Management.</w:t>
      </w:r>
    </w:p>
    <w:p>
      <w:pPr>
        <w:pStyle w:val="PargrafodaLista"/>
        <w:numPr>
          <w:ilvl w:val="0"/>
          <w:numId w:val="2"/>
        </w:numPr>
        <w:spacing w:after="60" w:line="270" w:lineRule="auto"/>
      </w:pPr>
      <w:r>
        <w:rPr>
          <w:b/>
          <w:bCs/>
        </w:rPr>
        <w:t>Proteção de aplicação e APIs — App &amp; API Protector.</w:t>
      </w:r>
    </w:p>
    <w:p>
      <w:pPr>
        <w:pStyle w:val="PargrafodaLista"/>
        <w:numPr>
          <w:ilvl w:val="0"/>
          <w:numId w:val="2"/>
        </w:numPr>
        <w:spacing w:after="60" w:line="270" w:lineRule="auto"/>
      </w:pPr>
      <w:r>
        <w:rPr>
          <w:b/>
          <w:bCs/>
        </w:rPr>
        <w:t>Contenção de robôs — Bot Manager Premier.</w:t>
      </w:r>
    </w:p>
    <w:p>
      <w:pPr>
        <w:spacing w:after="60" w:line="276" w:lineRule="auto"/>
      </w:pPr>
      <w:r>
        <w:rPr>
          <w:b/>
          <w:bCs/>
        </w:rPr>
        <w:t>A proposta cobre a proteção de aplicação e APIs, a contenção de robôs na consulta de débitos e a continuidade entre as duas origens do portal.</w:t>
      </w:r>
    </w:p>
    <w:p w14:paraId="71911788" w14:textId="77777777" w:rsidR="003D6743" w:rsidRDefault="003D6743">
      <w:pPr>
        <w:spacing w:after="60" w:line="276"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60F0B8BA"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Modelo de fornecimento</w:t>
            </w:r>
          </w:p>
          <w:p>
            <w:pPr>
              <w:keepLines/>
              <w:spacing w:before="40" w:after="0"/>
            </w:pPr>
            <w:r>
              <w:rPr>
                <w:rFonts w:ascii="Lato" w:hAnsi="Lato"/>
                <w:b w:val="0"/>
                <w:sz w:val="17"/>
              </w:rPr>
              <w:t>revenda autorizada</w:t>
            </w:r>
          </w:p>
        </w:tc>
      </w:tr>
    </w:tbl>
    <w:p w14:paraId="0DEBA0B3" w14:textId="77777777" w:rsidR="00F227EA" w:rsidRDefault="00000000">
      <w:pPr>
        <w:pStyle w:val="Ttulo2"/>
        <w:keepNext/>
        <w:keepLines/>
        <w:spacing w:before="220" w:after="90"/>
      </w:pPr>
      <w:r>
        <w:rPr>
          <w:rFonts w:ascii="Lato" w:eastAsia="Lato" w:hAnsi="Lato" w:cs="Lato"/>
          <w:b/>
          <w:bCs/>
          <w:sz w:val="25"/>
          <w:szCs w:val="25"/>
        </w:rPr>
        <w:t>Objetivos do Projeto</w:t>
      </w:r>
    </w:p>
    <w:p>
      <w:pPr>
        <w:pStyle w:val="PargrafodaLista"/>
        <w:numPr>
          <w:ilvl w:val="0"/>
          <w:numId w:val="2"/>
        </w:numPr>
        <w:spacing w:after="60" w:line="270" w:lineRule="auto"/>
      </w:pPr>
      <w:r>
        <w:t>Manter o portal do cliente e as APIs do app disponíveis durante ataques de negação de serviço na camada de aplicação (REQ-01)</w:t>
      </w:r>
    </w:p>
    <w:p>
      <w:pPr>
        <w:pStyle w:val="PargrafodaLista"/>
        <w:numPr>
          <w:ilvl w:val="0"/>
          <w:numId w:val="2"/>
        </w:numPr>
        <w:spacing w:after="60" w:line="270" w:lineRule="auto"/>
      </w:pPr>
      <w:r>
        <w:t>Conter robôs que testam números de CPF na consulta de débitos (REQ-02)</w:t>
      </w:r>
    </w:p>
    <w:p>
      <w:pPr>
        <w:pStyle w:val="PargrafodaLista"/>
        <w:numPr>
          <w:ilvl w:val="0"/>
          <w:numId w:val="2"/>
        </w:numPr>
        <w:spacing w:after="60" w:line="270" w:lineRule="auto"/>
      </w:pPr>
      <w:r>
        <w:t>Tornar automático o failover entre o datacenter próprio e a nuvem pública (REQ-03)</w:t>
      </w:r>
    </w:p>
    <w:p>
      <w:pPr>
        <w:pStyle w:val="PargrafodaLista"/>
        <w:numPr>
          <w:ilvl w:val="0"/>
          <w:numId w:val="2"/>
        </w:numPr>
        <w:spacing w:after="60" w:line="270" w:lineRule="auto"/>
      </w:pPr>
      <w:r>
        <w:t>Chegar à campanha estadual de renegociação de dívidas de 01/03/2027 com proteção e failover automático em operação (REQ-04)</w:t>
      </w:r>
    </w:p>
    <w:p>
      <w:pPr>
        <w:pStyle w:val="PargrafodaLista"/>
        <w:numPr>
          <w:ilvl w:val="0"/>
          <w:numId w:val="2"/>
        </w:numPr>
        <w:spacing w:after="60" w:line="270" w:lineRule="auto"/>
      </w:pPr>
      <w:r>
        <w:t>Contratar primeiro o levantamento e o desenho, e decidir a implantação após o aceite do desenho (REQ-05)</w:t>
      </w:r>
    </w:p>
    <w:p w14:paraId="6845968B" w14:textId="77777777" w:rsidR="00BC59F2" w:rsidRDefault="00BC59F2" w:rsidP="00BC59F2">
      <w:pPr>
        <w:spacing w:after="60" w:line="270" w:lineRule="auto"/>
      </w:pPr>
    </w:p>
    <w:p w14:paraId="60915E81" w14:textId="77777777" w:rsidR="00BC59F2" w:rsidRDefault="00BC59F2" w:rsidP="00BC59F2">
      <w:pPr>
        <w:spacing w:after="60" w:line="270" w:lineRule="auto"/>
      </w:pPr>
    </w:p>
    <w:p w14:paraId="06204E69"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3.  </w:t>
      </w:r>
      <w:r>
        <w:rPr>
          <w:rFonts w:ascii="Lato" w:eastAsia="Lato" w:hAnsi="Lato" w:cs="Lato"/>
          <w:b/>
          <w:bCs/>
          <w:color w:val="1F2A5E"/>
          <w:sz w:val="30"/>
          <w:szCs w:val="30"/>
        </w:rPr>
        <w:t>Descrição da Solução</w:t>
      </w:r>
    </w:p>
    <w:p>
      <w:pPr>
        <w:spacing w:after="120" w:line="276" w:lineRule="auto"/>
      </w:pPr>
      <w:r>
        <w:t>Os usuários do portal e do app passam a acessar os nomes publicados por meio da borda Akamai, onde o App &amp; API Protector aplica WAF e mitigação de DDoS de aplicação e o Bot Manager Premier trata a automação sobre a consulta de débitos. A escolha da origem é feita pelo Global Traffic Management, que monitora a saúde do datacenter próprio e da nuvem pública e direciona o tráfego para a nuvem pública quando o datacenter fica indisponível. O DNS autoritativo dos domínios permanece no provedor atual da Solaris. O desenho detalhado é produzido e aceito na Fase 1 antes de qualquer implantação.</w:t>
      </w:r>
    </w:p>
    <w:p>
      <w:pPr>
        <w:jc w:val="center"/>
      </w:pPr>
      <w:r>
        <w:drawing>
          <wp:inline xmlns:a="http://schemas.openxmlformats.org/drawingml/2006/main" xmlns:pic="http://schemas.openxmlformats.org/drawingml/2006/picture">
            <wp:extent cx="6080760" cy="1891792"/>
            <wp:docPr id="497703952" name="Picture 49770395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80760" cy="1891792"/>
                    </a:xfrm>
                    <a:prstGeom prst="rect"/>
                  </pic:spPr>
                </pic:pic>
              </a:graphicData>
            </a:graphic>
          </wp:inline>
        </w:drawing>
      </w:r>
    </w:p>
    <w:p>
      <w:pPr>
        <w:pStyle w:val="Ttulo2"/>
        <w:keepNext/>
        <w:keepLines/>
        <w:spacing w:before="220" w:after="90"/>
      </w:pPr>
      <w:r>
        <w:rPr>
          <w:rFonts w:ascii="Lato" w:eastAsia="Lato" w:hAnsi="Lato" w:cs="Lato"/>
          <w:b/>
          <w:bCs/>
          <w:sz w:val="25"/>
          <w:szCs w:val="25"/>
        </w:rPr>
        <w:t>3.1 Continuidade entre origens</w:t>
      </w:r>
    </w:p>
    <w:p>
      <w:pPr>
        <w:spacing w:after="120" w:line="276" w:lineRule="auto"/>
      </w:pPr>
      <w:r>
        <w:t>Direciona o tráfego para a nuvem pública quando os testes de saúde indicam indisponibilidade do datacenter, sem intervenção manual.</w:t>
      </w:r>
    </w:p>
    <w:p>
      <w:pPr>
        <w:pStyle w:val="PargrafodaLista"/>
        <w:numPr>
          <w:ilvl w:val="0"/>
          <w:numId w:val="2"/>
        </w:numPr>
        <w:spacing w:after="60" w:line="270" w:lineRule="auto"/>
      </w:pPr>
      <w:r>
        <w:t>Global Traffic Management: políticas de tráfego, testes de saúde, failover entre provedores</w:t>
      </w:r>
    </w:p>
    <w:p>
      <w:pPr>
        <w:pStyle w:val="Ttulo2"/>
        <w:keepNext/>
        <w:keepLines/>
        <w:spacing w:before="220" w:after="90"/>
      </w:pPr>
      <w:r>
        <w:rPr>
          <w:rFonts w:ascii="Lato" w:eastAsia="Lato" w:hAnsi="Lato" w:cs="Lato"/>
          <w:b/>
          <w:bCs/>
          <w:sz w:val="25"/>
          <w:szCs w:val="25"/>
        </w:rPr>
        <w:t>3.2 Proteção de aplicação e APIs</w:t>
      </w:r>
    </w:p>
    <w:p>
      <w:pPr>
        <w:spacing w:after="120" w:line="276" w:lineRule="auto"/>
      </w:pPr>
      <w:r>
        <w:t>Protege o portal do cliente e as APIs do app com WAF e mitigação de DDoS de aplicação na borda, absorvendo picos de requisições maliciosas antes que cheguem às origens.</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479990F7"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Limite da frente</w:t>
            </w:r>
          </w:p>
          <w:p>
            <w:pPr>
              <w:keepLines/>
              <w:spacing w:before="40" w:after="0"/>
            </w:pPr>
            <w:r>
              <w:rPr>
                <w:rFonts w:ascii="Lato" w:hAnsi="Lato"/>
                <w:b w:val="0"/>
                <w:sz w:val="17"/>
              </w:rPr>
              <w:t>A Fase 1 não altera o ambiente de produção; o DNS autoritativo permanece no provedor atual.</w:t>
            </w:r>
          </w:p>
        </w:tc>
      </w:tr>
    </w:tbl>
    <w:p>
      <w:pPr>
        <w:pStyle w:val="Ttulo2"/>
        <w:keepNext/>
        <w:keepLines/>
        <w:spacing w:before="220" w:after="90"/>
        <w:rPr>
          <w:rFonts w:ascii="Lato" w:eastAsia="Lato" w:hAnsi="Lato" w:cs="Lato"/>
          <w:b/>
          <w:bCs/>
          <w:sz w:val="25"/>
          <w:szCs w:val="25"/>
        </w:rPr>
      </w:pPr>
      <w:r>
        <w:rPr>
          <w:rFonts w:ascii="Lato" w:eastAsia="Lato" w:hAnsi="Lato" w:cs="Lato"/>
          <w:b/>
          <w:bCs/>
          <w:sz w:val="25"/>
          <w:szCs w:val="25"/>
        </w:rPr>
        <w:t>3.3 Contenção de robôs</w:t>
      </w:r>
    </w:p>
    <w:p>
      <w:pPr>
        <w:spacing w:after="120" w:line="276" w:lineRule="auto"/>
      </w:pPr>
      <w:r>
        <w:t>Identifica e responde à automação que testa CPFs na consulta de débitos, com ações por objetivo de negócio e telemetria para acompanhar o abuso.</w:t>
      </w:r>
    </w:p>
    <w:p>
      <w:pPr>
        <w:pStyle w:val="Ttulo2"/>
        <w:keepNext/>
        <w:keepLines/>
        <w:spacing w:before="160" w:after="90"/>
        <w:rPr>
          <w:rFonts w:ascii="Lato" w:eastAsia="Lato" w:hAnsi="Lato" w:cs="Lato"/>
          <w:b/>
          <w:bCs/>
          <w:sz w:val="25"/>
          <w:szCs w:val="25"/>
        </w:rPr>
      </w:pPr>
      <w:r>
        <w:rPr>
          <w:rFonts w:ascii="Lato" w:eastAsia="Lato" w:hAnsi="Lato" w:cs="Lato"/>
          <w:b/>
          <w:bCs/>
          <w:sz w:val="25"/>
          <w:szCs w:val="25"/>
        </w:rPr>
        <w:t>3.4 Prontidão para eventos críticos</w:t>
      </w:r>
    </w:p>
    <w:p>
      <w:pPr>
        <w:pStyle w:val="PargrafodaLista"/>
        <w:keepLines/>
        <w:numPr>
          <w:ilvl w:val="0"/>
          <w:numId w:val="2"/>
        </w:numPr>
        <w:spacing w:after="60" w:line="270" w:lineRule="auto"/>
      </w:pPr>
      <w:r>
        <w:t>Implantação da proteção e do failover automático (opcional): Monitoramento das políticas de proteção e dos testes de saúde das origens nas semanas anteriores à campanha.</w:t>
      </w:r>
    </w:p>
    <w:p>
      <w:pPr>
        <w:pStyle w:val="PargrafodaLista"/>
        <w:keepLines/>
        <w:numPr>
          <w:ilvl w:val="0"/>
          <w:numId w:val="2"/>
        </w:numPr>
        <w:spacing w:after="60" w:line="270" w:lineRule="auto"/>
      </w:pPr>
      <w:r>
        <w:t>Implantação da proteção e do failover automático (opcional): Plano de reversão validado para cada mudança em produção.</w:t>
      </w:r>
    </w:p>
    <w:p>
      <w:pPr>
        <w:pStyle w:val="PargrafodaLista"/>
        <w:keepLines/>
        <w:numPr>
          <w:ilvl w:val="0"/>
          <w:numId w:val="2"/>
        </w:numPr>
        <w:spacing w:after="60" w:line="270" w:lineRule="auto"/>
      </w:pPr>
      <w:r>
        <w:t>Implantação da proteção e do failover automático (opcional): Teste de carga controlado e revisão de capacidade das políticas antes da campanha.</w:t>
      </w:r>
    </w:p>
    <w:p>
      <w:pPr>
        <w:pStyle w:val="PargrafodaLista"/>
        <w:keepLines/>
        <w:numPr>
          <w:ilvl w:val="0"/>
          <w:numId w:val="2"/>
        </w:numPr>
        <w:spacing w:after="60" w:line="270" w:lineRule="auto"/>
      </w:pPr>
      <w:r>
        <w:t>Implantação da proteção e do failover automático (opcional): Sala de crise conduzida pela POPULOS no início da campanha.</w:t>
      </w:r>
    </w:p>
    <w:p>
      <w:pPr>
        <w:pStyle w:val="Ttulo2"/>
        <w:keepNext/>
        <w:keepLines/>
        <w:spacing w:before="220" w:after="90"/>
        <w:rPr>
          <w:rFonts w:ascii="Lato" w:eastAsia="Lato" w:hAnsi="Lato" w:cs="Lato"/>
          <w:b/>
          <w:bCs/>
          <w:sz w:val="25"/>
          <w:szCs w:val="25"/>
        </w:rPr>
      </w:pPr>
      <w:r>
        <w:rPr>
          <w:rFonts w:ascii="Lato" w:eastAsia="Lato" w:hAnsi="Lato" w:cs="Lato"/>
          <w:b/>
          <w:bCs/>
          <w:sz w:val="25"/>
          <w:szCs w:val="25"/>
        </w:rPr>
        <w:t>3.5 Matriz de rastreabilidade</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936"/>
            <w:vAlign w:val="center"/>
            <w:shd w:fill="1F2A5E"/>
          </w:tcPr>
          <w:p>
            <w:pPr>
              <w:spacing w:after="40"/>
              <w:jc w:val="left"/>
            </w:pPr>
            <w:r>
              <w:rPr>
                <w:rFonts w:ascii="Lato" w:hAnsi="Lato"/>
                <w:b/>
                <w:color w:val="FFFFFF"/>
                <w:sz w:val="15"/>
              </w:rPr>
              <w:t>Requisito</w:t>
            </w:r>
          </w:p>
        </w:tc>
        <w:tc>
          <w:tcPr>
            <w:tcW w:type="dxa" w:w="3168"/>
            <w:vAlign w:val="center"/>
            <w:shd w:fill="1F2A5E"/>
          </w:tcPr>
          <w:p>
            <w:pPr>
              <w:spacing w:after="40"/>
              <w:jc w:val="left"/>
            </w:pPr>
            <w:r>
              <w:rPr>
                <w:rFonts w:ascii="Lato" w:hAnsi="Lato"/>
                <w:b/>
                <w:color w:val="FFFFFF"/>
                <w:sz w:val="15"/>
              </w:rPr>
              <w:t>Necessidade</w:t>
            </w:r>
          </w:p>
        </w:tc>
        <w:tc>
          <w:tcPr>
            <w:tcW w:type="dxa" w:w="1944"/>
            <w:vAlign w:val="center"/>
            <w:shd w:fill="1F2A5E"/>
          </w:tcPr>
          <w:p>
            <w:pPr>
              <w:spacing w:after="40"/>
              <w:jc w:val="left"/>
            </w:pPr>
            <w:r>
              <w:rPr>
                <w:rFonts w:ascii="Lato" w:hAnsi="Lato"/>
                <w:b/>
                <w:color w:val="FFFFFF"/>
                <w:sz w:val="15"/>
              </w:rPr>
              <w:t>Componente</w:t>
            </w:r>
          </w:p>
        </w:tc>
        <w:tc>
          <w:tcPr>
            <w:tcW w:type="dxa" w:w="3456"/>
            <w:vAlign w:val="center"/>
            <w:shd w:fill="1F2A5E"/>
          </w:tcPr>
          <w:p>
            <w:pPr>
              <w:spacing w:after="40"/>
              <w:jc w:val="left"/>
            </w:pPr>
            <w:r>
              <w:rPr>
                <w:rFonts w:ascii="Lato" w:hAnsi="Lato"/>
                <w:b/>
                <w:color w:val="FFFFFF"/>
                <w:sz w:val="15"/>
              </w:rPr>
              <w:t>Evidência de aceite</w:t>
            </w:r>
          </w:p>
        </w:tc>
      </w:tr>
      <w:tr>
        <w:tc>
          <w:tcPr>
            <w:tcW w:type="dxa" w:w="936"/>
            <w:vAlign w:val="center"/>
            <w:shd w:fill="FFFFFF"/>
          </w:tcPr>
          <w:p>
            <w:pPr>
              <w:spacing w:after="40"/>
              <w:jc w:val="left"/>
            </w:pPr>
            <w:r>
              <w:rPr>
                <w:rFonts w:ascii="Lato" w:hAnsi="Lato"/>
                <w:b w:val="0"/>
                <w:color w:val="1F2A5E"/>
                <w:sz w:val="15"/>
              </w:rPr>
              <w:t>REQ-01</w:t>
            </w:r>
          </w:p>
        </w:tc>
        <w:tc>
          <w:tcPr>
            <w:tcW w:type="dxa" w:w="3168"/>
            <w:vAlign w:val="center"/>
            <w:shd w:fill="FFFFFF"/>
          </w:tcPr>
          <w:p>
            <w:pPr>
              <w:spacing w:after="40"/>
              <w:jc w:val="left"/>
            </w:pPr>
            <w:r>
              <w:rPr>
                <w:rFonts w:ascii="Lato" w:hAnsi="Lato"/>
                <w:b w:val="0"/>
                <w:color w:val="1F2A5E"/>
                <w:sz w:val="15"/>
              </w:rPr>
              <w:t>Proteger o portal do cliente e as APIs usadas pelo app contra DDoS na camada de aplicação, com foco na página de consulta de débitos</w:t>
            </w:r>
          </w:p>
        </w:tc>
        <w:tc>
          <w:tcPr>
            <w:tcW w:type="dxa" w:w="1944"/>
            <w:vAlign w:val="center"/>
            <w:shd w:fill="FFFFFF"/>
          </w:tcPr>
          <w:p>
            <w:pPr>
              <w:spacing w:after="40"/>
              <w:jc w:val="left"/>
            </w:pPr>
            <w:r>
              <w:rPr>
                <w:rFonts w:ascii="Lato" w:hAnsi="Lato"/>
                <w:b w:val="0"/>
                <w:color w:val="1F2A5E"/>
                <w:sz w:val="15"/>
              </w:rPr>
              <w:t>App &amp; API Protector</w:t>
            </w:r>
          </w:p>
        </w:tc>
        <w:tc>
          <w:tcPr>
            <w:tcW w:type="dxa" w:w="3456"/>
            <w:vAlign w:val="center"/>
            <w:shd w:fill="FFFFFF"/>
          </w:tcPr>
          <w:p>
            <w:pPr>
              <w:spacing w:after="40"/>
              <w:jc w:val="left"/>
            </w:pPr>
            <w:r>
              <w:rPr>
                <w:rFonts w:ascii="Lato" w:hAnsi="Lato"/>
                <w:b w:val="0"/>
                <w:color w:val="1F2A5E"/>
                <w:sz w:val="15"/>
              </w:rPr>
              <w:t>HLD descreve as políticas de WAF e de mitigação de DDoS de aplicação para os hostnames e APIs levantados, incluindo a consulta de débitos.</w:t>
            </w:r>
          </w:p>
        </w:tc>
      </w:tr>
      <w:tr>
        <w:tc>
          <w:tcPr>
            <w:tcW w:type="dxa" w:w="936"/>
            <w:vAlign w:val="center"/>
            <w:shd w:fill="F3F4F6"/>
          </w:tcPr>
          <w:p>
            <w:pPr>
              <w:spacing w:after="40"/>
              <w:jc w:val="left"/>
            </w:pPr>
            <w:r>
              <w:rPr>
                <w:rFonts w:ascii="Lato" w:hAnsi="Lato"/>
                <w:b w:val="0"/>
                <w:color w:val="1F2A5E"/>
                <w:sz w:val="15"/>
              </w:rPr>
              <w:t>REQ-02</w:t>
            </w:r>
          </w:p>
        </w:tc>
        <w:tc>
          <w:tcPr>
            <w:tcW w:type="dxa" w:w="3168"/>
            <w:vAlign w:val="center"/>
            <w:shd w:fill="F3F4F6"/>
          </w:tcPr>
          <w:p>
            <w:pPr>
              <w:spacing w:after="40"/>
              <w:jc w:val="left"/>
            </w:pPr>
            <w:r>
              <w:rPr>
                <w:rFonts w:ascii="Lato" w:hAnsi="Lato"/>
                <w:b w:val="0"/>
                <w:color w:val="1F2A5E"/>
                <w:sz w:val="15"/>
              </w:rPr>
              <w:t>Detectar e conter robôs que testam números de CPF na consulta de débitos</w:t>
            </w:r>
          </w:p>
        </w:tc>
        <w:tc>
          <w:tcPr>
            <w:tcW w:type="dxa" w:w="1944"/>
            <w:vAlign w:val="center"/>
            <w:shd w:fill="F3F4F6"/>
          </w:tcPr>
          <w:p>
            <w:pPr>
              <w:spacing w:after="40"/>
              <w:jc w:val="left"/>
            </w:pPr>
            <w:r>
              <w:rPr>
                <w:rFonts w:ascii="Lato" w:hAnsi="Lato"/>
                <w:b w:val="0"/>
                <w:color w:val="1F2A5E"/>
                <w:sz w:val="15"/>
              </w:rPr>
              <w:t>Bot Manager Premier</w:t>
            </w:r>
          </w:p>
        </w:tc>
        <w:tc>
          <w:tcPr>
            <w:tcW w:type="dxa" w:w="3456"/>
            <w:vAlign w:val="center"/>
            <w:shd w:fill="F3F4F6"/>
          </w:tcPr>
          <w:p>
            <w:pPr>
              <w:spacing w:after="40"/>
              <w:jc w:val="left"/>
            </w:pPr>
            <w:r>
              <w:rPr>
                <w:rFonts w:ascii="Lato" w:hAnsi="Lato"/>
                <w:b w:val="0"/>
                <w:color w:val="1F2A5E"/>
                <w:sz w:val="15"/>
              </w:rPr>
              <w:t>HLD descreve a detecção e a resposta a robôs sobre a consulta de débitos, com as ações por tipo de automação.</w:t>
            </w:r>
          </w:p>
        </w:tc>
      </w:tr>
      <w:tr>
        <w:tc>
          <w:tcPr>
            <w:tcW w:type="dxa" w:w="936"/>
            <w:vAlign w:val="center"/>
            <w:shd w:fill="FFFFFF"/>
          </w:tcPr>
          <w:p>
            <w:pPr>
              <w:spacing w:after="40"/>
              <w:jc w:val="left"/>
            </w:pPr>
            <w:r>
              <w:rPr>
                <w:rFonts w:ascii="Lato" w:hAnsi="Lato"/>
                <w:b w:val="0"/>
                <w:color w:val="1F2A5E"/>
                <w:sz w:val="15"/>
              </w:rPr>
              <w:t>REQ-03</w:t>
            </w:r>
          </w:p>
        </w:tc>
        <w:tc>
          <w:tcPr>
            <w:tcW w:type="dxa" w:w="3168"/>
            <w:vAlign w:val="center"/>
            <w:shd w:fill="FFFFFF"/>
          </w:tcPr>
          <w:p>
            <w:pPr>
              <w:spacing w:after="40"/>
              <w:jc w:val="left"/>
            </w:pPr>
            <w:r>
              <w:rPr>
                <w:rFonts w:ascii="Lato" w:hAnsi="Lato"/>
                <w:b w:val="0"/>
                <w:color w:val="1F2A5E"/>
                <w:sz w:val="15"/>
              </w:rPr>
              <w:t>Direcionar o tráfego automaticamente para a nuvem pública quando o datacenter próprio ficar indisponível</w:t>
            </w:r>
          </w:p>
        </w:tc>
        <w:tc>
          <w:tcPr>
            <w:tcW w:type="dxa" w:w="1944"/>
            <w:vAlign w:val="center"/>
            <w:shd w:fill="FFFFFF"/>
          </w:tcPr>
          <w:p>
            <w:pPr>
              <w:spacing w:after="40"/>
              <w:jc w:val="left"/>
            </w:pPr>
            <w:r>
              <w:rPr>
                <w:rFonts w:ascii="Lato" w:hAnsi="Lato"/>
                <w:b w:val="0"/>
                <w:color w:val="1F2A5E"/>
                <w:sz w:val="15"/>
              </w:rPr>
              <w:t>Global Traffic Management</w:t>
            </w:r>
          </w:p>
        </w:tc>
        <w:tc>
          <w:tcPr>
            <w:tcW w:type="dxa" w:w="3456"/>
            <w:vAlign w:val="center"/>
            <w:shd w:fill="FFFFFF"/>
          </w:tcPr>
          <w:p>
            <w:pPr>
              <w:spacing w:after="40"/>
              <w:jc w:val="left"/>
            </w:pPr>
            <w:r>
              <w:rPr>
                <w:rFonts w:ascii="Lato" w:hAnsi="Lato"/>
                <w:b w:val="0"/>
                <w:color w:val="1F2A5E"/>
                <w:sz w:val="15"/>
              </w:rPr>
              <w:t>HLD descreve os testes de saúde, as políticas de tráfego entre as duas origens e o plano de testes de failover.</w:t>
            </w:r>
          </w:p>
        </w:tc>
      </w:tr>
      <w:tr>
        <w:tc>
          <w:tcPr>
            <w:tcW w:type="dxa" w:w="936"/>
            <w:vAlign w:val="center"/>
            <w:shd w:fill="F3F4F6"/>
          </w:tcPr>
          <w:p>
            <w:pPr>
              <w:spacing w:after="40"/>
              <w:jc w:val="left"/>
            </w:pPr>
            <w:r>
              <w:rPr>
                <w:rFonts w:ascii="Lato" w:hAnsi="Lato"/>
                <w:b w:val="0"/>
                <w:color w:val="1F2A5E"/>
                <w:sz w:val="15"/>
              </w:rPr>
              <w:t>REQ-04</w:t>
            </w:r>
          </w:p>
        </w:tc>
        <w:tc>
          <w:tcPr>
            <w:tcW w:type="dxa" w:w="3168"/>
            <w:vAlign w:val="center"/>
            <w:shd w:fill="F3F4F6"/>
          </w:tcPr>
          <w:p>
            <w:pPr>
              <w:spacing w:after="40"/>
              <w:jc w:val="left"/>
            </w:pPr>
            <w:r>
              <w:rPr>
                <w:rFonts w:ascii="Lato" w:hAnsi="Lato"/>
                <w:b w:val="0"/>
                <w:color w:val="1F2A5E"/>
                <w:sz w:val="15"/>
              </w:rPr>
              <w:t>Estar protegido e com failover automático antes do início da campanha estadual de renegociação de dívidas em 01/03/2027</w:t>
            </w:r>
          </w:p>
        </w:tc>
        <w:tc>
          <w:tcPr>
            <w:tcW w:type="dxa" w:w="1944"/>
            <w:vAlign w:val="center"/>
            <w:shd w:fill="F3F4F6"/>
          </w:tcPr>
          <w:p>
            <w:pPr>
              <w:spacing w:after="40"/>
              <w:jc w:val="left"/>
            </w:pPr>
            <w:r>
              <w:rPr>
                <w:rFonts w:ascii="Lato" w:hAnsi="Lato"/>
                <w:b w:val="0"/>
                <w:color w:val="1F2A5E"/>
                <w:sz w:val="15"/>
              </w:rPr>
              <w:t>Prontidão para a campanha na Fase 2 (implantação)</w:t>
            </w:r>
          </w:p>
        </w:tc>
        <w:tc>
          <w:tcPr>
            <w:tcW w:type="dxa" w:w="3456"/>
            <w:vAlign w:val="center"/>
            <w:shd w:fill="F3F4F6"/>
          </w:tcPr>
          <w:p>
            <w:pPr>
              <w:spacing w:after="40"/>
              <w:jc w:val="left"/>
            </w:pPr>
            <w:r>
              <w:rPr>
                <w:rFonts w:ascii="Lato" w:hAnsi="Lato"/>
                <w:b w:val="0"/>
                <w:color w:val="1F2A5E"/>
                <w:sz w:val="15"/>
              </w:rPr>
              <w:t>Plano de implantação da Fase 2 entregue com a sequência de janelas de terça-feira e o plano de reversão, referenciado à campanha de 01/03/2027.</w:t>
            </w:r>
          </w:p>
        </w:tc>
      </w:tr>
      <w:tr>
        <w:tc>
          <w:tcPr>
            <w:tcW w:type="dxa" w:w="936"/>
            <w:vAlign w:val="center"/>
            <w:shd w:fill="FFFFFF"/>
          </w:tcPr>
          <w:p>
            <w:pPr>
              <w:spacing w:after="40"/>
              <w:jc w:val="left"/>
            </w:pPr>
            <w:r>
              <w:rPr>
                <w:rFonts w:ascii="Lato" w:hAnsi="Lato"/>
                <w:b w:val="0"/>
                <w:color w:val="1F2A5E"/>
                <w:sz w:val="15"/>
              </w:rPr>
              <w:t>REQ-05</w:t>
            </w:r>
          </w:p>
        </w:tc>
        <w:tc>
          <w:tcPr>
            <w:tcW w:type="dxa" w:w="3168"/>
            <w:vAlign w:val="center"/>
            <w:shd w:fill="FFFFFF"/>
          </w:tcPr>
          <w:p>
            <w:pPr>
              <w:spacing w:after="40"/>
              <w:jc w:val="left"/>
            </w:pPr>
            <w:r>
              <w:rPr>
                <w:rFonts w:ascii="Lato" w:hAnsi="Lato"/>
                <w:b w:val="0"/>
                <w:color w:val="1F2A5E"/>
                <w:sz w:val="15"/>
              </w:rPr>
              <w:t>Realizar levantamento e desenho antes de contratar a implantação</w:t>
            </w:r>
          </w:p>
        </w:tc>
        <w:tc>
          <w:tcPr>
            <w:tcW w:type="dxa" w:w="1944"/>
            <w:vAlign w:val="center"/>
            <w:shd w:fill="FFFFFF"/>
          </w:tcPr>
          <w:p>
            <w:pPr>
              <w:spacing w:after="40"/>
              <w:jc w:val="left"/>
            </w:pPr>
            <w:r>
              <w:rPr>
                <w:rFonts w:ascii="Lato" w:hAnsi="Lato"/>
                <w:b w:val="0"/>
                <w:color w:val="1F2A5E"/>
                <w:sz w:val="15"/>
              </w:rPr>
              <w:t>Engajamento em duas fases: Fase 1 contratada e Fase 2 opcional</w:t>
            </w:r>
          </w:p>
        </w:tc>
        <w:tc>
          <w:tcPr>
            <w:tcW w:type="dxa" w:w="3456"/>
            <w:vAlign w:val="center"/>
            <w:shd w:fill="FFFFFF"/>
          </w:tcPr>
          <w:p>
            <w:pPr>
              <w:spacing w:after="40"/>
              <w:jc w:val="left"/>
            </w:pPr>
            <w:r>
              <w:rPr>
                <w:rFonts w:ascii="Lato" w:hAnsi="Lato"/>
                <w:b w:val="0"/>
                <w:color w:val="1F2A5E"/>
                <w:sz w:val="15"/>
              </w:rPr>
              <w:t>Relatório de levantamento e HLD entregues e aceitos formalmente pela Solaris.</w:t>
            </w:r>
          </w:p>
        </w:tc>
      </w:tr>
      <w:tr>
        <w:tc>
          <w:tcPr>
            <w:tcW w:type="dxa" w:w="936"/>
            <w:vAlign w:val="center"/>
            <w:shd w:fill="F3F4F6"/>
          </w:tcPr>
          <w:p>
            <w:pPr>
              <w:spacing w:after="40"/>
              <w:jc w:val="left"/>
            </w:pPr>
            <w:r>
              <w:rPr>
                <w:rFonts w:ascii="Lato" w:hAnsi="Lato"/>
                <w:b w:val="0"/>
                <w:color w:val="1F2A5E"/>
                <w:sz w:val="15"/>
              </w:rPr>
              <w:t>REQ-06</w:t>
            </w:r>
          </w:p>
        </w:tc>
        <w:tc>
          <w:tcPr>
            <w:tcW w:type="dxa" w:w="3168"/>
            <w:vAlign w:val="center"/>
            <w:shd w:fill="F3F4F6"/>
          </w:tcPr>
          <w:p>
            <w:pPr>
              <w:spacing w:after="40"/>
              <w:jc w:val="left"/>
            </w:pPr>
            <w:r>
              <w:rPr>
                <w:rFonts w:ascii="Lato" w:hAnsi="Lato"/>
                <w:b w:val="0"/>
                <w:color w:val="1F2A5E"/>
                <w:sz w:val="15"/>
              </w:rPr>
              <w:t>Executar mudanças em produção somente às terças-feiras, das 22h às 2h</w:t>
            </w:r>
          </w:p>
        </w:tc>
        <w:tc>
          <w:tcPr>
            <w:tcW w:type="dxa" w:w="1944"/>
            <w:vAlign w:val="center"/>
            <w:shd w:fill="F3F4F6"/>
          </w:tcPr>
          <w:p>
            <w:pPr>
              <w:spacing w:after="40"/>
              <w:jc w:val="left"/>
            </w:pPr>
            <w:r>
              <w:rPr>
                <w:rFonts w:ascii="Lato" w:hAnsi="Lato"/>
                <w:b w:val="0"/>
                <w:color w:val="1F2A5E"/>
                <w:sz w:val="15"/>
              </w:rPr>
              <w:t>Plano de entrada da Fase 2 dentro da janela de mudanças da Solaris</w:t>
            </w:r>
          </w:p>
        </w:tc>
        <w:tc>
          <w:tcPr>
            <w:tcW w:type="dxa" w:w="3456"/>
            <w:vAlign w:val="center"/>
            <w:shd w:fill="F3F4F6"/>
          </w:tcPr>
          <w:p>
            <w:pPr>
              <w:spacing w:after="40"/>
              <w:jc w:val="left"/>
            </w:pPr>
            <w:r>
              <w:rPr>
                <w:rFonts w:ascii="Lato" w:hAnsi="Lato"/>
                <w:b w:val="0"/>
                <w:color w:val="1F2A5E"/>
                <w:sz w:val="15"/>
              </w:rPr>
              <w:t>Plano de implantação da Fase 2 prevê todas as mudanças em produção dentro das janelas de terça-feira, das 22h às 2h.</w:t>
            </w:r>
          </w:p>
        </w:tc>
      </w:tr>
    </w:tbl>
    <w:p w14:paraId="466647CD"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4. Dimensionamento e Abrangência</w:t>
      </w:r>
    </w:p>
    <w:p>
      <w:pPr>
        <w:spacing w:after="120" w:line="276" w:lineRule="auto"/>
      </w:pPr>
      <w:r>
        <w:rPr>
          <w:b/>
          <w:bCs/>
        </w:rPr>
        <w:t>O dimensionamento parte das informações passadas pela Solaris na reunião de 22/09/2026; os itens pendentes são levantados na Fase 1.</w:t>
      </w:r>
    </w:p>
    <w:p>
      <w:pPr>
        <w:pStyle w:val="Ttulo2"/>
        <w:keepNext/>
        <w:keepLines/>
        <w:spacing w:before="220" w:after="90"/>
        <w:rPr>
          <w:rFonts w:ascii="Lato" w:eastAsia="Lato" w:hAnsi="Lato" w:cs="Lato"/>
          <w:b/>
          <w:bCs/>
          <w:sz w:val="25"/>
          <w:szCs w:val="25"/>
        </w:rPr>
      </w:pPr>
      <w:r>
        <w:rPr>
          <w:rFonts w:ascii="Lato" w:eastAsia="Lato" w:hAnsi="Lato" w:cs="Lato"/>
          <w:b/>
          <w:bCs/>
          <w:sz w:val="25"/>
          <w:szCs w:val="25"/>
        </w:rPr>
        <w:t>4.1 Itens de dimensionamento</w:t>
      </w:r>
    </w:p>
    <w:tbl>
      <w:tblPr>
        <w:tblW w:w="9790" w:type="dxa"/>
        <w:tblBorders>
          <w:top w:val="single" w:sz="2" w:space="0" w:color="D1D5DB"/>
          <w:bottom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2260"/>
        <w:gridCol w:w="1000"/>
        <w:gridCol w:w="1000"/>
        <w:gridCol w:w="1080"/>
      </w:tblGrid>
      <w:tr w:rsidR="00F227EA" w14:paraId="69B947D6" w14:textId="77777777">
        <w:trPr>
          <w:tblHeader/>
        </w:trPr>
        <w:tc>
          <w:tcPr>
            <w:tcW w:w="2260" w:type="dxa"/>
            <w:shd w:val="clear" w:color="auto" w:fill="1F2A5E"/>
            <w:tcMar>
              <w:top w:w="60" w:type="dxa"/>
              <w:left w:w="100" w:type="dxa"/>
              <w:bottom w:w="60" w:type="dxa"/>
              <w:right w:w="100" w:type="dxa"/>
            </w:tcMar>
          </w:tcPr>
          <w:p>
            <w:r>
              <w:rPr>
                <w:rFonts w:ascii="Lato" w:eastAsia="Lato" w:hAnsi="Lato" w:cs="Lato"/>
                <w:b/>
                <w:bCs/>
                <w:color w:val="FFFFFF"/>
                <w:sz w:val="19"/>
                <w:szCs w:val="19"/>
              </w:rPr>
              <w:t>Item</w:t>
            </w:r>
          </w:p>
        </w:tc>
        <w:tc>
          <w:tcPr>
            <w:tcW w:w="100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Quantidade de referência</w:t>
            </w:r>
          </w:p>
        </w:tc>
        <w:tc>
          <w:tcPr>
            <w:tcW w:w="100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Base de planejamento</w:t>
            </w:r>
          </w:p>
        </w:tc>
        <w:tc>
          <w:tcPr>
            <w:tcW w:w="1080" w:type="dxa"/>
            <w:shd w:val="clear" w:color="auto" w:fill="1F2A5E"/>
            <w:tcMar>
              <w:top w:w="60" w:type="dxa"/>
              <w:left w:w="100" w:type="dxa"/>
              <w:bottom w:w="60" w:type="dxa"/>
              <w:right w:w="100" w:type="dxa"/>
            </w:tcMar>
          </w:tcPr>
          <w:p>
            <w:pPr>
              <w:jc w:val="center"/>
            </w:pPr>
            <w:r>
              <w:rPr>
                <w:rFonts w:ascii="Lato" w:eastAsia="Lato" w:hAnsi="Lato" w:cs="Lato"/>
                <w:b/>
                <w:bCs/>
                <w:color w:val="FFFFFF"/>
                <w:sz w:val="19"/>
                <w:szCs w:val="19"/>
              </w:rPr>
              <w:t>Classificação</w:t>
            </w:r>
          </w:p>
        </w:tc>
      </w:tr>
      <w:tr w:rsidR="00F227EA" w14:paraId="7A5CE6D8" w14:textId="77777777">
        <w:tc>
          <w:tcPr>
            <w:tcW w:w="2260" w:type="dxa"/>
            <w:tcMar>
              <w:top w:w="50" w:type="dxa"/>
              <w:left w:w="100" w:type="dxa"/>
              <w:bottom w:w="50" w:type="dxa"/>
              <w:right w:w="100" w:type="dxa"/>
            </w:tcMar>
          </w:tcPr>
          <w:p>
            <w:r>
              <w:rPr>
                <w:sz w:val="19"/>
                <w:szCs w:val="19"/>
              </w:rPr>
              <w:t>Origens de aplicação</w:t>
            </w:r>
          </w:p>
        </w:tc>
        <w:tc>
          <w:tcPr>
            <w:tcW w:w="1000" w:type="dxa"/>
            <w:tcMar>
              <w:top w:w="50" w:type="dxa"/>
              <w:left w:w="100" w:type="dxa"/>
              <w:bottom w:w="50" w:type="dxa"/>
              <w:right w:w="100" w:type="dxa"/>
            </w:tcMar>
          </w:tcPr>
          <w:p>
            <w:pPr>
              <w:jc w:val="center"/>
            </w:pPr>
            <w:r>
              <w:rPr>
                <w:sz w:val="19"/>
                <w:szCs w:val="19"/>
              </w:rPr>
              <w:t>2 (datacenter próprio e nuvem pública)</w:t>
            </w:r>
          </w:p>
        </w:tc>
        <w:tc>
          <w:tcPr>
            <w:tcW w:w="1000" w:type="dxa"/>
            <w:tcMar>
              <w:top w:w="50" w:type="dxa"/>
              <w:left w:w="100" w:type="dxa"/>
              <w:bottom w:w="50" w:type="dxa"/>
              <w:right w:w="100" w:type="dxa"/>
            </w:tcMar>
          </w:tcPr>
          <w:p>
            <w:pPr>
              <w:jc w:val="center"/>
            </w:pPr>
            <w:r>
              <w:rPr>
                <w:sz w:val="19"/>
                <w:szCs w:val="19"/>
              </w:rPr>
              <w:t>Informado pela Solaris na reunião de 22/09/2026</w:t>
            </w:r>
          </w:p>
        </w:tc>
        <w:tc>
          <w:tcPr>
            <w:tcW w:w="1080" w:type="dxa"/>
            <w:tcMar>
              <w:top w:w="50" w:type="dxa"/>
              <w:left w:w="100" w:type="dxa"/>
              <w:bottom w:w="50" w:type="dxa"/>
              <w:right w:w="100" w:type="dxa"/>
            </w:tcMar>
          </w:tcPr>
          <w:p>
            <w:pPr>
              <w:jc w:val="center"/>
            </w:pPr>
            <w:r>
              <w:rPr>
                <w:sz w:val="19"/>
                <w:szCs w:val="19"/>
              </w:rPr>
              <w:t>Confirmado</w:t>
            </w:r>
          </w:p>
        </w:tc>
      </w:tr>
      <w:tr w:rsidR="00F227EA" w14:paraId="4569A9B2" w14:textId="77777777">
        <w:tc>
          <w:tcPr>
            <w:tcW w:w="2260" w:type="dxa"/>
            <w:shd w:val="clear" w:color="auto" w:fill="F3F4F6"/>
            <w:tcMar>
              <w:top w:w="50" w:type="dxa"/>
              <w:left w:w="100" w:type="dxa"/>
              <w:bottom w:w="50" w:type="dxa"/>
              <w:right w:w="100" w:type="dxa"/>
            </w:tcMar>
          </w:tcPr>
          <w:p>
            <w:r>
              <w:rPr>
                <w:sz w:val="19"/>
                <w:szCs w:val="19"/>
              </w:rPr>
              <w:t>Base de unidades consumidoras</w:t>
            </w:r>
          </w:p>
        </w:tc>
        <w:tc>
          <w:tcPr>
            <w:tcW w:w="1000" w:type="dxa"/>
            <w:shd w:val="clear" w:color="auto" w:fill="F3F4F6"/>
            <w:tcMar>
              <w:top w:w="50" w:type="dxa"/>
              <w:left w:w="100" w:type="dxa"/>
              <w:bottom w:w="50" w:type="dxa"/>
              <w:right w:w="100" w:type="dxa"/>
            </w:tcMar>
          </w:tcPr>
          <w:p>
            <w:pPr>
              <w:jc w:val="center"/>
            </w:pPr>
            <w:r>
              <w:rPr>
                <w:sz w:val="19"/>
                <w:szCs w:val="19"/>
              </w:rPr>
              <w:t>4,2 milhões</w:t>
            </w:r>
          </w:p>
        </w:tc>
        <w:tc>
          <w:tcPr>
            <w:tcW w:w="1000" w:type="dxa"/>
            <w:shd w:val="clear" w:color="auto" w:fill="F3F4F6"/>
            <w:tcMar>
              <w:top w:w="50" w:type="dxa"/>
              <w:left w:w="100" w:type="dxa"/>
              <w:bottom w:w="50" w:type="dxa"/>
              <w:right w:w="100" w:type="dxa"/>
            </w:tcMar>
          </w:tcPr>
          <w:p>
            <w:pPr>
              <w:jc w:val="center"/>
            </w:pPr>
            <w:r>
              <w:rPr>
                <w:sz w:val="19"/>
                <w:szCs w:val="19"/>
              </w:rPr>
              <w:t>Informado pela Solaris na reunião de 22/09/2026</w:t>
            </w:r>
          </w:p>
        </w:tc>
        <w:tc>
          <w:tcPr>
            <w:tcW w:w="1080" w:type="dxa"/>
            <w:shd w:val="clear" w:color="auto" w:fill="F3F4F6"/>
            <w:tcMar>
              <w:top w:w="50" w:type="dxa"/>
              <w:left w:w="100" w:type="dxa"/>
              <w:bottom w:w="50" w:type="dxa"/>
              <w:right w:w="100" w:type="dxa"/>
            </w:tcMar>
          </w:tcPr>
          <w:p>
            <w:pPr>
              <w:jc w:val="center"/>
            </w:pPr>
            <w:r>
              <w:rPr>
                <w:sz w:val="19"/>
                <w:szCs w:val="19"/>
              </w:rPr>
              <w:t>Confirmado</w:t>
            </w:r>
          </w:p>
        </w:tc>
      </w:tr>
      <w:tr w:rsidR="00F227EA" w14:paraId="33FB2B15" w14:textId="77777777">
        <w:tc>
          <w:tcPr>
            <w:tcW w:w="2260" w:type="dxa"/>
            <w:tcMar>
              <w:top w:w="50" w:type="dxa"/>
              <w:left w:w="100" w:type="dxa"/>
              <w:bottom w:w="50" w:type="dxa"/>
              <w:right w:w="100" w:type="dxa"/>
            </w:tcMar>
          </w:tcPr>
          <w:p>
            <w:r>
              <w:rPr>
                <w:sz w:val="19"/>
                <w:szCs w:val="19"/>
              </w:rPr>
              <w:t>Volume de requisições do portal e das APIs em pico</w:t>
            </w:r>
          </w:p>
        </w:tc>
        <w:tc>
          <w:tcPr>
            <w:tcW w:w="1000" w:type="dxa"/>
            <w:tcMar>
              <w:top w:w="50" w:type="dxa"/>
              <w:left w:w="100" w:type="dxa"/>
              <w:bottom w:w="50" w:type="dxa"/>
              <w:right w:w="100" w:type="dxa"/>
            </w:tcMar>
          </w:tcPr>
          <w:p>
            <w:pPr>
              <w:jc w:val="center"/>
            </w:pPr>
            <w:r>
              <w:rPr>
                <w:sz w:val="19"/>
                <w:szCs w:val="19"/>
              </w:rPr>
              <w:t>A levantar na Fase 1</w:t>
            </w:r>
          </w:p>
        </w:tc>
        <w:tc>
          <w:tcPr>
            <w:tcW w:w="1000" w:type="dxa"/>
            <w:tcMar>
              <w:top w:w="50" w:type="dxa"/>
              <w:left w:w="100" w:type="dxa"/>
              <w:bottom w:w="50" w:type="dxa"/>
              <w:right w:w="100" w:type="dxa"/>
            </w:tcMar>
          </w:tcPr>
          <w:p>
            <w:pPr>
              <w:jc w:val="center"/>
            </w:pPr>
            <w:r>
              <w:rPr>
                <w:sz w:val="19"/>
                <w:szCs w:val="19"/>
              </w:rPr>
              <w:t>Tráfego triplicou na última campanha; valor absoluto não informado</w:t>
            </w:r>
          </w:p>
        </w:tc>
        <w:tc>
          <w:tcPr>
            <w:tcW w:w="1080" w:type="dxa"/>
            <w:tcMar>
              <w:top w:w="50" w:type="dxa"/>
              <w:left w:w="100" w:type="dxa"/>
              <w:bottom w:w="50" w:type="dxa"/>
              <w:right w:w="100" w:type="dxa"/>
            </w:tcMar>
          </w:tcPr>
          <w:p>
            <w:pPr>
              <w:jc w:val="center"/>
            </w:pPr>
            <w:r>
              <w:rPr>
                <w:sz w:val="19"/>
                <w:szCs w:val="19"/>
              </w:rPr>
              <w:t>Pendente</w:t>
            </w:r>
          </w:p>
        </w:tc>
      </w:tr>
    </w:tbl>
    <w:p w14:paraId="675853AF" w14:textId="77777777" w:rsidR="00BD500C" w:rsidRDefault="00BD500C">
      <w:pPr>
        <w:spacing w:after="80" w:line="276" w:lineRule="auto"/>
        <w:rPr>
          <w:b/>
          <w:bCs/>
          <w:i/>
          <w:iCs/>
          <w:color w:val="6B7280"/>
          <w:sz w:val="18"/>
          <w:szCs w:val="18"/>
        </w:rPr>
      </w:pPr>
    </w:p>
    <w:p>
      <w:pPr>
        <w:pStyle w:val="Ttulo2"/>
        <w:keepNext/>
        <w:keepLines/>
        <w:pageBreakBefore w:val="0"/>
        <w:spacing w:before="220" w:after="90"/>
      </w:pPr>
      <w:r>
        <w:rPr>
          <w:rFonts w:ascii="Lato" w:eastAsia="Lato" w:hAnsi="Lato" w:cs="Lato"/>
          <w:b/>
          <w:bCs/>
          <w:sz w:val="25"/>
          <w:szCs w:val="25"/>
        </w:rPr>
        <w:t>4.2 Componentes centralizados e serviços de borda</w:t>
      </w:r>
    </w:p>
    <w:tbl>
      <w:tblPr>
        <w:tblW w:type="auto" w:w="0"/>
        <w:jc w:val="center"/>
        <w:tblLayout w:type="fixed"/>
        <w:tblLook w:firstColumn="1" w:firstRow="1" w:lastColumn="0" w:lastRow="0" w:noHBand="0" w:noVBand="1" w:val="04A0"/>
      </w:tblPr>
      <w:tblGrid>
        <w:gridCol w:w="5043"/>
        <w:gridCol w:w="5043"/>
      </w:tblGrid>
      <w:tr>
        <w:trPr>
          <w:tblHeader w:val="true"/>
        </w:trPr>
        <w:tc>
          <w:tcPr>
            <w:tcW w:type="dxa" w:w="6624"/>
            <w:vAlign w:val="center"/>
            <w:shd w:fill="1F2A5E"/>
          </w:tcPr>
          <w:p>
            <w:pPr>
              <w:spacing w:after="40"/>
              <w:jc w:val="left"/>
            </w:pPr>
            <w:r>
              <w:rPr>
                <w:rFonts w:ascii="Lato" w:hAnsi="Lato"/>
                <w:b/>
                <w:color w:val="FFFFFF"/>
                <w:sz w:val="15"/>
              </w:rPr>
              <w:t>Componente</w:t>
            </w:r>
          </w:p>
        </w:tc>
        <w:tc>
          <w:tcPr>
            <w:tcW w:type="dxa" w:w="2880"/>
            <w:vAlign w:val="center"/>
            <w:shd w:fill="1F2A5E"/>
          </w:tcPr>
          <w:p>
            <w:pPr>
              <w:spacing w:after="40"/>
              <w:jc w:val="left"/>
            </w:pPr>
            <w:r>
              <w:rPr>
                <w:rFonts w:ascii="Lato" w:hAnsi="Lato"/>
                <w:b/>
                <w:color w:val="FFFFFF"/>
                <w:sz w:val="15"/>
              </w:rPr>
              <w:t>Posição na proposta</w:t>
            </w:r>
          </w:p>
        </w:tc>
      </w:tr>
      <w:tr>
        <w:tc>
          <w:tcPr>
            <w:tcW w:type="dxa" w:w="6624"/>
            <w:vAlign w:val="center"/>
            <w:shd w:fill="FFFFFF"/>
          </w:tcPr>
          <w:p>
            <w:pPr>
              <w:spacing w:after="40"/>
              <w:jc w:val="left"/>
            </w:pPr>
            <w:r>
              <w:rPr>
                <w:rFonts w:ascii="Lato" w:hAnsi="Lato"/>
                <w:b w:val="0"/>
                <w:color w:val="1F2A5E"/>
                <w:sz w:val="15"/>
              </w:rPr>
              <w:t>App &amp; API Protector</w:t>
            </w:r>
          </w:p>
        </w:tc>
        <w:tc>
          <w:tcPr>
            <w:tcW w:type="dxa" w:w="2880"/>
            <w:vAlign w:val="center"/>
            <w:shd w:fill="FFFFFF"/>
          </w:tcPr>
          <w:p>
            <w:pPr>
              <w:spacing w:after="40"/>
              <w:jc w:val="left"/>
            </w:pPr>
            <w:r>
              <w:rPr>
                <w:rFonts w:ascii="Lato" w:hAnsi="Lato"/>
                <w:b w:val="0"/>
                <w:color w:val="1F2A5E"/>
                <w:sz w:val="15"/>
              </w:rPr>
              <w:t>Recomendado</w:t>
            </w:r>
          </w:p>
        </w:tc>
      </w:tr>
      <w:tr>
        <w:tc>
          <w:tcPr>
            <w:tcW w:type="dxa" w:w="6624"/>
            <w:vAlign w:val="center"/>
            <w:shd w:fill="F3F4F6"/>
          </w:tcPr>
          <w:p>
            <w:pPr>
              <w:spacing w:after="40"/>
              <w:jc w:val="left"/>
            </w:pPr>
            <w:r>
              <w:rPr>
                <w:rFonts w:ascii="Lato" w:hAnsi="Lato"/>
                <w:b w:val="0"/>
                <w:color w:val="1F2A5E"/>
                <w:sz w:val="15"/>
              </w:rPr>
              <w:t>Bot Manager Premier</w:t>
            </w:r>
          </w:p>
        </w:tc>
        <w:tc>
          <w:tcPr>
            <w:tcW w:type="dxa" w:w="2880"/>
            <w:vAlign w:val="center"/>
            <w:shd w:fill="F3F4F6"/>
          </w:tcPr>
          <w:p>
            <w:pPr>
              <w:spacing w:after="40"/>
              <w:jc w:val="left"/>
            </w:pPr>
            <w:r>
              <w:rPr>
                <w:rFonts w:ascii="Lato" w:hAnsi="Lato"/>
                <w:b w:val="0"/>
                <w:color w:val="1F2A5E"/>
                <w:sz w:val="15"/>
              </w:rPr>
              <w:t>Recomendado</w:t>
            </w:r>
          </w:p>
        </w:tc>
      </w:tr>
      <w:tr>
        <w:tc>
          <w:tcPr>
            <w:tcW w:type="dxa" w:w="6624"/>
            <w:vAlign w:val="center"/>
            <w:shd w:fill="FFFFFF"/>
          </w:tcPr>
          <w:p>
            <w:pPr>
              <w:spacing w:after="40"/>
              <w:jc w:val="left"/>
            </w:pPr>
            <w:r>
              <w:rPr>
                <w:rFonts w:ascii="Lato" w:hAnsi="Lato"/>
                <w:b w:val="0"/>
                <w:color w:val="1F2A5E"/>
                <w:sz w:val="15"/>
              </w:rPr>
              <w:t>Global Traffic Management</w:t>
            </w:r>
          </w:p>
        </w:tc>
        <w:tc>
          <w:tcPr>
            <w:tcW w:type="dxa" w:w="2880"/>
            <w:vAlign w:val="center"/>
            <w:shd w:fill="FFFFFF"/>
          </w:tcPr>
          <w:p>
            <w:pPr>
              <w:spacing w:after="40"/>
              <w:jc w:val="left"/>
            </w:pPr>
            <w:r>
              <w:rPr>
                <w:rFonts w:ascii="Lato" w:hAnsi="Lato"/>
                <w:b w:val="0"/>
                <w:color w:val="1F2A5E"/>
                <w:sz w:val="15"/>
              </w:rPr>
              <w:t>Recomendado</w:t>
            </w:r>
          </w:p>
        </w:tc>
      </w:tr>
    </w:tbl>
    <w:p w14:paraId="5941B891" w14:textId="465FDF3E"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5.  </w:t>
      </w:r>
      <w:r>
        <w:rPr>
          <w:rFonts w:ascii="Lato" w:eastAsia="Lato" w:hAnsi="Lato" w:cs="Lato"/>
          <w:b/>
          <w:bCs/>
          <w:color w:val="1F2A5E"/>
          <w:sz w:val="30"/>
          <w:szCs w:val="30"/>
        </w:rPr>
        <w:t>Avaliação e Migração do Ambiente Atual</w:t>
      </w:r>
    </w:p>
    <w:p>
      <w:pPr>
        <w:spacing w:after="120" w:line="276" w:lineRule="auto"/>
      </w:pPr>
      <w:r>
        <w:t>Como primeira etapa, a POPULOS realizará o levantamento detalhado do ambiente atual, contemplando no mínimo:</w:t>
      </w:r>
    </w:p>
    <w:p>
      <w:pPr>
        <w:pStyle w:val="PargrafodaLista"/>
        <w:numPr>
          <w:ilvl w:val="0"/>
          <w:numId w:val="2"/>
        </w:numPr>
        <w:spacing w:after="60" w:line="270" w:lineRule="auto"/>
      </w:pPr>
      <w:r>
        <w:t>Hostnames, APIs e fluxos do portal e do app, com destaque para a consulta de débitos</w:t>
      </w:r>
    </w:p>
    <w:p>
      <w:pPr>
        <w:pStyle w:val="PargrafodaLista"/>
        <w:numPr>
          <w:ilvl w:val="0"/>
          <w:numId w:val="2"/>
        </w:numPr>
        <w:spacing w:after="60" w:line="270" w:lineRule="auto"/>
      </w:pPr>
      <w:r>
        <w:t>Padrões de tráfego legítimo e de ataque, incluindo o comportamento dos robôs sobre CPFs</w:t>
      </w:r>
    </w:p>
    <w:p>
      <w:pPr>
        <w:pStyle w:val="PargrafodaLista"/>
        <w:numPr>
          <w:ilvl w:val="0"/>
          <w:numId w:val="2"/>
        </w:numPr>
        <w:spacing w:after="60" w:line="270" w:lineRule="auto"/>
      </w:pPr>
      <w:r>
        <w:t>Topologia das duas origens, prontidão da nuvem pública para assumir o tráfego e integração com o provedor de DNS atual</w:t>
      </w:r>
    </w:p>
    <w:p>
      <w:pPr>
        <w:spacing w:after="120" w:line="276" w:lineRule="auto"/>
      </w:pPr>
      <w:r>
        <w:t>O levantamento entrega o retrato do portal, das APIs, do tráfego e das origens, que serve de base para o desenho e para o plano de implantação.</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78B70CC4"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Estratégia de migração</w:t>
            </w:r>
          </w:p>
          <w:p>
            <w:pPr>
              <w:keepLines/>
              <w:spacing w:before="40" w:after="0"/>
            </w:pPr>
            <w:r>
              <w:rPr>
                <w:rFonts w:ascii="Lato" w:hAnsi="Lato"/>
                <w:b w:val="0"/>
                <w:sz w:val="17"/>
              </w:rPr>
              <w:t>Na Fase 2, cada mudança em produção ocorre na janela de terça-feira, das 22h às 2h, com plano de reversão aprovado.</w:t>
            </w:r>
          </w:p>
        </w:tc>
      </w:tr>
    </w:tbl>
    <w:p w14:paraId="2171A501"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6.  </w:t>
      </w:r>
      <w:r>
        <w:rPr>
          <w:rFonts w:ascii="Lato" w:eastAsia="Lato" w:hAnsi="Lato" w:cs="Lato"/>
          <w:b/>
          <w:bCs/>
          <w:color w:val="1F2A5E"/>
          <w:sz w:val="30"/>
          <w:szCs w:val="30"/>
        </w:rPr>
        <w:t>Serviços POPULOS — Metodologia de Implantação</w:t>
      </w:r>
    </w:p>
    <w:p>
      <w:pPr>
        <w:spacing w:after="120" w:line="276" w:lineRule="auto"/>
      </w:pPr>
      <w:r>
        <w:rPr>
          <w:b/>
          <w:bCs/>
        </w:rPr>
        <w:t>O trabalho segue duas fases: levantamento e desenho, contratada agora, e implantação, contratada após o aceite do desenho.</w:t>
      </w:r>
    </w:p>
    <w:p w14:paraId="1DD6CC39" w14:textId="77777777" w:rsidR="00F227EA" w:rsidRDefault="00000000">
      <w:pPr>
        <w:pStyle w:val="Ttulo2"/>
        <w:keepNext/>
        <w:keepLines/>
        <w:spacing w:before="220" w:after="90"/>
      </w:pPr>
      <w:r>
        <w:rPr>
          <w:rFonts w:ascii="Lato" w:eastAsia="Lato" w:hAnsi="Lato" w:cs="Lato"/>
          <w:b/>
          <w:bCs/>
          <w:sz w:val="25"/>
          <w:szCs w:val="25"/>
        </w:rPr>
        <w:t>6.1 Escopo previsto</w:t>
      </w:r>
    </w:p>
    <w:p>
      <w:pPr>
        <w:pStyle w:val="PargrafodaLista"/>
        <w:numPr>
          <w:ilvl w:val="0"/>
          <w:numId w:val="2"/>
        </w:numPr>
        <w:spacing w:after="60" w:line="270" w:lineRule="auto"/>
      </w:pPr>
      <w:r>
        <w:t>Fase 1: levantamento do portal, das APIs do app, das duas origens e do tráfego da consulta de débitos</w:t>
      </w:r>
    </w:p>
    <w:p>
      <w:pPr>
        <w:pStyle w:val="PargrafodaLista"/>
        <w:numPr>
          <w:ilvl w:val="0"/>
          <w:numId w:val="2"/>
        </w:numPr>
        <w:spacing w:after="60" w:line="270" w:lineRule="auto"/>
      </w:pPr>
      <w:r>
        <w:t>Fase 1: desenho de alto nível da proteção de aplicação, da gestão de robôs e do failover automático entre origens</w:t>
      </w:r>
    </w:p>
    <w:p>
      <w:pPr>
        <w:pStyle w:val="PargrafodaLista"/>
        <w:numPr>
          <w:ilvl w:val="0"/>
          <w:numId w:val="2"/>
        </w:numPr>
        <w:spacing w:after="60" w:line="270" w:lineRule="auto"/>
      </w:pPr>
      <w:r>
        <w:t>Fase 1: plano de implantação da Fase 2 dentro da janela de mudanças da Solaris e alinhado à campanha de 01/03/2027</w:t>
      </w:r>
    </w:p>
    <w:p>
      <w:pPr>
        <w:pStyle w:val="PargrafodaLista"/>
        <w:numPr>
          <w:ilvl w:val="0"/>
          <w:numId w:val="2"/>
        </w:numPr>
        <w:spacing w:after="60" w:line="270" w:lineRule="auto"/>
      </w:pPr>
      <w:r>
        <w:t>Relatório de levantamento do ambiente atual</w:t>
      </w:r>
    </w:p>
    <w:p>
      <w:pPr>
        <w:pStyle w:val="PargrafodaLista"/>
        <w:numPr>
          <w:ilvl w:val="0"/>
          <w:numId w:val="2"/>
        </w:numPr>
        <w:spacing w:after="60" w:line="270" w:lineRule="auto"/>
      </w:pPr>
      <w:r>
        <w:t>Desenho de alto nível (HLD) da solução</w:t>
      </w:r>
    </w:p>
    <w:p>
      <w:pPr>
        <w:pStyle w:val="PargrafodaLista"/>
        <w:numPr>
          <w:ilvl w:val="0"/>
          <w:numId w:val="2"/>
        </w:numPr>
        <w:spacing w:after="60" w:line="270" w:lineRule="auto"/>
      </w:pPr>
      <w:r>
        <w:t>Plano de implantação, testes e reversão para a Fase 2</w:t>
      </w:r>
    </w:p>
    <w:p w14:paraId="5DE8D494" w14:textId="399B44BD" w:rsidR="00ED213E" w:rsidRPr="00ED213E" w:rsidRDefault="00000000">
      <w:pPr>
        <w:pStyle w:val="Ttulo2"/>
        <w:keepNext/>
        <w:keepLines/>
        <w:spacing w:before="220" w:after="90"/>
        <w:rPr>
          <w:rFonts w:ascii="Lato" w:eastAsia="Lato" w:hAnsi="Lato" w:cs="Lato"/>
          <w:b/>
          <w:bCs/>
          <w:sz w:val="25"/>
          <w:szCs w:val="25"/>
        </w:rPr>
      </w:pPr>
      <w:r>
        <w:rPr>
          <w:rFonts w:ascii="Lato" w:eastAsia="Lato" w:hAnsi="Lato" w:cs="Lato"/>
          <w:b/>
          <w:bCs/>
          <w:sz w:val="25"/>
          <w:szCs w:val="25"/>
        </w:rPr>
        <w:lastRenderedPageBreak/>
        <w:t>6.2 Metodologia POPULOS</w:t>
      </w:r>
    </w:p>
    <w:p w14:paraId="458C458F" w14:textId="77777777" w:rsidR="00F227EA" w:rsidRDefault="00000000">
      <w:pPr>
        <w:pStyle w:val="Ttulo3"/>
        <w:keepNext/>
        <w:keepLines/>
        <w:spacing w:before="160" w:after="70"/>
      </w:pPr>
      <w:r>
        <w:rPr>
          <w:rFonts w:ascii="Lato" w:eastAsia="Lato" w:hAnsi="Lato" w:cs="Lato"/>
          <w:b/>
          <w:bCs/>
          <w:sz w:val="22"/>
          <w:szCs w:val="22"/>
        </w:rPr>
        <w:t>Fase 1 — Levantamento e desenho</w:t>
      </w:r>
    </w:p>
    <w:p>
      <w:pPr>
        <w:spacing w:after="120" w:line="276" w:lineRule="auto"/>
      </w:pPr>
      <w:r>
        <w:t>Levantar o ambiente atual e entregar o desenho da proteção e do failover automático, sem alteração no ambiente de produção.</w:t>
      </w:r>
    </w:p>
    <w:p w14:paraId="1FE5BD3A" w14:textId="77777777" w:rsidR="00F227EA" w:rsidRDefault="00000000">
      <w:pPr>
        <w:pStyle w:val="Ttulo3"/>
        <w:keepNext/>
        <w:keepLines/>
        <w:spacing w:before="160" w:after="70"/>
      </w:pPr>
      <w:r>
        <w:rPr>
          <w:rFonts w:ascii="Lato" w:eastAsia="Lato" w:hAnsi="Lato" w:cs="Lato"/>
          <w:b/>
          <w:bCs/>
          <w:sz w:val="22"/>
          <w:szCs w:val="22"/>
        </w:rPr>
        <w:t>Gestão do Projeto</w:t>
      </w:r>
    </w:p>
    <w:p>
      <w:pPr>
        <w:spacing w:after="120" w:line="276" w:lineRule="auto"/>
      </w:pPr>
      <w:r>
        <w:t>A POPULOS conduzirá o planejamento, a gestão de riscos e dependências e os reportes periódicos, em alinhamento com o ponto focal do cliente.</w:t>
      </w:r>
    </w:p>
    <w:p>
      <w:pPr>
        <w:pStyle w:val="Ttulo2"/>
        <w:keepNext/>
        <w:keepLines/>
        <w:spacing w:before="220" w:after="90"/>
        <w:rPr>
          <w:rFonts w:ascii="Lato" w:eastAsia="Lato" w:hAnsi="Lato" w:cs="Lato"/>
          <w:b/>
          <w:bCs/>
          <w:sz w:val="25"/>
          <w:szCs w:val="25"/>
        </w:rPr>
      </w:pPr>
      <w:r>
        <w:rPr>
          <w:rFonts w:ascii="Lato" w:eastAsia="Lato" w:hAnsi="Lato" w:cs="Lato"/>
          <w:b/>
          <w:bCs/>
          <w:sz w:val="25"/>
          <w:szCs w:val="25"/>
        </w:rPr>
        <w:t>6.3 Fase 2 — Implantação (opcional)</w:t>
      </w:r>
    </w:p>
    <w:p>
      <w:pPr>
        <w:keepLines/>
        <w:spacing w:after="120" w:line="276" w:lineRule="auto"/>
      </w:pPr>
      <w:r>
        <w:t>A Fase 2 implanta o desenho aceito na Fase 1 e é contratada somente após esse aceite.</w:t>
      </w:r>
    </w:p>
    <w:p>
      <w:pPr>
        <w:keepLines/>
        <w:spacing w:after="120" w:line="276" w:lineRule="auto"/>
      </w:pPr>
      <w:r>
        <w:t>Aceite formal do desenho da Fase 1 pela Solaris</w:t>
      </w:r>
    </w:p>
    <w:p>
      <w:pPr>
        <w:keepLines/>
        <w:spacing w:after="120" w:line="276" w:lineRule="auto"/>
      </w:pPr>
      <w:r>
        <w:t>Contratação da Fase 2 e assinatura do pedido de licenças</w:t>
      </w:r>
    </w:p>
    <w:p>
      <w:pPr>
        <w:keepLines/>
        <w:spacing w:after="120" w:line="276" w:lineRule="auto"/>
      </w:pPr>
      <w:r>
        <w:t>Provisionamento das licenças Akamai, em até 2 semanas após a assinatura do pedido</w:t>
      </w:r>
    </w:p>
    <w:p>
      <w:pPr>
        <w:pStyle w:val="Ttulo3"/>
        <w:keepNext/>
        <w:keepLines/>
        <w:spacing w:before="160" w:after="70"/>
      </w:pPr>
      <w:r>
        <w:rPr>
          <w:rFonts w:ascii="Lato" w:eastAsia="Lato" w:hAnsi="Lato" w:cs="Lato"/>
          <w:b/>
          <w:bCs/>
          <w:sz w:val="22"/>
          <w:szCs w:val="22"/>
        </w:rPr>
        <w:t>Implantação da proteção e do failover automático</w:t>
      </w:r>
    </w:p>
    <w:p>
      <w:pPr>
        <w:keepLines/>
        <w:spacing w:after="120" w:line="276" w:lineRule="auto"/>
      </w:pPr>
      <w:r>
        <w:t>Componentes: App &amp; API Protector, Bot Manager Premier, Global Traffic Management.</w:t>
      </w:r>
    </w:p>
    <w:p>
      <w:pPr>
        <w:keepLines/>
        <w:spacing w:after="120" w:line="276" w:lineRule="auto"/>
      </w:pPr>
      <w:r>
        <w:t>Configuração do App &amp; API Protector, do Bot Manager Premier e do Global Traffic Management conforme o desenho aceito, testes em homologação e entrada em produção nas janelas de terça-feira, das 22h às 2h, com plano de reversão aprovado pela Solaris.</w:t>
      </w:r>
    </w:p>
    <w:p>
      <w:pPr>
        <w:keepLines/>
        <w:spacing w:after="120" w:line="276" w:lineRule="auto"/>
      </w:pPr>
      <w:r>
        <w:t>Critérios de aceite da Fase 2 atendidos e evidenciados em relatório.</w:t>
      </w:r>
    </w:p>
    <w:p w14:paraId="49957D7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7.  </w:t>
      </w:r>
      <w:r>
        <w:rPr>
          <w:rFonts w:ascii="Lato" w:eastAsia="Lato" w:hAnsi="Lato" w:cs="Lato"/>
          <w:b/>
          <w:bCs/>
          <w:color w:val="1F2A5E"/>
          <w:sz w:val="30"/>
          <w:szCs w:val="30"/>
        </w:rPr>
        <w:t>Limites do Escopo</w:t>
      </w:r>
    </w:p>
    <w:p w14:paraId="06FA1EDD" w14:textId="77777777" w:rsidR="00F227EA" w:rsidRDefault="00000000">
      <w:pPr>
        <w:pStyle w:val="Ttulo2"/>
        <w:keepNext/>
        <w:keepLines/>
        <w:spacing w:before="220" w:after="90"/>
      </w:pPr>
      <w:r>
        <w:rPr>
          <w:rFonts w:ascii="Lato" w:eastAsia="Lato" w:hAnsi="Lato" w:cs="Lato"/>
          <w:b/>
          <w:bCs/>
          <w:sz w:val="25"/>
          <w:szCs w:val="25"/>
        </w:rPr>
        <w:t>7.1 Passagem de conhecimento</w:t>
      </w:r>
    </w:p>
    <w:p>
      <w:pPr>
        <w:spacing w:after="120" w:line="276" w:lineRule="auto"/>
      </w:pPr>
      <w:r>
        <w:t>A POPULOS apresenta o desenho à equipe da Solaris ao fim da Fase 1 e, se a Fase 2 for contratada, repassa a operação das políticas implantadas à equipe de segurança.</w:t>
      </w:r>
    </w:p>
    <w:p w14:paraId="4A59FCA9" w14:textId="77777777" w:rsidR="00F227EA" w:rsidRDefault="00000000">
      <w:pPr>
        <w:pStyle w:val="Ttulo2"/>
        <w:keepNext/>
        <w:keepLines/>
        <w:spacing w:before="220" w:after="90"/>
      </w:pPr>
      <w:r>
        <w:rPr>
          <w:rFonts w:ascii="Lato" w:eastAsia="Lato" w:hAnsi="Lato" w:cs="Lato"/>
          <w:b/>
          <w:bCs/>
          <w:sz w:val="25"/>
          <w:szCs w:val="25"/>
        </w:rPr>
        <w:t>7.2 Homologação e testes</w:t>
      </w:r>
    </w:p>
    <w:p>
      <w:pPr>
        <w:spacing w:after="120" w:line="276" w:lineRule="auto"/>
      </w:pPr>
      <w:r>
        <w:t>Os testes da Fase 2 incluem requisições em excesso controladas, simulação de robôs sobre a consulta de débitos e simulação de indisponibilidade do datacenter, sempre nas janelas de terça-feira.</w:t>
      </w:r>
    </w:p>
    <w:p w14:paraId="7794161C" w14:textId="77777777" w:rsidR="00F227EA" w:rsidRDefault="00000000">
      <w:pPr>
        <w:pStyle w:val="Ttulo2"/>
        <w:keepNext/>
        <w:keepLines/>
        <w:spacing w:before="220" w:after="90"/>
      </w:pPr>
      <w:r>
        <w:rPr>
          <w:rFonts w:ascii="Lato" w:eastAsia="Lato" w:hAnsi="Lato" w:cs="Lato"/>
          <w:b/>
          <w:bCs/>
          <w:sz w:val="25"/>
          <w:szCs w:val="25"/>
        </w:rPr>
        <w:t>7.3 Áreas fora do escopo</w:t>
      </w:r>
    </w:p>
    <w:p w14:paraId="072132ED" w14:textId="77777777" w:rsidR="00F227EA" w:rsidRDefault="00000000">
      <w:pPr>
        <w:spacing w:after="120" w:line="276" w:lineRule="auto"/>
      </w:pPr>
      <w:r>
        <w:t>Qualquer área/tópico não expressamente enumerado no escopo previsto está fora deste projeto. Em especial, estão fora do escopo:</w:t>
      </w:r>
    </w:p>
    <w:p>
      <w:pPr>
        <w:pStyle w:val="PargrafodaLista"/>
        <w:numPr>
          <w:ilvl w:val="0"/>
          <w:numId w:val="2"/>
        </w:numPr>
        <w:spacing w:after="60" w:line="270" w:lineRule="auto"/>
      </w:pPr>
      <w:r>
        <w:rPr>
          <w:b/>
          <w:bCs/>
        </w:rPr>
        <w:t>Implantação da solução, que depende da contratação da Fase 2</w:t>
      </w:r>
    </w:p>
    <w:p>
      <w:pPr>
        <w:pStyle w:val="PargrafodaLista"/>
        <w:numPr>
          <w:ilvl w:val="0"/>
          <w:numId w:val="2"/>
        </w:numPr>
        <w:spacing w:after="60" w:line="270" w:lineRule="auto"/>
      </w:pPr>
      <w:r>
        <w:rPr>
          <w:b/>
          <w:bCs/>
        </w:rPr>
        <w:t>Mudança do DNS autoritativo, que permanece no provedor atual</w:t>
      </w:r>
    </w:p>
    <w:p>
      <w:pPr>
        <w:pStyle w:val="PargrafodaLista"/>
        <w:numPr>
          <w:ilvl w:val="0"/>
          <w:numId w:val="2"/>
        </w:numPr>
        <w:spacing w:after="60" w:line="270" w:lineRule="auto"/>
      </w:pPr>
      <w:r>
        <w:rPr>
          <w:b/>
          <w:bCs/>
        </w:rPr>
        <w:t>Proteção contra DDoS volumétrico de rede</w:t>
      </w:r>
    </w:p>
    <w:p>
      <w:pPr>
        <w:pStyle w:val="PargrafodaLista"/>
        <w:numPr>
          <w:ilvl w:val="0"/>
          <w:numId w:val="2"/>
        </w:numPr>
        <w:spacing w:after="60" w:line="270" w:lineRule="auto"/>
      </w:pPr>
      <w:r>
        <w:t>Correção da página de consulta de débitos que devolve nome e endereço, tratada pela Solaris com o seu DPO</w:t>
      </w:r>
    </w:p>
    <w:p>
      <w:pPr>
        <w:pStyle w:val="PargrafodaLista"/>
        <w:numPr>
          <w:ilvl w:val="0"/>
          <w:numId w:val="2"/>
        </w:numPr>
        <w:spacing w:after="60" w:line="270" w:lineRule="auto"/>
      </w:pPr>
      <w:r>
        <w:t>Replicação de dados e preparação da aplicação na nuvem pública</w:t>
      </w:r>
    </w:p>
    <w:p w14:paraId="29CE5CDD" w14:textId="77777777" w:rsidR="004D3A65" w:rsidRDefault="004D3A65" w:rsidP="004D3A65">
      <w:pPr>
        <w:spacing w:after="60" w:line="270" w:lineRule="auto"/>
      </w:pPr>
    </w:p>
    <w:p w14:paraId="5A6DAA59" w14:textId="77777777" w:rsidR="004D3A65" w:rsidRDefault="004D3A65" w:rsidP="004D3A65">
      <w:pPr>
        <w:spacing w:after="60" w:line="270"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51C7CCBD"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Itens que exigem contratação específica</w:t>
            </w:r>
          </w:p>
          <w:p>
            <w:pPr>
              <w:keepLines/>
              <w:spacing w:before="40" w:after="0"/>
            </w:pPr>
            <w:r>
              <w:rPr>
                <w:rFonts w:ascii="Lato" w:hAnsi="Lato"/>
                <w:b w:val="0"/>
                <w:sz w:val="17"/>
              </w:rPr>
              <w:t>Operação continuada, NOC 24x7, equipe residente, desenvolvimento de aplicações e serviços gerenciados adicionais não estão incluídos.</w:t>
            </w:r>
          </w:p>
        </w:tc>
      </w:tr>
    </w:tbl>
    <w:p w14:paraId="790651B6" w14:textId="77777777" w:rsidR="00F227EA" w:rsidRDefault="00000000">
      <w:pPr>
        <w:pStyle w:val="Ttulo1"/>
        <w:keepNext/>
        <w:keepLines/>
        <w:pageBreakBefore w:val="0"/>
        <w:pBdr>
          <w:bottom w:val="single" w:sz="6" w:space="4" w:color="6B46C1"/>
        </w:pBdr>
        <w:spacing w:before="320" w:after="140"/>
      </w:pPr>
      <w:r>
        <w:rPr>
          <w:rFonts w:ascii="Lato" w:eastAsia="Lato" w:hAnsi="Lato" w:cs="Lato"/>
          <w:b/>
          <w:bCs/>
          <w:color w:val="6B46C1"/>
          <w:sz w:val="30"/>
          <w:szCs w:val="30"/>
        </w:rPr>
        <w:t xml:space="preserve">8.  </w:t>
      </w:r>
      <w:r>
        <w:rPr>
          <w:rFonts w:ascii="Lato" w:eastAsia="Lato" w:hAnsi="Lato" w:cs="Lato"/>
          <w:b/>
          <w:bCs/>
          <w:color w:val="1F2A5E"/>
          <w:sz w:val="30"/>
          <w:szCs w:val="30"/>
        </w:rPr>
        <w:t>Premissas, Requisitos e Restrições</w:t>
      </w:r>
    </w:p>
    <w:p w14:paraId="0279B845" w14:textId="77777777" w:rsidR="00F227EA" w:rsidRDefault="00000000">
      <w:pPr>
        <w:pStyle w:val="Ttulo2"/>
        <w:keepNext/>
        <w:keepLines/>
        <w:spacing w:before="220" w:after="90"/>
      </w:pPr>
      <w:r>
        <w:rPr>
          <w:rFonts w:ascii="Lato" w:eastAsia="Lato" w:hAnsi="Lato" w:cs="Lato"/>
          <w:b/>
          <w:bCs/>
          <w:sz w:val="25"/>
          <w:szCs w:val="25"/>
        </w:rPr>
        <w:t>8.1 Premissas</w:t>
      </w:r>
    </w:p>
    <w:p>
      <w:pPr>
        <w:pStyle w:val="PargrafodaLista"/>
        <w:numPr>
          <w:ilvl w:val="0"/>
          <w:numId w:val="2"/>
        </w:numPr>
        <w:spacing w:after="60" w:line="270" w:lineRule="auto"/>
      </w:pPr>
      <w:r>
        <w:rPr>
          <w:b/>
          <w:bCs/>
        </w:rPr>
        <w:t>Premissa: o provedor de DNS atual permite apontar os nomes do portal para o Global Traffic Management por CNAME; validação no levantamento da Fase 1.</w:t>
      </w:r>
    </w:p>
    <w:p>
      <w:pPr>
        <w:pStyle w:val="PargrafodaLista"/>
        <w:numPr>
          <w:ilvl w:val="0"/>
          <w:numId w:val="2"/>
        </w:numPr>
        <w:spacing w:after="60" w:line="270" w:lineRule="auto"/>
      </w:pPr>
      <w:r>
        <w:t>Premissa: a nuvem pública consegue atender o portal com dados atualizados quando recebe o tráfego; validação no levantamento da Fase 1.</w:t>
      </w:r>
    </w:p>
    <w:p>
      <w:pPr>
        <w:pStyle w:val="PargrafodaLista"/>
        <w:numPr>
          <w:ilvl w:val="0"/>
          <w:numId w:val="2"/>
        </w:numPr>
        <w:spacing w:after="60" w:line="270" w:lineRule="auto"/>
      </w:pPr>
      <w:r>
        <w:t>Premissa: a Solaris disponibiliza acesso às equipes de canais digitais, segurança e infraestrutura durante a Fase 1.</w:t>
      </w:r>
    </w:p>
    <w:p>
      <w:pPr>
        <w:pStyle w:val="PargrafodaLista"/>
        <w:numPr>
          <w:ilvl w:val="0"/>
          <w:numId w:val="2"/>
        </w:numPr>
        <w:spacing w:after="60" w:line="270" w:lineRule="auto"/>
      </w:pPr>
      <w:r>
        <w:t>Premissa: as mudanças em produção da Fase 2 ocorrem somente nas janelas de terça-feira, das 22h às 2h.</w:t>
      </w:r>
    </w:p>
    <w:p>
      <w:pPr>
        <w:pStyle w:val="Ttulo2"/>
        <w:keepNext/>
        <w:keepLines/>
        <w:spacing w:before="220" w:after="90"/>
      </w:pPr>
      <w:r>
        <w:rPr>
          <w:rFonts w:ascii="Lato" w:eastAsia="Lato" w:hAnsi="Lato" w:cs="Lato"/>
          <w:b/>
          <w:bCs/>
          <w:sz w:val="25"/>
          <w:szCs w:val="25"/>
        </w:rPr>
        <w:t>8.2 Requisitos — Pessoas (Solaris Energia)</w:t>
      </w:r>
    </w:p>
    <w:p>
      <w:pPr>
        <w:pStyle w:val="PargrafodaLista"/>
        <w:numPr>
          <w:ilvl w:val="0"/>
          <w:numId w:val="2"/>
        </w:numPr>
        <w:spacing w:after="60" w:line="270" w:lineRule="auto"/>
      </w:pPr>
      <w:r>
        <w:rPr>
          <w:b/>
          <w:bCs/>
        </w:rPr>
        <w:t>Gerente de Canais Digitais como responsável pelo portal e pelo app</w:t>
      </w:r>
    </w:p>
    <w:p>
      <w:pPr>
        <w:pStyle w:val="PargrafodaLista"/>
        <w:numPr>
          <w:ilvl w:val="0"/>
          <w:numId w:val="2"/>
        </w:numPr>
        <w:spacing w:after="60" w:line="270" w:lineRule="auto"/>
      </w:pPr>
      <w:r>
        <w:rPr>
          <w:b/>
          <w:bCs/>
        </w:rPr>
        <w:t>Coordenador de Segurança como responsável pelas políticas de proteção</w:t>
      </w:r>
    </w:p>
    <w:p>
      <w:pPr>
        <w:pStyle w:val="PargrafodaLista"/>
        <w:numPr>
          <w:ilvl w:val="0"/>
          <w:numId w:val="2"/>
        </w:numPr>
        <w:spacing w:after="60" w:line="270" w:lineRule="auto"/>
      </w:pPr>
      <w:r>
        <w:rPr>
          <w:b/>
          <w:bCs/>
        </w:rPr>
        <w:t>Equipe de infraestrutura do datacenter e da nuvem pública</w:t>
      </w:r>
    </w:p>
    <w:p>
      <w:pPr>
        <w:pStyle w:val="PargrafodaLista"/>
        <w:numPr>
          <w:ilvl w:val="0"/>
          <w:numId w:val="2"/>
        </w:numPr>
        <w:spacing w:after="60" w:line="270" w:lineRule="auto"/>
      </w:pPr>
      <w:r>
        <w:rPr>
          <w:b/>
          <w:bCs/>
        </w:rPr>
        <w:t>Administrador do provedor de DNS atual</w:t>
      </w:r>
    </w:p>
    <w:p w14:paraId="199C1D9F" w14:textId="77777777" w:rsidR="00F227EA" w:rsidRDefault="00000000">
      <w:pPr>
        <w:pStyle w:val="Ttulo2"/>
        <w:keepNext/>
        <w:keepLines/>
        <w:spacing w:before="220" w:after="90"/>
      </w:pPr>
      <w:r>
        <w:rPr>
          <w:rFonts w:ascii="Lato" w:eastAsia="Lato" w:hAnsi="Lato" w:cs="Lato"/>
          <w:b/>
          <w:bCs/>
          <w:sz w:val="25"/>
          <w:szCs w:val="25"/>
        </w:rPr>
        <w:t>8.3 Restrições</w:t>
      </w:r>
    </w:p>
    <w:p w14:paraId="15290CA5" w14:textId="77777777" w:rsidR="00F227EA" w:rsidRDefault="00000000">
      <w:pPr>
        <w:pStyle w:val="PargrafodaLista"/>
        <w:numPr>
          <w:ilvl w:val="0"/>
          <w:numId w:val="2"/>
        </w:numPr>
        <w:spacing w:after="60" w:line="270" w:lineRule="auto"/>
      </w:pPr>
      <w:r>
        <w:t>A Fase 1 não realiza mudança no ambiente de produção.</w:t>
      </w:r>
    </w:p>
    <w:p w14:paraId="62D6CC0A" w14:textId="77777777" w:rsidR="00F227EA" w:rsidRDefault="00000000">
      <w:pPr>
        <w:pStyle w:val="PargrafodaLista"/>
        <w:numPr>
          <w:ilvl w:val="0"/>
          <w:numId w:val="2"/>
        </w:numPr>
        <w:spacing w:after="60" w:line="270" w:lineRule="auto"/>
      </w:pPr>
      <w:r>
        <w:t>A tabela de SLA de atendimento a incidentes aplica-se somente à Fase 2; a Fase 1 não tem SLA de atendimento a incidentes.</w:t>
      </w:r>
    </w:p>
    <w:p w14:paraId="655E7B04" w14:textId="77777777" w:rsidR="00F227EA" w:rsidRDefault="00000000">
      <w:pPr>
        <w:pStyle w:val="PargrafodaLista"/>
        <w:numPr>
          <w:ilvl w:val="0"/>
          <w:numId w:val="2"/>
        </w:numPr>
        <w:spacing w:after="60" w:line="270" w:lineRule="auto"/>
      </w:pPr>
      <w:r>
        <w:t>O DNS autoritativo dos domínios permanece no provedor atual da Solaris.</w:t>
      </w:r>
    </w:p>
    <w:p>
      <w:pPr>
        <w:pStyle w:val="PargrafodaLista"/>
        <w:numPr>
          <w:ilvl w:val="0"/>
          <w:numId w:val="2"/>
        </w:numPr>
        <w:spacing w:after="60" w:line="270" w:lineRule="auto"/>
      </w:pPr>
      <w:r>
        <w:t>A correção da página que devolve nome e endereço é responsabilidade da Solaris e do seu DPO.</w:t>
      </w:r>
    </w:p>
    <w:p w14:paraId="359018A2" w14:textId="77777777" w:rsidR="00BB2913" w:rsidRDefault="00BB2913" w:rsidP="00BB2913">
      <w:pPr>
        <w:spacing w:after="60" w:line="270" w:lineRule="auto"/>
      </w:pPr>
    </w:p>
    <w:p w14:paraId="62DB3BC2" w14:textId="77777777" w:rsidR="00BB2913" w:rsidRDefault="00BB2913" w:rsidP="00BB2913">
      <w:pPr>
        <w:spacing w:after="60" w:line="270" w:lineRule="auto"/>
      </w:pPr>
    </w:p>
    <w:p w14:paraId="302BA2AD" w14:textId="77777777" w:rsidR="00BB2913" w:rsidRDefault="00BB2913" w:rsidP="00BB2913">
      <w:pPr>
        <w:spacing w:after="60" w:line="270" w:lineRule="auto"/>
      </w:pPr>
    </w:p>
    <w:p w14:paraId="1F60BE6A" w14:textId="77777777" w:rsidR="00BB2913" w:rsidRDefault="00BB2913" w:rsidP="00BB2913">
      <w:pPr>
        <w:spacing w:after="60" w:line="270" w:lineRule="auto"/>
      </w:pPr>
    </w:p>
    <w:p>
      <w:pPr>
        <w:pStyle w:val="Ttulo2"/>
        <w:keepNext/>
        <w:keepLines/>
        <w:spacing w:before="160" w:after="90"/>
        <w:rPr>
          <w:rFonts w:ascii="Lato" w:eastAsia="Lato" w:hAnsi="Lato" w:cs="Lato"/>
          <w:b/>
          <w:bCs/>
          <w:sz w:val="25"/>
          <w:szCs w:val="25"/>
        </w:rPr>
      </w:pPr>
      <w:r>
        <w:rPr>
          <w:rFonts w:ascii="Lato" w:eastAsia="Lato" w:hAnsi="Lato" w:cs="Lato"/>
          <w:b/>
          <w:bCs/>
          <w:sz w:val="25"/>
          <w:szCs w:val="25"/>
        </w:rPr>
        <w:t>8.4 Riscos e mitigação</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3168"/>
            <w:vAlign w:val="center"/>
            <w:shd w:fill="1F2A5E"/>
          </w:tcPr>
          <w:p>
            <w:pPr>
              <w:spacing w:after="40"/>
              <w:jc w:val="left"/>
            </w:pPr>
            <w:r>
              <w:rPr>
                <w:rFonts w:ascii="Lato" w:hAnsi="Lato"/>
                <w:b/>
                <w:color w:val="FFFFFF"/>
                <w:sz w:val="15"/>
              </w:rPr>
              <w:t>Risco</w:t>
            </w:r>
          </w:p>
        </w:tc>
        <w:tc>
          <w:tcPr>
            <w:tcW w:type="dxa" w:w="2304"/>
            <w:vAlign w:val="center"/>
            <w:shd w:fill="1F2A5E"/>
          </w:tcPr>
          <w:p>
            <w:pPr>
              <w:spacing w:after="40"/>
              <w:jc w:val="left"/>
            </w:pPr>
            <w:r>
              <w:rPr>
                <w:rFonts w:ascii="Lato" w:hAnsi="Lato"/>
                <w:b/>
                <w:color w:val="FFFFFF"/>
                <w:sz w:val="15"/>
              </w:rPr>
              <w:t>Impacto</w:t>
            </w:r>
          </w:p>
        </w:tc>
        <w:tc>
          <w:tcPr>
            <w:tcW w:type="dxa" w:w="4032"/>
            <w:vAlign w:val="center"/>
            <w:shd w:fill="1F2A5E"/>
          </w:tcPr>
          <w:p>
            <w:pPr>
              <w:spacing w:after="40"/>
              <w:jc w:val="left"/>
            </w:pPr>
            <w:r>
              <w:rPr>
                <w:rFonts w:ascii="Lato" w:hAnsi="Lato"/>
                <w:b/>
                <w:color w:val="FFFFFF"/>
                <w:sz w:val="15"/>
              </w:rPr>
              <w:t>Mitigação</w:t>
            </w:r>
          </w:p>
        </w:tc>
      </w:tr>
      <w:tr>
        <w:tc>
          <w:tcPr>
            <w:tcW w:type="dxa" w:w="3168"/>
            <w:vAlign w:val="center"/>
            <w:shd w:fill="FFFFFF"/>
          </w:tcPr>
          <w:p>
            <w:pPr>
              <w:spacing w:after="40"/>
              <w:jc w:val="left"/>
            </w:pPr>
            <w:r>
              <w:rPr>
                <w:rFonts w:ascii="Lato" w:hAnsi="Lato"/>
                <w:b w:val="0"/>
                <w:color w:val="1F2A5E"/>
                <w:sz w:val="15"/>
              </w:rPr>
              <w:t>Aceite do desenho ou contratação da Fase 2 tardios</w:t>
            </w:r>
          </w:p>
        </w:tc>
        <w:tc>
          <w:tcPr>
            <w:tcW w:type="dxa" w:w="2304"/>
            <w:vAlign w:val="center"/>
            <w:shd w:fill="FFFFFF"/>
          </w:tcPr>
          <w:p>
            <w:pPr>
              <w:spacing w:after="40"/>
              <w:jc w:val="left"/>
            </w:pPr>
            <w:r>
              <w:rPr>
                <w:rFonts w:ascii="Lato" w:hAnsi="Lato"/>
                <w:b w:val="0"/>
                <w:color w:val="1F2A5E"/>
                <w:sz w:val="15"/>
              </w:rPr>
              <w:t>A implantação pode não terminar antes de 01/03/2027</w:t>
            </w:r>
          </w:p>
        </w:tc>
        <w:tc>
          <w:tcPr>
            <w:tcW w:type="dxa" w:w="4032"/>
            <w:vAlign w:val="center"/>
            <w:shd w:fill="FFFFFF"/>
          </w:tcPr>
          <w:p>
            <w:pPr>
              <w:spacing w:after="40"/>
              <w:jc w:val="left"/>
            </w:pPr>
            <w:r>
              <w:rPr>
                <w:rFonts w:ascii="Lato" w:hAnsi="Lato"/>
                <w:b w:val="0"/>
                <w:color w:val="1F2A5E"/>
                <w:sz w:val="15"/>
              </w:rPr>
              <w:t>Acompanhar o calendário da campanha desde a Fase 1 e antecipar a decisão de contratação.</w:t>
            </w:r>
          </w:p>
        </w:tc>
      </w:tr>
      <w:tr>
        <w:tc>
          <w:tcPr>
            <w:tcW w:type="dxa" w:w="3168"/>
            <w:vAlign w:val="center"/>
            <w:shd w:fill="F3F4F6"/>
          </w:tcPr>
          <w:p>
            <w:pPr>
              <w:spacing w:after="40"/>
              <w:jc w:val="left"/>
            </w:pPr>
            <w:r>
              <w:rPr>
                <w:rFonts w:ascii="Lato" w:hAnsi="Lato"/>
                <w:b w:val="0"/>
                <w:color w:val="1F2A5E"/>
                <w:sz w:val="15"/>
              </w:rPr>
              <w:t>Nuvem pública sem dados atualizados</w:t>
            </w:r>
          </w:p>
        </w:tc>
        <w:tc>
          <w:tcPr>
            <w:tcW w:type="dxa" w:w="2304"/>
            <w:vAlign w:val="center"/>
            <w:shd w:fill="F3F4F6"/>
          </w:tcPr>
          <w:p>
            <w:pPr>
              <w:spacing w:after="40"/>
              <w:jc w:val="left"/>
            </w:pPr>
            <w:r>
              <w:rPr>
                <w:rFonts w:ascii="Lato" w:hAnsi="Lato"/>
                <w:b w:val="0"/>
                <w:color w:val="1F2A5E"/>
                <w:sz w:val="15"/>
              </w:rPr>
              <w:t>O failover automático direciona tráfego para uma origem que não atende o portal</w:t>
            </w:r>
          </w:p>
        </w:tc>
        <w:tc>
          <w:tcPr>
            <w:tcW w:type="dxa" w:w="4032"/>
            <w:vAlign w:val="center"/>
            <w:shd w:fill="F3F4F6"/>
          </w:tcPr>
          <w:p>
            <w:pPr>
              <w:spacing w:after="40"/>
              <w:jc w:val="left"/>
            </w:pPr>
            <w:r>
              <w:rPr>
                <w:rFonts w:ascii="Lato" w:hAnsi="Lato"/>
                <w:b w:val="0"/>
                <w:color w:val="1F2A5E"/>
                <w:sz w:val="15"/>
              </w:rPr>
              <w:t>Validar a prontidão da nuvem pública no levantamento e registrar a condição no desenho.</w:t>
            </w:r>
          </w:p>
        </w:tc>
      </w:tr>
      <w:tr>
        <w:tc>
          <w:tcPr>
            <w:tcW w:type="dxa" w:w="3168"/>
            <w:vAlign w:val="center"/>
            <w:shd w:fill="FFFFFF"/>
          </w:tcPr>
          <w:p>
            <w:pPr>
              <w:spacing w:after="40"/>
              <w:jc w:val="left"/>
            </w:pPr>
            <w:r>
              <w:rPr>
                <w:rFonts w:ascii="Lato" w:hAnsi="Lato"/>
                <w:b w:val="0"/>
                <w:color w:val="1F2A5E"/>
                <w:sz w:val="15"/>
              </w:rPr>
              <w:t>Janela de mudanças restrita às terças-feiras</w:t>
            </w:r>
          </w:p>
        </w:tc>
        <w:tc>
          <w:tcPr>
            <w:tcW w:type="dxa" w:w="2304"/>
            <w:vAlign w:val="center"/>
            <w:shd w:fill="FFFFFF"/>
          </w:tcPr>
          <w:p>
            <w:pPr>
              <w:spacing w:after="40"/>
              <w:jc w:val="left"/>
            </w:pPr>
            <w:r>
              <w:rPr>
                <w:rFonts w:ascii="Lato" w:hAnsi="Lato"/>
                <w:b w:val="0"/>
                <w:color w:val="1F2A5E"/>
                <w:sz w:val="15"/>
              </w:rPr>
              <w:t>Poucas oportunidades de entrada em produção antes da campanha</w:t>
            </w:r>
          </w:p>
        </w:tc>
        <w:tc>
          <w:tcPr>
            <w:tcW w:type="dxa" w:w="4032"/>
            <w:vAlign w:val="center"/>
            <w:shd w:fill="FFFFFF"/>
          </w:tcPr>
          <w:p>
            <w:pPr>
              <w:spacing w:after="40"/>
              <w:jc w:val="left"/>
            </w:pPr>
            <w:r>
              <w:rPr>
                <w:rFonts w:ascii="Lato" w:hAnsi="Lato"/>
                <w:b w:val="0"/>
                <w:color w:val="1F2A5E"/>
                <w:sz w:val="15"/>
              </w:rPr>
              <w:t>Planejar as entradas em produção por janela e manter plano de reversão.</w:t>
            </w:r>
          </w:p>
        </w:tc>
      </w:tr>
    </w:tbl>
    <w:p w14:paraId="0C5AB9CA"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lastRenderedPageBreak/>
        <w:t xml:space="preserve">9.  </w:t>
      </w:r>
      <w:r>
        <w:rPr>
          <w:rFonts w:ascii="Lato" w:eastAsia="Lato" w:hAnsi="Lato" w:cs="Lato"/>
          <w:b/>
          <w:bCs/>
          <w:color w:val="1F2A5E"/>
          <w:sz w:val="30"/>
          <w:szCs w:val="30"/>
        </w:rPr>
        <w:t>Cronograma Macro</w:t>
      </w:r>
    </w:p>
    <w:p>
      <w:pPr>
        <w:spacing w:after="120" w:line="276" w:lineRule="auto"/>
      </w:pPr>
      <w:r>
        <w:t>O cronograma apresenta a Fase 1 contratada e a Fase 2 opcional, com o provisionamento das licenças entre elas.</w:t>
      </w:r>
    </w:p>
    <w:p>
      <w:pPr>
        <w:spacing w:after="120" w:line="276" w:lineRule="auto"/>
      </w:pPr>
      <w:r>
        <w:t>Fase 1 de 3 a 4 semanas; provisionamento das licenças em até 2 semanas após a assinatura do pedido; Fase 2 de 6 a 8 semanas após o aceite do desenho.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3024"/>
        <w:gridCol w:w="1944"/>
        <w:gridCol w:w="1296"/>
        <w:gridCol w:w="1584"/>
      </w:tblGrid>
      <w:tr w:rsidR="000025B6" w14:paraId="3B67D474" w14:textId="77777777">
        <w:trPr>
          <w:tblHeader/>
        </w:trPr>
        <w:tc>
          <w:tcPr>
            <w:tcW w:w="1728"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30C4EC7D" w14:textId="77777777" w:rsidR="0039468C" w:rsidRDefault="00000000">
            <w:r>
              <w:rPr>
                <w:b/>
                <w:bCs/>
                <w:color w:val="FFFFFF"/>
              </w:rPr>
              <w:t>Fase</w:t>
            </w:r>
          </w:p>
        </w:tc>
        <w:tc>
          <w:tcPr>
            <w:tcW w:w="302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0DB1572C" w14:textId="77777777" w:rsidR="0039468C" w:rsidRDefault="00000000">
            <w:r>
              <w:rPr>
                <w:b/>
                <w:bCs/>
                <w:color w:val="FFFFFF"/>
              </w:rPr>
              <w:t>Atividade</w:t>
            </w:r>
          </w:p>
        </w:tc>
        <w:tc>
          <w:tcPr>
            <w:tcW w:w="194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6769EBB4" w14:textId="77777777" w:rsidR="0039468C" w:rsidRDefault="00000000">
            <w:pPr>
              <w:jc w:val="center"/>
            </w:pPr>
            <w:r>
              <w:rPr>
                <w:b/>
                <w:bCs/>
                <w:color w:val="FFFFFF"/>
              </w:rPr>
              <w:t>Dependência</w:t>
            </w:r>
          </w:p>
        </w:tc>
        <w:tc>
          <w:tcPr>
            <w:tcW w:w="1296"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6584457C" w14:textId="77777777" w:rsidR="0039468C" w:rsidRDefault="00000000">
            <w:pPr>
              <w:jc w:val="center"/>
            </w:pPr>
            <w:r>
              <w:rPr>
                <w:b/>
                <w:bCs/>
                <w:color w:val="FFFFFF"/>
              </w:rPr>
              <w:t>Duração</w:t>
            </w:r>
          </w:p>
        </w:tc>
        <w:tc>
          <w:tcPr>
            <w:tcW w:w="1584"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1E6A91DF" w14:textId="77777777" w:rsidR="0039468C" w:rsidRDefault="00000000">
            <w:pPr>
              <w:jc w:val="center"/>
            </w:pPr>
            <w:r>
              <w:rPr>
                <w:b/>
                <w:bCs/>
                <w:color w:val="FFFFFF"/>
              </w:rPr>
              <w:t>Evidência</w:t>
            </w:r>
          </w:p>
        </w:tc>
      </w:tr>
      <w:tr w:rsidR="000025B6" w14:paraId="3F1FC04D" w14:textId="77777777">
        <w:tc>
          <w:tcPr>
            <w:tcW w:w="172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14:paraId="194E3199" w14:textId="77777777" w:rsidR="0039468C" w:rsidRDefault="00000000">
            <w:pPr>
              <w:jc w:val="left"/>
            </w:pPr>
            <w:r>
              <w:rPr>
                <w:b/>
                <w:bCs/>
                <w:color w:val="1F2A5E"/>
                <w:sz w:val="15"/>
                <w:szCs w:val="20"/>
              </w:rPr>
              <w:t>Fase 1 — Levantamento e desenho</w:t>
            </w:r>
          </w:p>
        </w:tc>
        <w:tc>
          <w:tcPr>
            <w:tcW w:w="302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pPr>
              <w:jc w:val="left"/>
            </w:pPr>
            <w:r>
              <w:rPr>
                <w:color w:val="1F2A5E"/>
                <w:sz w:val="15"/>
                <w:szCs w:val="20"/>
              </w:rPr>
              <w:t>Levantar o ambiente atual e entregar o desenho da proteção e do failover automático, sem alteração no ambiente de produção.</w:t>
            </w:r>
          </w:p>
        </w:tc>
        <w:tc>
          <w:tcPr>
            <w:tcW w:w="194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67F6ACF0" w14:textId="77777777" w:rsidR="0039468C" w:rsidRDefault="00000000">
            <w:pPr>
              <w:jc w:val="left"/>
            </w:pPr>
            <w:r>
              <w:rPr>
                <w:color w:val="1F2A5E"/>
                <w:sz w:val="15"/>
                <w:szCs w:val="20"/>
              </w:rPr>
              <w:t>Assinatura do pedido e acesso às equipes e informações da Solaris</w:t>
            </w:r>
          </w:p>
        </w:tc>
        <w:tc>
          <w:tcPr>
            <w:tcW w:w="12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7A1C635C" w14:textId="77777777" w:rsidR="0039468C" w:rsidRDefault="00000000">
            <w:pPr>
              <w:jc w:val="left"/>
            </w:pPr>
            <w:r>
              <w:rPr>
                <w:color w:val="1F2A5E"/>
                <w:sz w:val="15"/>
                <w:szCs w:val="20"/>
              </w:rPr>
              <w:t>3 a 4 semanas</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00" w:type="dxa"/>
              <w:left w:w="80" w:type="dxa"/>
              <w:bottom w:w="100" w:type="dxa"/>
              <w:right w:w="80" w:type="dxa"/>
            </w:tcMar>
            <w:vAlign w:val="center"/>
          </w:tcPr>
          <w:p w14:paraId="2E1CAC2C" w14:textId="77777777" w:rsidR="0039468C" w:rsidRDefault="00000000">
            <w:pPr>
              <w:jc w:val="left"/>
            </w:pPr>
            <w:r>
              <w:rPr>
                <w:color w:val="1F2A5E"/>
                <w:sz w:val="15"/>
                <w:szCs w:val="20"/>
              </w:rPr>
              <w:t>Relatório de levantamento do ambiente atual, Desenho de alto nível (HLD) da solução, Plano de implantação, testes e reversão para a Fase 2</w:t>
            </w:r>
          </w:p>
        </w:tc>
      </w:tr>
      <w:tr w:rsidR="000025B6" w14:paraId="2299E885" w14:textId="77777777">
        <w:tc>
          <w:tcPr>
            <w:tcW w:w="1728"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14:paraId="29C84597" w14:textId="77777777" w:rsidR="0039468C" w:rsidRDefault="00000000">
            <w:pPr>
              <w:jc w:val="left"/>
            </w:pPr>
            <w:r>
              <w:rPr>
                <w:b/>
                <w:bCs/>
                <w:color w:val="1F2A5E"/>
                <w:sz w:val="15"/>
                <w:szCs w:val="20"/>
              </w:rPr>
              <w:t>Implantação da proteção e do failover automático (opcional)</w:t>
            </w:r>
          </w:p>
        </w:tc>
        <w:tc>
          <w:tcPr>
            <w:tcW w:w="302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140" w:type="dxa"/>
              <w:bottom w:w="100" w:type="dxa"/>
              <w:right w:w="140" w:type="dxa"/>
            </w:tcMar>
            <w:vAlign w:val="center"/>
          </w:tcPr>
          <w:p>
            <w:pPr>
              <w:jc w:val="left"/>
            </w:pPr>
            <w:r>
              <w:rPr>
                <w:color w:val="1F2A5E"/>
                <w:sz w:val="15"/>
                <w:szCs w:val="20"/>
              </w:rPr>
              <w:t>Implantar App &amp; API Protector, Bot Manager Premier, Global Traffic Management.</w:t>
            </w:r>
          </w:p>
        </w:tc>
        <w:tc>
          <w:tcPr>
            <w:tcW w:w="194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5E928621" w14:textId="77777777" w:rsidR="0039468C" w:rsidRDefault="00000000">
            <w:pPr>
              <w:jc w:val="left"/>
            </w:pPr>
            <w:r>
              <w:rPr>
                <w:color w:val="1F2A5E"/>
                <w:sz w:val="15"/>
                <w:szCs w:val="20"/>
              </w:rPr>
              <w:t>Aceite da Fase 1 e provisionamento das licenças</w:t>
            </w:r>
          </w:p>
        </w:tc>
        <w:tc>
          <w:tcPr>
            <w:tcW w:w="1296"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36308512" w14:textId="77777777" w:rsidR="0039468C" w:rsidRDefault="00000000">
            <w:pPr>
              <w:jc w:val="left"/>
            </w:pPr>
            <w:r>
              <w:rPr>
                <w:color w:val="1F2A5E"/>
                <w:sz w:val="15"/>
                <w:szCs w:val="20"/>
              </w:rPr>
              <w:t>6 a 8 semanas</w:t>
            </w:r>
          </w:p>
        </w:tc>
        <w:tc>
          <w:tcPr>
            <w:tcW w:w="1584" w:type="dxa"/>
            <w:tcBorders>
              <w:top w:val="single" w:sz="4" w:space="0" w:color="CBD5E1"/>
              <w:left w:val="single" w:sz="4" w:space="0" w:color="CBD5E1"/>
              <w:bottom w:val="single" w:sz="4" w:space="0" w:color="CBD5E1"/>
              <w:right w:val="single" w:sz="4" w:space="0" w:color="CBD5E1"/>
            </w:tcBorders>
            <w:shd w:val="clear" w:color="auto" w:fill="F3F4F6"/>
            <w:tcMar>
              <w:top w:w="100" w:type="dxa"/>
              <w:left w:w="80" w:type="dxa"/>
              <w:bottom w:w="100" w:type="dxa"/>
              <w:right w:w="80" w:type="dxa"/>
            </w:tcMar>
            <w:vAlign w:val="center"/>
          </w:tcPr>
          <w:p w14:paraId="7E6DCF4A" w14:textId="77777777" w:rsidR="0039468C" w:rsidRDefault="00000000">
            <w:pPr>
              <w:jc w:val="left"/>
            </w:pPr>
            <w:r>
              <w:rPr>
                <w:color w:val="1F2A5E"/>
                <w:sz w:val="15"/>
                <w:szCs w:val="20"/>
              </w:rPr>
              <w:t>Aceite da Fase 2</w:t>
            </w:r>
          </w:p>
        </w:tc>
      </w:tr>
    </w:tbl>
    <w:p w14:paraId="613B77DA" w14:textId="77777777" w:rsidR="00BB0D50" w:rsidRDefault="00BB0D50">
      <w:pPr>
        <w:spacing w:after="60" w:line="276" w:lineRule="auto"/>
        <w:rPr>
          <w:i/>
          <w:iCs/>
          <w:color w:val="6B7280"/>
          <w:sz w:val="18"/>
          <w:szCs w:val="18"/>
        </w:rPr>
      </w:pPr>
    </w:p>
    <w:p w14:paraId="1C6D7AB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10.  </w:t>
      </w:r>
      <w:r>
        <w:rPr>
          <w:rFonts w:ascii="Lato" w:eastAsia="Lato" w:hAnsi="Lato" w:cs="Lato"/>
          <w:b/>
          <w:bCs/>
          <w:color w:val="1F2A5E"/>
          <w:sz w:val="30"/>
          <w:szCs w:val="30"/>
        </w:rPr>
        <w:t>Critérios de Aceite</w:t>
      </w:r>
    </w:p>
    <w:p>
      <w:pPr>
        <w:spacing w:after="120" w:line="276" w:lineRule="auto"/>
      </w:pPr>
      <w:r>
        <w:t>A aceitação seguirá os critérios mínimos registrados na matriz de rastreabilidade. A POPULOS propõe, como instrumento complementar de apoio, checklists por entrega, sem prejuízo dos marcos formais de aceite do projeto:</w:t>
      </w:r>
    </w:p>
    <w:p>
      <w:pPr>
        <w:pStyle w:val="PargrafodaLista"/>
        <w:numPr>
          <w:ilvl w:val="0"/>
          <w:numId w:val="2"/>
        </w:numPr>
        <w:spacing w:after="60" w:line="270" w:lineRule="auto"/>
      </w:pPr>
      <w:r>
        <w:t>Relatório de levantamento e HLD entregues e aceitos formalmente pela Solaris.</w:t>
      </w:r>
    </w:p>
    <w:p>
      <w:pPr>
        <w:pStyle w:val="PargrafodaLista"/>
        <w:numPr>
          <w:ilvl w:val="0"/>
          <w:numId w:val="2"/>
        </w:numPr>
        <w:spacing w:after="60" w:line="270" w:lineRule="auto"/>
      </w:pPr>
      <w:r>
        <w:t>HLD descreve as políticas de WAF e de mitigação de DDoS de aplicação para os hostnames e APIs levantados, incluindo a consulta de débitos.</w:t>
      </w:r>
    </w:p>
    <w:p>
      <w:pPr>
        <w:pStyle w:val="PargrafodaLista"/>
        <w:numPr>
          <w:ilvl w:val="0"/>
          <w:numId w:val="2"/>
        </w:numPr>
        <w:spacing w:after="60" w:line="270" w:lineRule="auto"/>
      </w:pPr>
      <w:r>
        <w:t>HLD descreve a detecção e a resposta a robôs sobre a consulta de débitos, com as ações por tipo de automação.</w:t>
      </w:r>
    </w:p>
    <w:p>
      <w:pPr>
        <w:pStyle w:val="PargrafodaLista"/>
        <w:numPr>
          <w:ilvl w:val="0"/>
          <w:numId w:val="2"/>
        </w:numPr>
        <w:spacing w:after="60" w:line="270" w:lineRule="auto"/>
      </w:pPr>
      <w:r>
        <w:t>HLD descreve os testes de saúde, as políticas de tráfego entre as duas origens e o plano de testes de failover.</w:t>
      </w:r>
    </w:p>
    <w:p>
      <w:pPr>
        <w:pStyle w:val="PargrafodaLista"/>
        <w:numPr>
          <w:ilvl w:val="0"/>
          <w:numId w:val="2"/>
        </w:numPr>
        <w:spacing w:after="60" w:line="270" w:lineRule="auto"/>
      </w:pPr>
      <w:r>
        <w:t>Plano de implantação da Fase 2 entregue com a sequência de janelas de terça-feira e o plano de reversão, referenciado à campanha de 01/03/2027.</w:t>
      </w:r>
    </w:p>
    <w:p>
      <w:pPr>
        <w:pStyle w:val="PargrafodaLista"/>
        <w:keepLines/>
        <w:numPr>
          <w:ilvl w:val="0"/>
          <w:numId w:val="2"/>
        </w:numPr>
        <w:spacing w:after="60" w:line="270" w:lineRule="auto"/>
      </w:pPr>
      <w:r>
        <w:t>Plano de implantação da Fase 2 prevê todas as mudanças em produção dentro das janelas de terça-feira, das 22h às 2h.</w:t>
      </w:r>
    </w:p>
    <w:p>
      <w:pPr>
        <w:keepNext/>
        <w:keepLines/>
        <w:spacing w:after="120" w:line="276" w:lineRule="auto"/>
      </w:pPr>
      <w:r>
        <w:t>Critérios de aceite — Implantação da proteção e do failover automático, aplicáveis somente se contratada:</w:t>
      </w:r>
    </w:p>
    <w:p>
      <w:pPr>
        <w:pStyle w:val="PargrafodaLista"/>
        <w:keepLines/>
        <w:numPr>
          <w:ilvl w:val="0"/>
          <w:numId w:val="2"/>
        </w:numPr>
        <w:spacing w:after="60" w:line="270" w:lineRule="auto"/>
      </w:pPr>
      <w:r>
        <w:t>Portal e APIs publicados atendidos pela borda com as políticas do App &amp; API Protector ativas, e teste controlado de requisições em excesso à consulta de débitos mitigado na borda, evidenciado nos registros de segurança.</w:t>
      </w:r>
    </w:p>
    <w:p>
      <w:pPr>
        <w:pStyle w:val="PargrafodaLista"/>
        <w:keepLines/>
        <w:numPr>
          <w:ilvl w:val="0"/>
          <w:numId w:val="2"/>
        </w:numPr>
        <w:spacing w:after="60" w:line="270" w:lineRule="auto"/>
      </w:pPr>
      <w:r>
        <w:t>Requisições automatizadas de teste sobre a consulta de débitos classificadas como robô e tratadas pela ação definida no desenho, evidenciadas na telemetria do Bot Manager Premier.</w:t>
      </w:r>
    </w:p>
    <w:p>
      <w:pPr>
        <w:pStyle w:val="PargrafodaLista"/>
        <w:keepLines/>
        <w:numPr>
          <w:ilvl w:val="0"/>
          <w:numId w:val="2"/>
        </w:numPr>
        <w:spacing w:after="60" w:line="270" w:lineRule="auto"/>
      </w:pPr>
      <w:r>
        <w:t>Em teste na janela de terça-feira, a indisponibilidade simulada do datacenter faz o Global Traffic Management direcionar o tráfego para a nuvem pública sem intervenção manual, e o retorno ao datacenter ocorre conforme a política do desenho.</w:t>
      </w:r>
    </w:p>
    <w:p>
      <w:pPr>
        <w:pStyle w:val="PargrafodaLista"/>
        <w:keepLines/>
        <w:numPr>
          <w:ilvl w:val="0"/>
          <w:numId w:val="2"/>
        </w:numPr>
        <w:spacing w:after="60" w:line="270" w:lineRule="auto"/>
      </w:pPr>
      <w:r>
        <w:t>Checklist de prontidão para a campanha concluído e assinado pela Solaris e pela POPULOS.</w:t>
      </w:r>
    </w:p>
    <w:p>
      <w:pPr>
        <w:pStyle w:val="PargrafodaLista"/>
        <w:keepLines/>
        <w:numPr>
          <w:ilvl w:val="0"/>
          <w:numId w:val="2"/>
        </w:numPr>
        <w:spacing w:after="60" w:line="270" w:lineRule="auto"/>
      </w:pPr>
      <w:r>
        <w:t>Todas as mudanças em produção da Fase 2 registradas dentro das janelas de terça-feira, das 22h às 2h.</w:t>
      </w:r>
    </w:p>
    <w:p w14:paraId="26E65A66" w14:textId="77777777" w:rsidR="00BB2913" w:rsidRDefault="00BB2913" w:rsidP="00BB2913">
      <w:pPr>
        <w:spacing w:after="60" w:line="270"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45A687A1"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Marcos formais de aceite</w:t>
            </w:r>
          </w:p>
          <w:p>
            <w:pPr>
              <w:keepLines/>
              <w:spacing w:before="40" w:after="0"/>
            </w:pPr>
            <w:r>
              <w:rPr>
                <w:rFonts w:ascii="Lato" w:hAnsi="Lato"/>
                <w:b w:val="0"/>
                <w:sz w:val="17"/>
              </w:rPr>
              <w:t>Marcos: aceite do desenho da Fase 1 e aceite da Fase 2.</w:t>
            </w:r>
          </w:p>
        </w:tc>
      </w:tr>
    </w:tbl>
    <w:p w14:paraId="20ADFDB0"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11.  </w:t>
      </w:r>
      <w:r>
        <w:rPr>
          <w:rFonts w:ascii="Lato" w:eastAsia="Lato" w:hAnsi="Lato" w:cs="Lato"/>
          <w:b/>
          <w:bCs/>
          <w:color w:val="1F2A5E"/>
          <w:sz w:val="30"/>
          <w:szCs w:val="30"/>
        </w:rPr>
        <w:t>Garantia Técnica</w:t>
      </w:r>
    </w:p>
    <w:p>
      <w:pPr>
        <w:spacing w:after="120" w:line="276" w:lineRule="auto"/>
      </w:pPr>
      <w:r>
        <w:t>A garantia técnica cobre a correção de defeitos diretamente atribuíveis aos serviços executados pela POPULOS. O prazo consta do quadro Garantia e vigência.</w:t>
      </w: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04B9EB64" w14:textId="77777777">
        <w:trPr>
          <w:cantSplit/>
        </w:trPr>
        <w:tc>
          <w:tcPr>
            <w:tcW w:w="10080" w:type="dxa"/>
            <w:shd w:val="clear" w:color="auto" w:fill="F9FAFB"/>
            <w:tcMar>
              <w:top w:w="120" w:type="dxa"/>
              <w:left w:w="200" w:type="dxa"/>
              <w:bottom w:w="120" w:type="dxa"/>
              <w:right w:w="200" w:type="dxa"/>
            </w:tcMar>
          </w:tcPr>
          <w:p>
            <w:pPr>
              <w:keepNext/>
              <w:keepLines/>
              <w:spacing w:after="60"/>
            </w:pPr>
            <w:r>
              <w:rPr>
                <w:rFonts w:ascii="Lato" w:eastAsia="Lato" w:hAnsi="Lato" w:cs="Lato"/>
                <w:b/>
                <w:bCs/>
                <w:color w:val="1F2A5E"/>
              </w:rPr>
              <w:t>Garantia e vigência</w:t>
            </w:r>
          </w:p>
          <w:p>
            <w:pPr>
              <w:keepLines/>
              <w:spacing w:before="40" w:after="0"/>
            </w:pPr>
            <w:r>
              <w:rPr>
                <w:rFonts w:ascii="Lato" w:hAnsi="Lato"/>
                <w:b w:val="0"/>
                <w:sz w:val="17"/>
              </w:rPr>
              <w:t>90 dias corridos após o aceite de cada fase</w:t>
            </w:r>
          </w:p>
        </w:tc>
      </w:tr>
    </w:tbl>
    <w:p w14:paraId="4251E7E2" w14:textId="77777777" w:rsidR="00F71DA0" w:rsidRDefault="00F71DA0">
      <w:pPr>
        <w:spacing w:after="120" w:line="276" w:lineRule="auto"/>
      </w:pPr>
    </w:p>
    <w:p>
      <w:pPr>
        <w:spacing w:after="120" w:line="276" w:lineRule="auto"/>
      </w:pPr>
      <w:r>
        <w:t>A POPULOS permanece à disposição para detalhar esta proposta com as equipes de canais digitais e de segurança da Solaris.</w:t>
      </w:r>
    </w:p>
    <w:p w14:paraId="5A1A0001" w14:textId="77777777" w:rsidR="0039468C" w:rsidRDefault="00000000">
      <w:pPr>
        <w:pStyle w:val="Ttulo2"/>
        <w:keepNext/>
        <w:keepLines/>
        <w:spacing w:before="220" w:after="90"/>
      </w:pPr>
      <w:r>
        <w:rPr>
          <w:rFonts w:ascii="Lato" w:hAnsi="Lato"/>
          <w:b/>
          <w:bCs/>
          <w:sz w:val="25"/>
        </w:rPr>
        <w:t>Condições de atendimento</w:t>
      </w:r>
    </w:p>
    <w:p>
      <w:pPr>
        <w:spacing w:after="120" w:line="276" w:lineRule="auto"/>
      </w:pPr>
      <w:r>
        <w:t>O padrão institucional de atendimento abaixo aplica-se somente a: Implantação da proteção e do failover automático (opcional), para falhas atribuíveis aos serviços executados. Nas demais fases, não há compromisso de tempo de atendimento.</w:t>
      </w:r>
    </w:p>
    <w:p w14:paraId="56D09804" w14:textId="77777777" w:rsidR="00263911" w:rsidRDefault="00263911">
      <w:pPr>
        <w:spacing w:after="120" w:line="276" w:lineRule="auto"/>
      </w:pPr>
    </w:p>
    <w:p w14:paraId="7FC73105" w14:textId="77777777" w:rsidR="00263911" w:rsidRDefault="00263911">
      <w:pPr>
        <w:spacing w:after="120" w:line="276" w:lineRule="auto"/>
      </w:pPr>
    </w:p>
    <w:tbl>
      <w:tblPr>
        <w:tblpPr w:leftFromText="141" w:rightFromText="141"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65"/>
        <w:gridCol w:w="3695"/>
      </w:tblGrid>
      <w:tr w:rsidR="000025B6" w14:paraId="086C88CC" w14:textId="77777777" w:rsidTr="00263911">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58C13410" w14:textId="77777777" w:rsidR="0039468C" w:rsidRDefault="00000000" w:rsidP="00263911">
            <w:r>
              <w:rPr>
                <w:b/>
                <w:bCs/>
                <w:color w:val="FFFFFF"/>
              </w:rPr>
              <w:lastRenderedPageBreak/>
              <w:t>Severidade</w:t>
            </w:r>
          </w:p>
        </w:tc>
        <w:tc>
          <w:tcPr>
            <w:tcW w:w="1800"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06F7424D" w14:textId="77777777" w:rsidR="0039468C" w:rsidRDefault="00000000" w:rsidP="00263911">
            <w:pPr>
              <w:jc w:val="center"/>
            </w:pPr>
            <w:r>
              <w:rPr>
                <w:b/>
                <w:bCs/>
                <w:color w:val="FFFFFF"/>
              </w:rPr>
              <w:t>Tempo de Resposta</w:t>
            </w:r>
          </w:p>
        </w:tc>
        <w:tc>
          <w:tcPr>
            <w:tcW w:w="2065"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56B73A72" w14:textId="77777777" w:rsidR="0039468C" w:rsidRDefault="00000000" w:rsidP="00263911">
            <w:pPr>
              <w:jc w:val="center"/>
            </w:pPr>
            <w:r>
              <w:rPr>
                <w:b/>
                <w:bCs/>
                <w:color w:val="FFFFFF"/>
              </w:rPr>
              <w:t>Tempo de Resolução</w:t>
            </w:r>
          </w:p>
        </w:tc>
        <w:tc>
          <w:tcPr>
            <w:tcW w:w="3695" w:type="dxa"/>
            <w:tcBorders>
              <w:top w:val="single" w:sz="4" w:space="0" w:color="CBD5E1"/>
              <w:left w:val="single" w:sz="4" w:space="0" w:color="CBD5E1"/>
              <w:bottom w:val="single" w:sz="4" w:space="0" w:color="CBD5E1"/>
              <w:right w:val="single" w:sz="4" w:space="0" w:color="CBD5E1"/>
            </w:tcBorders>
            <w:shd w:val="clear" w:color="auto" w:fill="1F2A5E"/>
            <w:tcMar>
              <w:top w:w="120" w:type="dxa"/>
              <w:left w:w="140" w:type="dxa"/>
              <w:bottom w:w="120" w:type="dxa"/>
              <w:right w:w="140" w:type="dxa"/>
            </w:tcMar>
            <w:vAlign w:val="center"/>
          </w:tcPr>
          <w:p w14:paraId="4E4A0347" w14:textId="77777777" w:rsidR="0039468C" w:rsidRDefault="00000000" w:rsidP="00263911">
            <w:r>
              <w:rPr>
                <w:b/>
                <w:bCs/>
                <w:color w:val="FFFFFF"/>
              </w:rPr>
              <w:t>Descrição</w:t>
            </w:r>
          </w:p>
        </w:tc>
      </w:tr>
      <w:tr w:rsidR="000025B6" w14:paraId="60073BC3"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DC2626"/>
            <w:tcMar>
              <w:top w:w="100" w:type="dxa"/>
              <w:left w:w="140" w:type="dxa"/>
              <w:bottom w:w="100" w:type="dxa"/>
              <w:right w:w="140" w:type="dxa"/>
            </w:tcMar>
            <w:vAlign w:val="center"/>
          </w:tcPr>
          <w:p w14:paraId="46C8B0F5" w14:textId="77777777" w:rsidR="0039468C" w:rsidRDefault="00000000" w:rsidP="00263911">
            <w:pPr>
              <w:jc w:val="center"/>
            </w:pPr>
            <w:r>
              <w:rPr>
                <w:b/>
                <w:bCs/>
                <w:color w:val="FFFFFF"/>
              </w:rPr>
              <w:t>ALTA</w:t>
            </w:r>
          </w:p>
        </w:tc>
        <w:tc>
          <w:tcPr>
            <w:tcW w:w="1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1C397F59" w14:textId="77777777" w:rsidR="0039468C" w:rsidRDefault="00000000" w:rsidP="00263911">
            <w:pPr>
              <w:jc w:val="center"/>
            </w:pPr>
            <w:r>
              <w:rPr>
                <w:b/>
                <w:bCs/>
                <w:color w:val="1F2937"/>
                <w:sz w:val="20"/>
                <w:szCs w:val="20"/>
              </w:rPr>
              <w:t>Até 1 hora</w:t>
            </w:r>
          </w:p>
        </w:tc>
        <w:tc>
          <w:tcPr>
            <w:tcW w:w="20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4D732BA" w14:textId="77777777" w:rsidR="0039468C" w:rsidRDefault="00000000" w:rsidP="00263911">
            <w:pPr>
              <w:jc w:val="center"/>
            </w:pPr>
            <w:r>
              <w:rPr>
                <w:b/>
                <w:bCs/>
                <w:color w:val="1F2937"/>
                <w:sz w:val="20"/>
                <w:szCs w:val="20"/>
              </w:rPr>
              <w:t>Até 4 horas</w:t>
            </w:r>
          </w:p>
        </w:tc>
        <w:tc>
          <w:tcPr>
            <w:tcW w:w="369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EC1E8A8" w14:textId="77777777" w:rsidR="0039468C" w:rsidRDefault="00000000" w:rsidP="00263911">
            <w:r>
              <w:rPr>
                <w:color w:val="1F2937"/>
                <w:sz w:val="20"/>
                <w:szCs w:val="20"/>
              </w:rPr>
              <w:t>Situação de alto impacto que possivelmente coloque em risco o ambiente de produção. A apresentação de uma solução de contorno (workaround) também é considerada tempo de solução.</w:t>
            </w:r>
          </w:p>
        </w:tc>
      </w:tr>
      <w:tr w:rsidR="000025B6" w14:paraId="3EC3F82F"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D97706"/>
            <w:tcMar>
              <w:top w:w="100" w:type="dxa"/>
              <w:left w:w="140" w:type="dxa"/>
              <w:bottom w:w="100" w:type="dxa"/>
              <w:right w:w="140" w:type="dxa"/>
            </w:tcMar>
            <w:vAlign w:val="center"/>
          </w:tcPr>
          <w:p w14:paraId="108C93AA" w14:textId="77777777" w:rsidR="0039468C" w:rsidRDefault="00000000" w:rsidP="00263911">
            <w:pPr>
              <w:jc w:val="center"/>
            </w:pPr>
            <w:r>
              <w:rPr>
                <w:b/>
                <w:bCs/>
                <w:color w:val="FFFFFF"/>
              </w:rPr>
              <w:t>MÉDIA</w:t>
            </w:r>
          </w:p>
        </w:tc>
        <w:tc>
          <w:tcPr>
            <w:tcW w:w="1800"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7C09A2D7" w14:textId="77777777" w:rsidR="0039468C" w:rsidRDefault="00000000" w:rsidP="00263911">
            <w:pPr>
              <w:jc w:val="center"/>
            </w:pPr>
            <w:r>
              <w:rPr>
                <w:b/>
                <w:bCs/>
                <w:color w:val="1F2937"/>
                <w:sz w:val="20"/>
                <w:szCs w:val="20"/>
              </w:rPr>
              <w:t>Até 2 horas</w:t>
            </w:r>
          </w:p>
        </w:tc>
        <w:tc>
          <w:tcPr>
            <w:tcW w:w="2065"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18B91A41" w14:textId="77777777" w:rsidR="0039468C" w:rsidRDefault="00000000" w:rsidP="00263911">
            <w:pPr>
              <w:jc w:val="center"/>
            </w:pPr>
            <w:r>
              <w:rPr>
                <w:b/>
                <w:bCs/>
                <w:color w:val="1F2937"/>
                <w:sz w:val="20"/>
                <w:szCs w:val="20"/>
              </w:rPr>
              <w:t>Até 8 horas</w:t>
            </w:r>
          </w:p>
        </w:tc>
        <w:tc>
          <w:tcPr>
            <w:tcW w:w="3695" w:type="dxa"/>
            <w:tcBorders>
              <w:top w:val="single" w:sz="4" w:space="0" w:color="CBD5E1"/>
              <w:left w:val="single" w:sz="4" w:space="0" w:color="CBD5E1"/>
              <w:bottom w:val="single" w:sz="4" w:space="0" w:color="CBD5E1"/>
              <w:right w:val="single" w:sz="4" w:space="0" w:color="CBD5E1"/>
            </w:tcBorders>
            <w:shd w:val="clear" w:color="auto" w:fill="F5F6FB"/>
            <w:tcMar>
              <w:top w:w="100" w:type="dxa"/>
              <w:left w:w="140" w:type="dxa"/>
              <w:bottom w:w="100" w:type="dxa"/>
              <w:right w:w="140" w:type="dxa"/>
            </w:tcMar>
            <w:vAlign w:val="center"/>
          </w:tcPr>
          <w:p w14:paraId="1030E4BE" w14:textId="77777777" w:rsidR="0039468C" w:rsidRDefault="00000000" w:rsidP="00263911">
            <w:r>
              <w:rPr>
                <w:color w:val="1F2937"/>
                <w:sz w:val="20"/>
                <w:szCs w:val="20"/>
              </w:rPr>
              <w:t>Situação de baixo impacto, podendo a maioria das funções do software ser usada; entretanto, alguma intervenção pode ser necessária. A apresentação de workaround também é considerada tempo de solução.</w:t>
            </w:r>
          </w:p>
        </w:tc>
      </w:tr>
      <w:tr w:rsidR="000025B6" w14:paraId="5BD768E3" w14:textId="77777777" w:rsidTr="00263911">
        <w:tc>
          <w:tcPr>
            <w:tcW w:w="1800" w:type="dxa"/>
            <w:tcBorders>
              <w:top w:val="single" w:sz="4" w:space="0" w:color="CBD5E1"/>
              <w:left w:val="single" w:sz="4" w:space="0" w:color="CBD5E1"/>
              <w:bottom w:val="single" w:sz="4" w:space="0" w:color="CBD5E1"/>
              <w:right w:val="single" w:sz="4" w:space="0" w:color="CBD5E1"/>
            </w:tcBorders>
            <w:shd w:val="clear" w:color="auto" w:fill="059669"/>
            <w:tcMar>
              <w:top w:w="100" w:type="dxa"/>
              <w:left w:w="140" w:type="dxa"/>
              <w:bottom w:w="100" w:type="dxa"/>
              <w:right w:w="140" w:type="dxa"/>
            </w:tcMar>
            <w:vAlign w:val="center"/>
          </w:tcPr>
          <w:p w14:paraId="7F14EE86" w14:textId="77777777" w:rsidR="0039468C" w:rsidRDefault="00000000" w:rsidP="00263911">
            <w:pPr>
              <w:jc w:val="center"/>
            </w:pPr>
            <w:r>
              <w:rPr>
                <w:b/>
                <w:bCs/>
                <w:color w:val="FFFFFF"/>
              </w:rPr>
              <w:t>BAIXA</w:t>
            </w:r>
          </w:p>
        </w:tc>
        <w:tc>
          <w:tcPr>
            <w:tcW w:w="180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610F8782" w14:textId="77777777" w:rsidR="0039468C" w:rsidRDefault="00000000" w:rsidP="00263911">
            <w:pPr>
              <w:jc w:val="center"/>
            </w:pPr>
            <w:r>
              <w:rPr>
                <w:b/>
                <w:bCs/>
                <w:color w:val="1F2937"/>
                <w:sz w:val="20"/>
                <w:szCs w:val="20"/>
              </w:rPr>
              <w:t>Até 16 horas</w:t>
            </w:r>
          </w:p>
        </w:tc>
        <w:tc>
          <w:tcPr>
            <w:tcW w:w="20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BCE7798" w14:textId="77777777" w:rsidR="0039468C" w:rsidRDefault="00000000" w:rsidP="00263911">
            <w:pPr>
              <w:jc w:val="center"/>
            </w:pPr>
            <w:r>
              <w:rPr>
                <w:b/>
                <w:bCs/>
                <w:color w:val="1F2937"/>
                <w:sz w:val="20"/>
                <w:szCs w:val="20"/>
              </w:rPr>
              <w:t>Até 24 horas</w:t>
            </w:r>
          </w:p>
        </w:tc>
        <w:tc>
          <w:tcPr>
            <w:tcW w:w="369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vAlign w:val="center"/>
          </w:tcPr>
          <w:p w14:paraId="2ACED53E" w14:textId="77777777" w:rsidR="0039468C" w:rsidRDefault="00000000" w:rsidP="00263911">
            <w:r>
              <w:rPr>
                <w:color w:val="1F2937"/>
                <w:sz w:val="20"/>
                <w:szCs w:val="20"/>
              </w:rPr>
              <w:t>Solicitações de mudança, atualizações, gerenciamento de usuários, dúvidas, novas instalações ou publicações de aplicativos e outras ações planejadas.</w:t>
            </w:r>
          </w:p>
        </w:tc>
      </w:tr>
    </w:tbl>
    <w:p w14:paraId="5A1A0003" w14:textId="43317108" w:rsidR="0039468C" w:rsidRDefault="00263911">
      <w:pPr>
        <w:spacing w:after="60"/>
      </w:pPr>
      <w:r>
        <w:br w:type="textWrapping" w:clear="all"/>
      </w:r>
    </w:p>
    <w:p w14:paraId="5FE30D07" w14:textId="77777777" w:rsidR="00F227EA" w:rsidRDefault="00000000">
      <w:pPr>
        <w:pStyle w:val="Ttulo1"/>
        <w:keepNext/>
        <w:keepLines/>
        <w:pBdr>
          <w:bottom w:val="single" w:sz="6" w:space="4" w:color="6B46C1"/>
        </w:pBdr>
        <w:spacing w:before="320" w:after="140"/>
      </w:pPr>
      <w:r>
        <w:rPr>
          <w:rFonts w:ascii="Lato" w:eastAsia="Lato" w:hAnsi="Lato" w:cs="Lato"/>
          <w:b/>
          <w:bCs/>
          <w:color w:val="6B46C1"/>
          <w:sz w:val="30"/>
          <w:szCs w:val="30"/>
        </w:rPr>
        <w:t xml:space="preserve">12.  </w:t>
      </w:r>
      <w:r>
        <w:rPr>
          <w:rFonts w:ascii="Lato" w:eastAsia="Lato" w:hAnsi="Lato" w:cs="Lato"/>
          <w:b/>
          <w:bCs/>
          <w:color w:val="1F2A5E"/>
          <w:sz w:val="30"/>
          <w:szCs w:val="30"/>
        </w:rPr>
        <w:t>Papéis e Responsabilidades do Projeto</w:t>
      </w:r>
    </w:p>
    <w:tbl>
      <w:tblPr>
        <w:tblW w:w="10348" w:type="dxa"/>
        <w:tblBorders>
          <w:top w:val="single" w:sz="2" w:space="0" w:color="D1D5DB"/>
          <w:bottom w:val="single" w:sz="2" w:space="0" w:color="D1D5DB"/>
          <w:insideH w:val="single" w:sz="2" w:space="0" w:color="E5E7EB"/>
          <w:insideV w:val="single" w:sz="2" w:space="0" w:color="E5E7EB"/>
        </w:tblBorders>
        <w:tblCellMar>
          <w:left w:w="10" w:type="dxa"/>
          <w:right w:w="10" w:type="dxa"/>
        </w:tblCellMar>
        <w:tblLook w:val="04A0" w:firstRow="1" w:lastRow="0" w:firstColumn="1" w:lastColumn="0" w:noHBand="0" w:noVBand="1"/>
      </w:tblPr>
      <w:tblGrid>
        <w:gridCol w:w="3000"/>
        <w:gridCol w:w="4513"/>
        <w:gridCol w:w="2835"/>
      </w:tblGrid>
      <w:tr w:rsidR="00F227EA" w14:paraId="6D32BE7C" w14:textId="77777777" w:rsidTr="0017666D">
        <w:trPr>
          <w:tblHeader/>
        </w:trPr>
        <w:tc>
          <w:tcPr>
            <w:tcW w:w="3000" w:type="dxa"/>
            <w:shd w:val="clear" w:color="auto" w:fill="1F2A5E"/>
            <w:tcMar>
              <w:top w:w="60" w:type="dxa"/>
              <w:left w:w="100" w:type="dxa"/>
              <w:bottom w:w="60" w:type="dxa"/>
              <w:right w:w="100" w:type="dxa"/>
            </w:tcMar>
          </w:tcPr>
          <w:p w14:paraId="2477BF27" w14:textId="77777777" w:rsidR="00F227EA" w:rsidRDefault="00000000">
            <w:r>
              <w:rPr>
                <w:rFonts w:ascii="Lato" w:eastAsia="Lato" w:hAnsi="Lato" w:cs="Lato"/>
                <w:b/>
                <w:bCs/>
                <w:color w:val="FFFFFF"/>
                <w:sz w:val="19"/>
                <w:szCs w:val="19"/>
              </w:rPr>
              <w:t>Função / Área</w:t>
            </w:r>
          </w:p>
        </w:tc>
        <w:tc>
          <w:tcPr>
            <w:tcW w:w="4513" w:type="dxa"/>
            <w:shd w:val="clear" w:color="auto" w:fill="1F2A5E"/>
            <w:tcMar>
              <w:top w:w="60" w:type="dxa"/>
              <w:left w:w="100" w:type="dxa"/>
              <w:bottom w:w="60" w:type="dxa"/>
              <w:right w:w="100" w:type="dxa"/>
            </w:tcMar>
          </w:tcPr>
          <w:p w14:paraId="20ED0D71" w14:textId="77777777" w:rsidR="00F227EA" w:rsidRDefault="00000000">
            <w:r>
              <w:rPr>
                <w:rFonts w:ascii="Lato" w:eastAsia="Lato" w:hAnsi="Lato" w:cs="Lato"/>
                <w:b/>
                <w:bCs/>
                <w:color w:val="FFFFFF"/>
                <w:sz w:val="19"/>
                <w:szCs w:val="19"/>
              </w:rPr>
              <w:t>Responsabilidades</w:t>
            </w:r>
          </w:p>
        </w:tc>
        <w:tc>
          <w:tcPr>
            <w:tcW w:w="2835" w:type="dxa"/>
            <w:shd w:val="clear" w:color="auto" w:fill="1F2A5E"/>
            <w:tcMar>
              <w:top w:w="60" w:type="dxa"/>
              <w:left w:w="100" w:type="dxa"/>
              <w:bottom w:w="60" w:type="dxa"/>
              <w:right w:w="100" w:type="dxa"/>
            </w:tcMar>
          </w:tcPr>
          <w:p w14:paraId="41296C76" w14:textId="77777777" w:rsidR="00F227EA" w:rsidRDefault="00000000">
            <w:r>
              <w:rPr>
                <w:rFonts w:ascii="Lato" w:eastAsia="Lato" w:hAnsi="Lato" w:cs="Lato"/>
                <w:b/>
                <w:bCs/>
                <w:color w:val="FFFFFF"/>
                <w:sz w:val="19"/>
                <w:szCs w:val="19"/>
              </w:rPr>
              <w:t>Compromisso</w:t>
            </w:r>
          </w:p>
        </w:tc>
      </w:tr>
      <w:tr w:rsidR="00F227EA" w14:paraId="652C4FBB" w14:textId="77777777" w:rsidTr="0017666D">
        <w:tc>
          <w:tcPr>
            <w:tcW w:w="3000" w:type="dxa"/>
            <w:shd w:val="clear" w:color="auto" w:fill="E5E7EB"/>
            <w:tcMar>
              <w:top w:w="50" w:type="dxa"/>
              <w:left w:w="100" w:type="dxa"/>
              <w:bottom w:w="50" w:type="dxa"/>
              <w:right w:w="100" w:type="dxa"/>
            </w:tcMar>
          </w:tcPr>
          <w:p w14:paraId="4EC29029" w14:textId="77777777" w:rsidR="00F227EA" w:rsidRDefault="00000000">
            <w:r>
              <w:rPr>
                <w:b/>
                <w:bCs/>
                <w:sz w:val="19"/>
                <w:szCs w:val="19"/>
              </w:rPr>
              <w:t>Arquiteta de soluções</w:t>
            </w:r>
          </w:p>
        </w:tc>
        <w:tc>
          <w:tcPr>
            <w:tcW w:w="4513" w:type="dxa"/>
            <w:shd w:val="clear" w:color="auto" w:fill="E5E7EB"/>
            <w:tcMar>
              <w:top w:w="50" w:type="dxa"/>
              <w:left w:w="100" w:type="dxa"/>
              <w:bottom w:w="50" w:type="dxa"/>
              <w:right w:w="100" w:type="dxa"/>
            </w:tcMar>
          </w:tcPr>
          <w:p w14:paraId="19214B24" w14:textId="77777777" w:rsidR="00F227EA" w:rsidRDefault="00F227EA">
            <w:r>
              <w:t>Conduzir o levantamento e o desenho</w:t>
            </w:r>
          </w:p>
        </w:tc>
        <w:tc>
          <w:tcPr>
            <w:tcW w:w="2835" w:type="dxa"/>
            <w:shd w:val="clear" w:color="auto" w:fill="E5E7EB"/>
            <w:tcMar>
              <w:top w:w="50" w:type="dxa"/>
              <w:left w:w="100" w:type="dxa"/>
              <w:bottom w:w="50" w:type="dxa"/>
              <w:right w:w="100" w:type="dxa"/>
            </w:tcMar>
          </w:tcPr>
          <w:p w14:paraId="2D4C5A2E" w14:textId="77777777" w:rsidR="00F227EA" w:rsidRDefault="00F227EA">
            <w:r>
              <w:t>Fase 1 e Fase 2</w:t>
            </w:r>
          </w:p>
        </w:tc>
      </w:tr>
      <w:tr w:rsidR="00F227EA" w14:paraId="53D75110" w14:textId="77777777" w:rsidTr="0017666D">
        <w:tc>
          <w:tcPr>
            <w:tcW w:w="3000" w:type="dxa"/>
            <w:shd w:val="clear" w:color="auto" w:fill="F3F4F6"/>
            <w:tcMar>
              <w:top w:w="50" w:type="dxa"/>
              <w:left w:w="100" w:type="dxa"/>
              <w:bottom w:w="50" w:type="dxa"/>
              <w:right w:w="100" w:type="dxa"/>
            </w:tcMar>
          </w:tcPr>
          <w:p w14:paraId="6FFB9B89" w14:textId="77777777" w:rsidR="00F227EA" w:rsidRDefault="00000000">
            <w:r>
              <w:rPr>
                <w:sz w:val="19"/>
                <w:szCs w:val="19"/>
              </w:rPr>
              <w:t>Especialista de segurança Akamai</w:t>
            </w:r>
          </w:p>
        </w:tc>
        <w:tc>
          <w:tcPr>
            <w:tcW w:w="4513" w:type="dxa"/>
            <w:shd w:val="clear" w:color="auto" w:fill="F3F4F6"/>
            <w:tcMar>
              <w:top w:w="50" w:type="dxa"/>
              <w:left w:w="100" w:type="dxa"/>
              <w:bottom w:w="50" w:type="dxa"/>
              <w:right w:w="100" w:type="dxa"/>
            </w:tcMar>
          </w:tcPr>
          <w:p w14:paraId="228AD879" w14:textId="77777777" w:rsidR="00F227EA" w:rsidRDefault="00000000">
            <w:r>
              <w:rPr>
                <w:sz w:val="19"/>
                <w:szCs w:val="19"/>
              </w:rPr>
              <w:t>Desenhar e configurar as políticas de WAF, DDoS de aplicação e robôs</w:t>
            </w:r>
          </w:p>
        </w:tc>
        <w:tc>
          <w:tcPr>
            <w:tcW w:w="2835" w:type="dxa"/>
            <w:shd w:val="clear" w:color="auto" w:fill="F3F4F6"/>
            <w:tcMar>
              <w:top w:w="50" w:type="dxa"/>
              <w:left w:w="100" w:type="dxa"/>
              <w:bottom w:w="50" w:type="dxa"/>
              <w:right w:w="100" w:type="dxa"/>
            </w:tcMar>
          </w:tcPr>
          <w:p w14:paraId="439F5D9E" w14:textId="77777777" w:rsidR="00F227EA" w:rsidRDefault="00000000">
            <w:r>
              <w:rPr>
                <w:sz w:val="19"/>
                <w:szCs w:val="19"/>
              </w:rPr>
              <w:t>Fase 1 e Fase 2</w:t>
            </w:r>
          </w:p>
        </w:tc>
      </w:tr>
      <w:tr w:rsidR="00F227EA" w14:paraId="5B6E9CA2" w14:textId="77777777" w:rsidTr="0017666D">
        <w:tc>
          <w:tcPr>
            <w:tcW w:w="3000" w:type="dxa"/>
            <w:tcMar>
              <w:top w:w="50" w:type="dxa"/>
              <w:left w:w="100" w:type="dxa"/>
              <w:bottom w:w="50" w:type="dxa"/>
              <w:right w:w="100" w:type="dxa"/>
            </w:tcMar>
          </w:tcPr>
          <w:p w14:paraId="064DA46A" w14:textId="77777777" w:rsidR="00F227EA" w:rsidRDefault="00000000">
            <w:r>
              <w:rPr>
                <w:sz w:val="19"/>
                <w:szCs w:val="19"/>
              </w:rPr>
              <w:t>Executivo de contas</w:t>
            </w:r>
          </w:p>
        </w:tc>
        <w:tc>
          <w:tcPr>
            <w:tcW w:w="4513" w:type="dxa"/>
            <w:tcMar>
              <w:top w:w="50" w:type="dxa"/>
              <w:left w:w="100" w:type="dxa"/>
              <w:bottom w:w="50" w:type="dxa"/>
              <w:right w:w="100" w:type="dxa"/>
            </w:tcMar>
          </w:tcPr>
          <w:p w14:paraId="6BA92290" w14:textId="77777777" w:rsidR="00F227EA" w:rsidRDefault="00000000">
            <w:r>
              <w:rPr>
                <w:sz w:val="19"/>
                <w:szCs w:val="19"/>
              </w:rPr>
              <w:t>Acompanhar o engajamento e o licenciamento</w:t>
            </w:r>
          </w:p>
        </w:tc>
        <w:tc>
          <w:tcPr>
            <w:tcW w:w="2835" w:type="dxa"/>
            <w:tcMar>
              <w:top w:w="50" w:type="dxa"/>
              <w:left w:w="100" w:type="dxa"/>
              <w:bottom w:w="50" w:type="dxa"/>
              <w:right w:w="100" w:type="dxa"/>
            </w:tcMar>
          </w:tcPr>
          <w:p w14:paraId="529FE705" w14:textId="77777777" w:rsidR="00F227EA" w:rsidRDefault="00000000">
            <w:r>
              <w:rPr>
                <w:sz w:val="19"/>
                <w:szCs w:val="19"/>
              </w:rPr>
              <w:t>Fase 1 e Fase 2</w:t>
            </w:r>
          </w:p>
        </w:tc>
      </w:tr>
      <w:tr w:rsidR="00F227EA" w14:paraId="2EFB69EF" w14:textId="77777777" w:rsidTr="0017666D">
        <w:tc>
          <w:tcPr>
            <w:tcW w:w="3000" w:type="dxa"/>
            <w:shd w:val="clear" w:color="auto" w:fill="F3F4F6"/>
            <w:tcMar>
              <w:top w:w="50" w:type="dxa"/>
              <w:left w:w="100" w:type="dxa"/>
              <w:bottom w:w="50" w:type="dxa"/>
              <w:right w:w="100" w:type="dxa"/>
            </w:tcMar>
          </w:tcPr>
          <w:p w14:paraId="3D7BC952" w14:textId="77777777" w:rsidR="00F227EA" w:rsidRDefault="00000000">
            <w:r>
              <w:rPr>
                <w:sz w:val="19"/>
                <w:szCs w:val="19"/>
              </w:rPr>
              <w:t>Canais Digitais Solaris</w:t>
            </w:r>
          </w:p>
        </w:tc>
        <w:tc>
          <w:tcPr>
            <w:tcW w:w="4513" w:type="dxa"/>
            <w:shd w:val="clear" w:color="auto" w:fill="F3F4F6"/>
            <w:tcMar>
              <w:top w:w="50" w:type="dxa"/>
              <w:left w:w="100" w:type="dxa"/>
              <w:bottom w:w="50" w:type="dxa"/>
              <w:right w:w="100" w:type="dxa"/>
            </w:tcMar>
          </w:tcPr>
          <w:p w14:paraId="50E719CB" w14:textId="77777777" w:rsidR="00F227EA" w:rsidRDefault="00000000">
            <w:r>
              <w:rPr>
                <w:sz w:val="19"/>
                <w:szCs w:val="19"/>
              </w:rPr>
              <w:t>Disponibilizar informações do portal, das APIs e do app e aprovar o desenho.</w:t>
            </w:r>
          </w:p>
        </w:tc>
        <w:tc>
          <w:tcPr>
            <w:tcW w:w="2835" w:type="dxa"/>
            <w:shd w:val="clear" w:color="auto" w:fill="F3F4F6"/>
            <w:tcMar>
              <w:top w:w="50" w:type="dxa"/>
              <w:left w:w="100" w:type="dxa"/>
              <w:bottom w:w="50" w:type="dxa"/>
              <w:right w:w="100" w:type="dxa"/>
            </w:tcMar>
          </w:tcPr>
          <w:p w14:paraId="4CD553C4" w14:textId="77777777" w:rsidR="00F227EA" w:rsidRDefault="00000000">
            <w:r>
              <w:rPr>
                <w:sz w:val="19"/>
                <w:szCs w:val="19"/>
              </w:rPr>
              <w:t>Conforme plano</w:t>
            </w:r>
          </w:p>
        </w:tc>
      </w:tr>
      <w:tr w:rsidR="00F227EA" w14:paraId="19041142" w14:textId="77777777" w:rsidTr="0017666D">
        <w:tc>
          <w:tcPr>
            <w:tcW w:w="3000" w:type="dxa"/>
            <w:tcMar>
              <w:top w:w="50" w:type="dxa"/>
              <w:left w:w="100" w:type="dxa"/>
              <w:bottom w:w="50" w:type="dxa"/>
              <w:right w:w="100" w:type="dxa"/>
            </w:tcMar>
          </w:tcPr>
          <w:p>
            <w:r>
              <w:rPr>
                <w:sz w:val="19"/>
                <w:szCs w:val="19"/>
              </w:rPr>
              <w:t>Segurança Solaris</w:t>
            </w:r>
          </w:p>
        </w:tc>
        <w:tc>
          <w:tcPr>
            <w:tcW w:w="4513" w:type="dxa"/>
            <w:tcMar>
              <w:top w:w="50" w:type="dxa"/>
              <w:left w:w="100" w:type="dxa"/>
              <w:bottom w:w="50" w:type="dxa"/>
              <w:right w:w="100" w:type="dxa"/>
            </w:tcMar>
          </w:tcPr>
          <w:p w14:paraId="0A9EAE15" w14:textId="77777777" w:rsidR="00F227EA" w:rsidRDefault="00000000">
            <w:r>
              <w:rPr>
                <w:sz w:val="19"/>
                <w:szCs w:val="19"/>
              </w:rPr>
              <w:t>Fornecer histórico dos incidentes e validar as políticas de proteção.</w:t>
            </w:r>
          </w:p>
        </w:tc>
        <w:tc>
          <w:tcPr>
            <w:tcW w:w="2835" w:type="dxa"/>
            <w:tcMar>
              <w:top w:w="50" w:type="dxa"/>
              <w:left w:w="100" w:type="dxa"/>
              <w:bottom w:w="50" w:type="dxa"/>
              <w:right w:w="100" w:type="dxa"/>
            </w:tcMar>
          </w:tcPr>
          <w:p w14:paraId="04890EA9" w14:textId="77777777" w:rsidR="00F227EA" w:rsidRDefault="00000000">
            <w:r>
              <w:rPr>
                <w:sz w:val="19"/>
                <w:szCs w:val="19"/>
              </w:rPr>
              <w:t>Conforme plano</w:t>
            </w:r>
          </w:p>
        </w:tc>
      </w:tr>
      <w:tr w:rsidR="00F227EA" w14:paraId="244B3390" w14:textId="77777777" w:rsidTr="0017666D">
        <w:tc>
          <w:tcPr>
            <w:tcW w:w="3000" w:type="dxa"/>
            <w:shd w:val="clear" w:color="auto" w:fill="F3F4F6"/>
            <w:tcMar>
              <w:top w:w="50" w:type="dxa"/>
              <w:left w:w="100" w:type="dxa"/>
              <w:bottom w:w="50" w:type="dxa"/>
              <w:right w:w="100" w:type="dxa"/>
            </w:tcMar>
          </w:tcPr>
          <w:p>
            <w:r>
              <w:rPr>
                <w:sz w:val="19"/>
                <w:szCs w:val="19"/>
              </w:rPr>
              <w:t>Infraestrutura Solaris</w:t>
            </w:r>
          </w:p>
        </w:tc>
        <w:tc>
          <w:tcPr>
            <w:tcW w:w="4513" w:type="dxa"/>
            <w:shd w:val="clear" w:color="auto" w:fill="F3F4F6"/>
            <w:tcMar>
              <w:top w:w="50" w:type="dxa"/>
              <w:left w:w="100" w:type="dxa"/>
              <w:bottom w:w="50" w:type="dxa"/>
              <w:right w:w="100" w:type="dxa"/>
            </w:tcMar>
          </w:tcPr>
          <w:p w14:paraId="241EBDEA" w14:textId="77777777" w:rsidR="00F227EA" w:rsidRDefault="00000000">
            <w:r>
              <w:rPr>
                <w:sz w:val="19"/>
                <w:szCs w:val="19"/>
              </w:rPr>
              <w:t>Fornecer a topologia do datacenter e da nuvem pública e executar as mudanças nas origens e no DNS atual.</w:t>
            </w:r>
          </w:p>
        </w:tc>
        <w:tc>
          <w:tcPr>
            <w:tcW w:w="2835" w:type="dxa"/>
            <w:shd w:val="clear" w:color="auto" w:fill="F3F4F6"/>
            <w:tcMar>
              <w:top w:w="50" w:type="dxa"/>
              <w:left w:w="100" w:type="dxa"/>
              <w:bottom w:w="50" w:type="dxa"/>
              <w:right w:w="100" w:type="dxa"/>
            </w:tcMar>
          </w:tcPr>
          <w:p w14:paraId="4A687487" w14:textId="77777777" w:rsidR="00F227EA" w:rsidRDefault="00000000">
            <w:r>
              <w:rPr>
                <w:sz w:val="19"/>
                <w:szCs w:val="19"/>
              </w:rPr>
              <w:t>Conforme plano</w:t>
            </w:r>
          </w:p>
        </w:tc>
      </w:tr>
    </w:tbl>
    <w:p w14:paraId="68A0A745" w14:textId="77777777" w:rsidR="00263911" w:rsidRDefault="00263911">
      <w:pPr>
        <w:pStyle w:val="Ttulo1"/>
        <w:keepNext/>
        <w:keepLines/>
        <w:pBdr>
          <w:bottom w:val="single" w:sz="6" w:space="4" w:color="6B46C1"/>
        </w:pBdr>
        <w:spacing w:before="320" w:after="140"/>
        <w:rPr>
          <w:rFonts w:ascii="Lato" w:eastAsia="Lato" w:hAnsi="Lato" w:cs="Lato"/>
          <w:b/>
          <w:bCs/>
          <w:color w:val="6B46C1"/>
          <w:sz w:val="30"/>
          <w:szCs w:val="30"/>
        </w:rPr>
      </w:pPr>
    </w:p>
    <w:p w14:paraId="4BCE6B76" w14:textId="17B07C63" w:rsidR="00F227EA" w:rsidRDefault="00000000">
      <w:pPr>
        <w:pStyle w:val="Ttulo1"/>
        <w:keepNext/>
        <w:keepLines/>
        <w:pageBreakBefore w:val="0"/>
        <w:pBdr>
          <w:bottom w:val="single" w:sz="6" w:space="4" w:color="6B46C1"/>
        </w:pBdr>
        <w:spacing w:before="320" w:after="140"/>
      </w:pPr>
      <w:r>
        <w:rPr>
          <w:rFonts w:ascii="Lato" w:eastAsia="Lato" w:hAnsi="Lato" w:cs="Lato"/>
          <w:b/>
          <w:bCs/>
          <w:color w:val="6B46C1"/>
          <w:sz w:val="30"/>
          <w:szCs w:val="30"/>
        </w:rPr>
        <w:lastRenderedPageBreak/>
        <w:t xml:space="preserve">13.  </w:t>
      </w:r>
      <w:r>
        <w:rPr>
          <w:rFonts w:ascii="Lato" w:eastAsia="Lato" w:hAnsi="Lato" w:cs="Lato"/>
          <w:b/>
          <w:bCs/>
          <w:color w:val="1F2A5E"/>
          <w:sz w:val="30"/>
          <w:szCs w:val="30"/>
        </w:rPr>
        <w:t>Nota de Confidencialidade</w:t>
      </w:r>
    </w:p>
    <w:p>
      <w:pPr>
        <w:keepNext/>
        <w:spacing w:after="120" w:line="276" w:lineRule="auto"/>
      </w:pPr>
      <w:r>
        <w:t>Todas as informações deste documento são confidenciais e destinam-se exclusivamente à avaliação da proposta por Solaris Energia e pela POPULOS.</w:t>
      </w:r>
    </w:p>
    <w:p>
      <w:pPr>
        <w:keepNext/>
        <w:spacing w:after="200" w:line="276" w:lineRule="auto"/>
      </w:pPr>
      <w:r>
        <w:t>Os direitos de propriedade intelectual sobre trabalhos preexistentes, roteiros de instalação, automações e métodos da POPULOS permanecem com a POPULOS. A documentação técnica específica do ambiente será entregue a Solaris Energia conforme o escopo aprovado.</w:t>
      </w:r>
    </w:p>
    <w:p w14:paraId="797633B9" w14:textId="77777777" w:rsidR="00BD500C" w:rsidRDefault="00BD500C">
      <w:pPr>
        <w:spacing w:after="200" w:line="276" w:lineRule="auto"/>
      </w:pPr>
    </w:p>
    <w:tbl>
      <w:tblPr>
        <w:tblW w:w="10080" w:type="dxa"/>
        <w:tblBorders>
          <w:top w:val="single" w:sz="2" w:space="0" w:color="E5E7EB"/>
          <w:left w:val="single" w:sz="24" w:space="0" w:color="6B46C1"/>
          <w:bottom w:val="single" w:sz="2" w:space="0" w:color="E5E7EB"/>
          <w:right w:val="single" w:sz="2" w:space="0" w:color="E5E7EB"/>
        </w:tblBorders>
        <w:tblCellMar>
          <w:left w:w="10" w:type="dxa"/>
          <w:right w:w="10" w:type="dxa"/>
        </w:tblCellMar>
        <w:tblLook w:val="04A0" w:firstRow="1" w:lastRow="0" w:firstColumn="1" w:lastColumn="0" w:noHBand="0" w:noVBand="1"/>
      </w:tblPr>
      <w:tblGrid>
        <w:gridCol w:w="10080"/>
      </w:tblGrid>
      <w:tr w:rsidR="00F227EA" w14:paraId="5F04289C" w14:textId="77777777">
        <w:trPr>
          <w:cantSplit/>
        </w:trPr>
        <w:tc>
          <w:tcPr>
            <w:tcW w:w="10080" w:type="dxa"/>
            <w:shd w:val="clear" w:color="auto" w:fill="F9FAFB"/>
            <w:tcMar>
              <w:top w:w="120" w:type="dxa"/>
              <w:left w:w="200" w:type="dxa"/>
              <w:bottom w:w="120" w:type="dxa"/>
              <w:right w:w="200" w:type="dxa"/>
            </w:tcMar>
          </w:tcPr>
          <w:p w14:paraId="7A1FA577" w14:textId="77777777" w:rsidR="00F227EA" w:rsidRPr="00803FB7" w:rsidRDefault="00000000">
            <w:pPr>
              <w:spacing w:after="60"/>
              <w:rPr>
                <w:lang w:val="en-US"/>
              </w:rPr>
            </w:pPr>
            <w:r>
              <w:rPr>
                <w:rFonts w:ascii="Lato" w:eastAsia="Lato" w:hAnsi="Lato" w:cs="Lato"/>
                <w:b/>
                <w:bCs/>
                <w:color w:val="1F2A5E"/>
                <w:lang w:val="en-US"/>
              </w:rPr>
              <w:t>POPULOS — Enterprise Sales</w:t>
            </w:r>
          </w:p>
          <w:p w14:paraId="2B1BD1D3" w14:textId="2AAA9464" w:rsidR="00F227EA" w:rsidRPr="00803FB7" w:rsidRDefault="00BD500C">
            <w:pPr>
              <w:spacing w:after="40" w:line="276" w:lineRule="auto"/>
              <w:rPr>
                <w:lang w:val="en-US"/>
              </w:rPr>
            </w:pPr>
            <w:r>
              <w:rPr>
                <w:lang w:val="en-US"/>
              </w:rPr>
              <w:t>Brazil |  +55 (11) 3021-3761</w:t>
            </w:r>
          </w:p>
          <w:p w14:paraId="654D4E69" w14:textId="77777777" w:rsidR="00F227EA" w:rsidRPr="00803FB7" w:rsidRDefault="00000000">
            <w:pPr>
              <w:spacing w:after="20" w:line="276" w:lineRule="auto"/>
              <w:rPr>
                <w:lang w:val="en-US"/>
              </w:rPr>
            </w:pPr>
            <w:r>
              <w:rPr>
                <w:b/>
                <w:bCs/>
                <w:lang w:val="en-US"/>
              </w:rPr>
              <w:t>Locations</w:t>
            </w:r>
          </w:p>
          <w:p w14:paraId="61C60C47" w14:textId="77777777" w:rsidR="00F227EA" w:rsidRPr="00803FB7" w:rsidRDefault="00000000">
            <w:pPr>
              <w:spacing w:after="20" w:line="276" w:lineRule="auto"/>
              <w:rPr>
                <w:lang w:val="en-US"/>
              </w:rPr>
            </w:pPr>
            <w:r>
              <w:rPr>
                <w:lang w:val="en-US"/>
              </w:rPr>
              <w:t>Deerfield Beach — 3275 W Hillsboro BLVD, FL 33442, United States</w:t>
            </w:r>
          </w:p>
          <w:p w14:paraId="05D1DC7C" w14:textId="77777777" w:rsidR="00F227EA" w:rsidRDefault="00000000">
            <w:pPr>
              <w:spacing w:line="276" w:lineRule="auto"/>
            </w:pPr>
            <w:r>
              <w:t>Av. Tamboré, 267 — Alphaville, Barueri — SP, 06460-000, Brasil</w:t>
            </w:r>
          </w:p>
        </w:tc>
      </w:tr>
    </w:tbl>
    <w:p w14:paraId="4403C193" w14:textId="77777777" w:rsidR="00263911" w:rsidRDefault="00263911" w:rsidP="00BE28E3">
      <w:pPr>
        <w:spacing w:before="100"/>
        <w:jc w:val="center"/>
        <w:rPr>
          <w:i/>
          <w:iCs/>
          <w:color w:val="6B7280"/>
          <w:sz w:val="15"/>
          <w:szCs w:val="15"/>
          <w:lang w:val="en-US"/>
        </w:rPr>
      </w:pPr>
    </w:p>
    <w:p w14:paraId="3D96BEEA" w14:textId="763E02F1" w:rsidR="00F227EA" w:rsidRPr="00803FB7" w:rsidRDefault="00000000" w:rsidP="00BE28E3">
      <w:pPr>
        <w:spacing w:before="100"/>
        <w:jc w:val="center"/>
        <w:rPr>
          <w:lang w:val="en-US"/>
        </w:rPr>
      </w:pPr>
      <w:r>
        <w:rPr>
          <w:i/>
          <w:iCs/>
          <w:color w:val="6B7280"/>
          <w:sz w:val="15"/>
          <w:szCs w:val="15"/>
          <w:lang w:val="en-US"/>
        </w:rPr>
        <w:t>Copyright © POPULOS. All rights reserved. POPULOS, the POPULOS logo, and other marks appearing herein are property of POPULOS Technology and/or one or more of its subsidiaries. All other marks are the property of their respective owners.</w:t>
      </w:r>
    </w:p>
    <w:sectPr w:rsidR="00F227EA" w:rsidRPr="00803FB7" w:rsidSect="00BC59F2">
      <w:headerReference w:type="default" r:id="rId17"/>
      <w:footerReference w:type="default" r:id="rId18"/>
      <w:pgSz w:w="12240" w:h="15840"/>
      <w:pgMar w:top="1304" w:right="1077" w:bottom="1304"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B45C6" w14:textId="77777777" w:rsidR="005854F8" w:rsidRDefault="005854F8">
      <w:r>
        <w:separator/>
      </w:r>
    </w:p>
  </w:endnote>
  <w:endnote w:type="continuationSeparator" w:id="0">
    <w:p w14:paraId="04629C59" w14:textId="77777777" w:rsidR="005854F8" w:rsidRDefault="00585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625736" w14:textId="77777777" w:rsidR="00F53D0F"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0F5DD" w14:textId="77777777" w:rsidR="00F53D0F"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3EFD0" w14:textId="3D368F95" w:rsidR="00F227EA" w:rsidRDefault="009F3C05">
    <w:pPr>
      <w:pBdr>
        <w:top w:val="single" w:sz="6" w:space="4" w:color="6B46C1"/>
      </w:pBdr>
      <w:jc w:val="center"/>
    </w:pPr>
    <w:r>
      <w:rPr>
        <w:color w:val="6B7280"/>
        <w:sz w:val="16"/>
        <w:szCs w:val="16"/>
      </w:rPr>
      <w:t xml:space="preserve">POPULOS | AKAMAI Partner | Página </w:t>
    </w:r>
    <w:r>
      <w:rPr>
        <w:b/>
        <w:bCs/>
        <w:color w:val="1F2A5E"/>
        <w:sz w:val="16"/>
        <w:szCs w:val="16"/>
      </w:rPr>
      <w:fldChar w:fldCharType="begin"/>
    </w:r>
    <w:r>
      <w:rPr>
        <w:b/>
        <w:bCs/>
        <w:color w:val="1F2A5E"/>
        <w:sz w:val="16"/>
        <w:szCs w:val="16"/>
      </w:rPr>
      <w:instrText>PAGE</w:instrText>
    </w:r>
    <w:r>
      <w:rPr>
        <w:b/>
        <w:bCs/>
        <w:color w:val="1F2A5E"/>
        <w:sz w:val="16"/>
        <w:szCs w:val="16"/>
      </w:rPr>
      <w:fldChar w:fldCharType="separate"/>
    </w:r>
    <w:r w:rsidR="00803FB7">
      <w:rPr>
        <w:b/>
        <w:bCs/>
        <w:noProof/>
        <w:color w:val="1F2A5E"/>
        <w:sz w:val="16"/>
        <w:szCs w:val="16"/>
      </w:rPr>
      <w:t>2</w:t>
    </w:r>
    <w:r>
      <w:rPr>
        <w:b/>
        <w:bCs/>
        <w:color w:val="1F2A5E"/>
        <w:sz w:val="16"/>
        <w:szCs w:val="16"/>
      </w:rPr>
      <w:fldChar w:fldCharType="end"/>
    </w:r>
    <w:r>
      <w:rPr>
        <w:color w:val="6B7280"/>
        <w:sz w:val="16"/>
        <w:szCs w:val="16"/>
      </w:rPr>
      <w:t xml:space="preserve"> de </w:t>
    </w:r>
    <w:r>
      <w:rPr>
        <w:b/>
        <w:bCs/>
        <w:color w:val="1F2A5E"/>
        <w:sz w:val="16"/>
        <w:szCs w:val="16"/>
      </w:rPr>
      <w:fldChar w:fldCharType="begin"/>
    </w:r>
    <w:r>
      <w:rPr>
        <w:b/>
        <w:bCs/>
        <w:color w:val="1F2A5E"/>
        <w:sz w:val="16"/>
        <w:szCs w:val="16"/>
      </w:rPr>
      <w:instrText>NUMPAGES</w:instrText>
    </w:r>
    <w:r>
      <w:rPr>
        <w:b/>
        <w:bCs/>
        <w:color w:val="1F2A5E"/>
        <w:sz w:val="16"/>
        <w:szCs w:val="16"/>
      </w:rPr>
      <w:fldChar w:fldCharType="separate"/>
    </w:r>
    <w:r w:rsidR="00803FB7">
      <w:rPr>
        <w:b/>
        <w:bCs/>
        <w:noProof/>
        <w:color w:val="1F2A5E"/>
        <w:sz w:val="16"/>
        <w:szCs w:val="16"/>
      </w:rPr>
      <w:t>3</w:t>
    </w:r>
    <w:r>
      <w:rPr>
        <w:b/>
        <w:bCs/>
        <w:color w:val="1F2A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A7FB05" w14:textId="77777777" w:rsidR="005854F8" w:rsidRDefault="005854F8">
      <w:r>
        <w:separator/>
      </w:r>
    </w:p>
  </w:footnote>
  <w:footnote w:type="continuationSeparator" w:id="0">
    <w:p w14:paraId="05B877FB" w14:textId="77777777" w:rsidR="005854F8" w:rsidRDefault="00585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42FFF6" w14:textId="77777777" w:rsidR="00F53D0F"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87A19" w14:textId="77777777" w:rsidR="00F53D0F"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4DE86" w14:textId="541B9CF5" w:rsidR="00F227EA" w:rsidRPr="00841401" w:rsidRDefault="00000000" w:rsidP="00841401">
    <w:pPr>
      <w:pBdr>
        <w:bottom w:val="single" w:sz="6" w:space="4" w:color="6B46C1"/>
      </w:pBdr>
      <w:jc w:val="right"/>
      <w:rPr>
        <w:color w:val="6B7280"/>
        <w:sz w:val="18"/>
        <w:szCs w:val="18"/>
      </w:rPr>
    </w:pPr>
    <w:r>
      <w:rPr>
        <w:b/>
        <w:bCs/>
        <w:color w:val="1F2A5E"/>
        <w:sz w:val="18"/>
        <w:szCs w:val="18"/>
      </w:rPr>
      <w:t>PROPOSTA TÉCNICA | Proteção e continuidade do portal do cliente - Solaris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8130EA"/>
    <w:multiLevelType w:val="hybridMultilevel"/>
    <w:tmpl w:val="EB1C226E"/>
    <w:lvl w:ilvl="0" w:tplc="B4B4DADA">
      <w:start w:val="1"/>
      <w:numFmt w:val="bullet"/>
      <w:lvlText w:val="●"/>
      <w:lvlJc w:val="left"/>
      <w:pPr>
        <w:ind w:left="560" w:hanging="360"/>
      </w:pPr>
      <w:rPr>
        <w:color w:val="6B46C1"/>
        <w:sz w:val="22"/>
        <w:szCs w:val="22"/>
      </w:rPr>
    </w:lvl>
    <w:lvl w:ilvl="1" w:tplc="4572AA4A">
      <w:start w:val="1"/>
      <w:numFmt w:val="bullet"/>
      <w:lvlText w:val="◦"/>
      <w:lvlJc w:val="left"/>
      <w:pPr>
        <w:ind w:left="900" w:hanging="260"/>
      </w:pPr>
    </w:lvl>
    <w:lvl w:ilvl="2" w:tplc="5D949178">
      <w:numFmt w:val="decimal"/>
      <w:lvlText w:val=""/>
      <w:lvlJc w:val="left"/>
    </w:lvl>
    <w:lvl w:ilvl="3" w:tplc="3BAA3BFE">
      <w:numFmt w:val="decimal"/>
      <w:lvlText w:val=""/>
      <w:lvlJc w:val="left"/>
    </w:lvl>
    <w:lvl w:ilvl="4" w:tplc="EE0013DC">
      <w:numFmt w:val="decimal"/>
      <w:lvlText w:val=""/>
      <w:lvlJc w:val="left"/>
    </w:lvl>
    <w:lvl w:ilvl="5" w:tplc="1FBE12FA">
      <w:numFmt w:val="decimal"/>
      <w:lvlText w:val=""/>
      <w:lvlJc w:val="left"/>
    </w:lvl>
    <w:lvl w:ilvl="6" w:tplc="4E928B7C">
      <w:numFmt w:val="decimal"/>
      <w:lvlText w:val=""/>
      <w:lvlJc w:val="left"/>
    </w:lvl>
    <w:lvl w:ilvl="7" w:tplc="77986DFE">
      <w:numFmt w:val="decimal"/>
      <w:lvlText w:val=""/>
      <w:lvlJc w:val="left"/>
    </w:lvl>
    <w:lvl w:ilvl="8" w:tplc="42644CDA">
      <w:numFmt w:val="decimal"/>
      <w:lvlText w:val=""/>
      <w:lvlJc w:val="left"/>
    </w:lvl>
  </w:abstractNum>
  <w:abstractNum w:abstractNumId="1" w15:restartNumberingAfterBreak="0">
    <w:nsid w:val="6A07502B"/>
    <w:multiLevelType w:val="hybridMultilevel"/>
    <w:tmpl w:val="AC2A4652"/>
    <w:lvl w:ilvl="0" w:tplc="4F3078CE">
      <w:start w:val="1"/>
      <w:numFmt w:val="bullet"/>
      <w:lvlText w:val="●"/>
      <w:lvlJc w:val="left"/>
      <w:pPr>
        <w:ind w:left="720" w:hanging="360"/>
      </w:pPr>
    </w:lvl>
    <w:lvl w:ilvl="1" w:tplc="F58CB7D2">
      <w:start w:val="1"/>
      <w:numFmt w:val="bullet"/>
      <w:lvlText w:val="○"/>
      <w:lvlJc w:val="left"/>
      <w:pPr>
        <w:ind w:left="1440" w:hanging="360"/>
      </w:pPr>
    </w:lvl>
    <w:lvl w:ilvl="2" w:tplc="725A7476">
      <w:start w:val="1"/>
      <w:numFmt w:val="bullet"/>
      <w:lvlText w:val="■"/>
      <w:lvlJc w:val="left"/>
      <w:pPr>
        <w:ind w:left="2160" w:hanging="360"/>
      </w:pPr>
    </w:lvl>
    <w:lvl w:ilvl="3" w:tplc="5B1803F2">
      <w:start w:val="1"/>
      <w:numFmt w:val="bullet"/>
      <w:lvlText w:val="●"/>
      <w:lvlJc w:val="left"/>
      <w:pPr>
        <w:ind w:left="2880" w:hanging="360"/>
      </w:pPr>
    </w:lvl>
    <w:lvl w:ilvl="4" w:tplc="AB486F06">
      <w:start w:val="1"/>
      <w:numFmt w:val="bullet"/>
      <w:lvlText w:val="○"/>
      <w:lvlJc w:val="left"/>
      <w:pPr>
        <w:ind w:left="3600" w:hanging="360"/>
      </w:pPr>
    </w:lvl>
    <w:lvl w:ilvl="5" w:tplc="BDB2E41A">
      <w:start w:val="1"/>
      <w:numFmt w:val="bullet"/>
      <w:lvlText w:val="■"/>
      <w:lvlJc w:val="left"/>
      <w:pPr>
        <w:ind w:left="4320" w:hanging="360"/>
      </w:pPr>
    </w:lvl>
    <w:lvl w:ilvl="6" w:tplc="4A80A58C">
      <w:start w:val="1"/>
      <w:numFmt w:val="bullet"/>
      <w:lvlText w:val="●"/>
      <w:lvlJc w:val="left"/>
      <w:pPr>
        <w:ind w:left="5040" w:hanging="360"/>
      </w:pPr>
    </w:lvl>
    <w:lvl w:ilvl="7" w:tplc="99FA9986">
      <w:start w:val="1"/>
      <w:numFmt w:val="bullet"/>
      <w:lvlText w:val="●"/>
      <w:lvlJc w:val="left"/>
      <w:pPr>
        <w:ind w:left="5760" w:hanging="360"/>
      </w:pPr>
    </w:lvl>
    <w:lvl w:ilvl="8" w:tplc="1B6682CC">
      <w:start w:val="1"/>
      <w:numFmt w:val="bullet"/>
      <w:lvlText w:val="●"/>
      <w:lvlJc w:val="left"/>
      <w:pPr>
        <w:ind w:left="6480" w:hanging="360"/>
      </w:pPr>
    </w:lvl>
  </w:abstractNum>
  <w:abstractNum w:abstractNumId="2" w15:restartNumberingAfterBreak="0">
    <w:nsid w:val="748140C5"/>
    <w:multiLevelType w:val="hybridMultilevel"/>
    <w:tmpl w:val="067292E6"/>
    <w:lvl w:ilvl="0" w:tplc="B4B4DADA">
      <w:start w:val="1"/>
      <w:numFmt w:val="bullet"/>
      <w:lvlText w:val="●"/>
      <w:lvlJc w:val="left"/>
      <w:pPr>
        <w:ind w:left="763" w:hanging="360"/>
      </w:pPr>
      <w:rPr>
        <w:rFonts w:hint="default"/>
        <w:color w:val="6B46C1"/>
        <w:sz w:val="22"/>
        <w:szCs w:val="22"/>
      </w:rPr>
    </w:lvl>
    <w:lvl w:ilvl="1" w:tplc="04160003" w:tentative="1">
      <w:start w:val="1"/>
      <w:numFmt w:val="bullet"/>
      <w:lvlText w:val="o"/>
      <w:lvlJc w:val="left"/>
      <w:pPr>
        <w:ind w:left="1483" w:hanging="360"/>
      </w:pPr>
      <w:rPr>
        <w:rFonts w:ascii="Courier New" w:hAnsi="Courier New" w:cs="Courier New" w:hint="default"/>
      </w:rPr>
    </w:lvl>
    <w:lvl w:ilvl="2" w:tplc="04160005" w:tentative="1">
      <w:start w:val="1"/>
      <w:numFmt w:val="bullet"/>
      <w:lvlText w:val=""/>
      <w:lvlJc w:val="left"/>
      <w:pPr>
        <w:ind w:left="2203" w:hanging="360"/>
      </w:pPr>
      <w:rPr>
        <w:rFonts w:ascii="Wingdings" w:hAnsi="Wingdings" w:hint="default"/>
      </w:rPr>
    </w:lvl>
    <w:lvl w:ilvl="3" w:tplc="04160001" w:tentative="1">
      <w:start w:val="1"/>
      <w:numFmt w:val="bullet"/>
      <w:lvlText w:val=""/>
      <w:lvlJc w:val="left"/>
      <w:pPr>
        <w:ind w:left="2923" w:hanging="360"/>
      </w:pPr>
      <w:rPr>
        <w:rFonts w:ascii="Symbol" w:hAnsi="Symbol" w:hint="default"/>
      </w:rPr>
    </w:lvl>
    <w:lvl w:ilvl="4" w:tplc="04160003" w:tentative="1">
      <w:start w:val="1"/>
      <w:numFmt w:val="bullet"/>
      <w:lvlText w:val="o"/>
      <w:lvlJc w:val="left"/>
      <w:pPr>
        <w:ind w:left="3643" w:hanging="360"/>
      </w:pPr>
      <w:rPr>
        <w:rFonts w:ascii="Courier New" w:hAnsi="Courier New" w:cs="Courier New" w:hint="default"/>
      </w:rPr>
    </w:lvl>
    <w:lvl w:ilvl="5" w:tplc="04160005" w:tentative="1">
      <w:start w:val="1"/>
      <w:numFmt w:val="bullet"/>
      <w:lvlText w:val=""/>
      <w:lvlJc w:val="left"/>
      <w:pPr>
        <w:ind w:left="4363" w:hanging="360"/>
      </w:pPr>
      <w:rPr>
        <w:rFonts w:ascii="Wingdings" w:hAnsi="Wingdings" w:hint="default"/>
      </w:rPr>
    </w:lvl>
    <w:lvl w:ilvl="6" w:tplc="04160001" w:tentative="1">
      <w:start w:val="1"/>
      <w:numFmt w:val="bullet"/>
      <w:lvlText w:val=""/>
      <w:lvlJc w:val="left"/>
      <w:pPr>
        <w:ind w:left="5083" w:hanging="360"/>
      </w:pPr>
      <w:rPr>
        <w:rFonts w:ascii="Symbol" w:hAnsi="Symbol" w:hint="default"/>
      </w:rPr>
    </w:lvl>
    <w:lvl w:ilvl="7" w:tplc="04160003" w:tentative="1">
      <w:start w:val="1"/>
      <w:numFmt w:val="bullet"/>
      <w:lvlText w:val="o"/>
      <w:lvlJc w:val="left"/>
      <w:pPr>
        <w:ind w:left="5803" w:hanging="360"/>
      </w:pPr>
      <w:rPr>
        <w:rFonts w:ascii="Courier New" w:hAnsi="Courier New" w:cs="Courier New" w:hint="default"/>
      </w:rPr>
    </w:lvl>
    <w:lvl w:ilvl="8" w:tplc="04160005" w:tentative="1">
      <w:start w:val="1"/>
      <w:numFmt w:val="bullet"/>
      <w:lvlText w:val=""/>
      <w:lvlJc w:val="left"/>
      <w:pPr>
        <w:ind w:left="6523" w:hanging="360"/>
      </w:pPr>
      <w:rPr>
        <w:rFonts w:ascii="Wingdings" w:hAnsi="Wingdings" w:hint="default"/>
      </w:rPr>
    </w:lvl>
  </w:abstractNum>
  <w:num w:numId="1" w16cid:durableId="77605820">
    <w:abstractNumId w:val="1"/>
    <w:lvlOverride w:ilvl="0">
      <w:startOverride w:val="1"/>
    </w:lvlOverride>
  </w:num>
  <w:num w:numId="2" w16cid:durableId="1448089016">
    <w:abstractNumId w:val="0"/>
  </w:num>
  <w:num w:numId="3" w16cid:durableId="1596523485">
    <w:abstractNumId w:val="2"/>
  </w:num>
  <w:num w:numId="4" w16cid:durableId="8555763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EA"/>
    <w:rsid w:val="00040C3A"/>
    <w:rsid w:val="000439AE"/>
    <w:rsid w:val="00061930"/>
    <w:rsid w:val="000637DB"/>
    <w:rsid w:val="000B2FDA"/>
    <w:rsid w:val="000D66FE"/>
    <w:rsid w:val="000F4CAE"/>
    <w:rsid w:val="00122D97"/>
    <w:rsid w:val="00123062"/>
    <w:rsid w:val="00124352"/>
    <w:rsid w:val="0017666D"/>
    <w:rsid w:val="001D6306"/>
    <w:rsid w:val="00201DA6"/>
    <w:rsid w:val="00263911"/>
    <w:rsid w:val="002B62A7"/>
    <w:rsid w:val="003212B8"/>
    <w:rsid w:val="00367582"/>
    <w:rsid w:val="00384C04"/>
    <w:rsid w:val="0039468C"/>
    <w:rsid w:val="003D6743"/>
    <w:rsid w:val="003D68CE"/>
    <w:rsid w:val="004236FB"/>
    <w:rsid w:val="004260B1"/>
    <w:rsid w:val="004A0FD6"/>
    <w:rsid w:val="004D3A65"/>
    <w:rsid w:val="00563A4C"/>
    <w:rsid w:val="00585448"/>
    <w:rsid w:val="005854F8"/>
    <w:rsid w:val="005E1836"/>
    <w:rsid w:val="005E72CB"/>
    <w:rsid w:val="005F7E51"/>
    <w:rsid w:val="006161F1"/>
    <w:rsid w:val="00657CD9"/>
    <w:rsid w:val="00664B6A"/>
    <w:rsid w:val="006A41E5"/>
    <w:rsid w:val="007576C4"/>
    <w:rsid w:val="00803FB7"/>
    <w:rsid w:val="0081108E"/>
    <w:rsid w:val="00821580"/>
    <w:rsid w:val="00841401"/>
    <w:rsid w:val="008B4400"/>
    <w:rsid w:val="008D0CE0"/>
    <w:rsid w:val="008E6617"/>
    <w:rsid w:val="0093334E"/>
    <w:rsid w:val="00944AC1"/>
    <w:rsid w:val="00965FFC"/>
    <w:rsid w:val="009E38D4"/>
    <w:rsid w:val="009E74E3"/>
    <w:rsid w:val="009F3C05"/>
    <w:rsid w:val="00A1027D"/>
    <w:rsid w:val="00AC3773"/>
    <w:rsid w:val="00AD7401"/>
    <w:rsid w:val="00B511D1"/>
    <w:rsid w:val="00B55639"/>
    <w:rsid w:val="00BB0D50"/>
    <w:rsid w:val="00BB2913"/>
    <w:rsid w:val="00BC59F2"/>
    <w:rsid w:val="00BD500C"/>
    <w:rsid w:val="00BE28E3"/>
    <w:rsid w:val="00BF323B"/>
    <w:rsid w:val="00C21CFE"/>
    <w:rsid w:val="00C459CB"/>
    <w:rsid w:val="00C50EC5"/>
    <w:rsid w:val="00C579FF"/>
    <w:rsid w:val="00D24A21"/>
    <w:rsid w:val="00D25F5B"/>
    <w:rsid w:val="00D31BD9"/>
    <w:rsid w:val="00D45053"/>
    <w:rsid w:val="00E20C93"/>
    <w:rsid w:val="00ED213E"/>
    <w:rsid w:val="00ED2387"/>
    <w:rsid w:val="00ED4DB0"/>
    <w:rsid w:val="00F227EA"/>
    <w:rsid w:val="00F327E1"/>
    <w:rsid w:val="00F46CDF"/>
    <w:rsid w:val="00F50886"/>
    <w:rsid w:val="00F53D0F"/>
    <w:rsid w:val="00F71DA0"/>
    <w:rsid w:val="00F87B90"/>
    <w:rsid w:val="00FD6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E59E"/>
  <w15:docId w15:val="{B8AFE555-A88C-F341-BD58-3C839FBA15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74151"/>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48"/>
    <w:pPr>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Normal0">
    <w:name w:val="Normal0"/>
    <w:qFormat/>
    <w:rsid w:val="00AC3773"/>
    <w:pPr>
      <w:spacing w:after="200" w:line="312" w:lineRule="auto"/>
      <w:ind w:left="-6"/>
    </w:pPr>
    <w:rPr>
      <w:rFonts w:ascii="Lato" w:eastAsia="Lato" w:hAnsi="Lato" w:cs="Lato"/>
      <w:color w:val="595959"/>
      <w:sz w:val="20"/>
      <w:szCs w:val="20"/>
      <w:lang w:eastAsia="en-US"/>
    </w:rPr>
  </w:style>
  <w:style w:type="paragraph" w:customStyle="1" w:styleId="Subtitle0">
    <w:name w:val="Subtitle0"/>
    <w:basedOn w:val="Normal0"/>
    <w:next w:val="Normal0"/>
    <w:rsid w:val="00AC3773"/>
    <w:pPr>
      <w:keepNext/>
      <w:keepLines/>
    </w:pPr>
    <w:rPr>
      <w:b/>
      <w:color w:val="666666"/>
      <w:sz w:val="40"/>
      <w:szCs w:val="40"/>
    </w:rPr>
  </w:style>
  <w:style w:type="paragraph" w:styleId="Cabealho">
    <w:name w:val="header"/>
    <w:basedOn w:val="Normal"/>
    <w:link w:val="CabealhoChar"/>
    <w:uiPriority w:val="99"/>
    <w:unhideWhenUsed/>
    <w:rsid w:val="00AC3773"/>
    <w:pPr>
      <w:tabs>
        <w:tab w:val="center" w:pos="4252"/>
        <w:tab w:val="right" w:pos="8504"/>
      </w:tabs>
    </w:pPr>
  </w:style>
  <w:style w:type="character" w:customStyle="1" w:styleId="CabealhoChar">
    <w:name w:val="Cabeçalho Char"/>
    <w:basedOn w:val="Fontepargpadro"/>
    <w:link w:val="Cabealho"/>
    <w:uiPriority w:val="99"/>
    <w:rsid w:val="00AC3773"/>
  </w:style>
  <w:style w:type="paragraph" w:styleId="Rodap">
    <w:name w:val="footer"/>
    <w:basedOn w:val="Normal"/>
    <w:link w:val="RodapChar"/>
    <w:uiPriority w:val="99"/>
    <w:unhideWhenUsed/>
    <w:rsid w:val="00AC3773"/>
    <w:pPr>
      <w:tabs>
        <w:tab w:val="center" w:pos="4252"/>
        <w:tab w:val="right" w:pos="8504"/>
      </w:tabs>
    </w:pPr>
  </w:style>
  <w:style w:type="character" w:customStyle="1" w:styleId="RodapChar">
    <w:name w:val="Rodapé Char"/>
    <w:basedOn w:val="Fontepargpadro"/>
    <w:link w:val="Rodap"/>
    <w:uiPriority w:val="99"/>
    <w:rsid w:val="00AC3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7aa116b-8286-452a-ad11-9bfb85584ae0">
      <Terms xmlns="http://schemas.microsoft.com/office/infopath/2007/PartnerControls"/>
    </lcf76f155ced4ddcb4097134ff3c332f>
    <TaxCatchAll xmlns="219277de-6618-4cc7-bdb8-2ede8afd49f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0D9AD5308FF7D4B91152391E51B657F" ma:contentTypeVersion="19" ma:contentTypeDescription="Crie um novo documento." ma:contentTypeScope="" ma:versionID="6213242d335f4d963f0fc8e055b000e9">
  <xsd:schema xmlns:xsd="http://www.w3.org/2001/XMLSchema" xmlns:xs="http://www.w3.org/2001/XMLSchema" xmlns:p="http://schemas.microsoft.com/office/2006/metadata/properties" xmlns:ns2="57aa116b-8286-452a-ad11-9bfb85584ae0" xmlns:ns3="219277de-6618-4cc7-bdb8-2ede8afd49fb" targetNamespace="http://schemas.microsoft.com/office/2006/metadata/properties" ma:root="true" ma:fieldsID="4ce8b9b105c99073f40ae004358d12b6" ns2:_="" ns3:_="">
    <xsd:import namespace="57aa116b-8286-452a-ad11-9bfb85584ae0"/>
    <xsd:import namespace="219277de-6618-4cc7-bdb8-2ede8afd49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OCR" minOccurs="0"/>
                <xsd:element ref="ns2:MediaServiceSearchProperties" minOccurs="0"/>
                <xsd:element ref="ns2:MediaServiceObjectDetectorVersion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aa116b-8286-452a-ad11-9bfb85584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f566eb4a-84a7-4f03-9cf4-83584b28a29b"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9277de-6618-4cc7-bdb8-2ede8afd49fb"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150c78be-d6dd-4461-b83c-1af308392aaf}" ma:internalName="TaxCatchAll" ma:showField="CatchAllData" ma:web="219277de-6618-4cc7-bdb8-2ede8afd49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6CF224-2329-41B7-AB5E-00AECA73DCE6}">
  <ds:schemaRefs>
    <ds:schemaRef ds:uri="http://schemas.microsoft.com/office/2006/metadata/properties"/>
    <ds:schemaRef ds:uri="http://schemas.microsoft.com/office/infopath/2007/PartnerControls"/>
    <ds:schemaRef ds:uri="57aa116b-8286-452a-ad11-9bfb85584ae0"/>
    <ds:schemaRef ds:uri="219277de-6618-4cc7-bdb8-2ede8afd49fb"/>
  </ds:schemaRefs>
</ds:datastoreItem>
</file>

<file path=customXml/itemProps2.xml><?xml version="1.0" encoding="utf-8"?>
<ds:datastoreItem xmlns:ds="http://schemas.openxmlformats.org/officeDocument/2006/customXml" ds:itemID="{3BA5B480-FB04-CF4D-888F-22A6B84659D1}">
  <ds:schemaRefs>
    <ds:schemaRef ds:uri="http://schemas.openxmlformats.org/officeDocument/2006/bibliography"/>
  </ds:schemaRefs>
</ds:datastoreItem>
</file>

<file path=customXml/itemProps3.xml><?xml version="1.0" encoding="utf-8"?>
<ds:datastoreItem xmlns:ds="http://schemas.openxmlformats.org/officeDocument/2006/customXml" ds:itemID="{9BF81703-7A1A-410C-944C-CACF4BA2BB7F}">
  <ds:schemaRefs>
    <ds:schemaRef ds:uri="http://schemas.microsoft.com/sharepoint/v3/contenttype/forms"/>
  </ds:schemaRefs>
</ds:datastoreItem>
</file>

<file path=customXml/itemProps4.xml><?xml version="1.0" encoding="utf-8"?>
<ds:datastoreItem xmlns:ds="http://schemas.openxmlformats.org/officeDocument/2006/customXml" ds:itemID="{A74AE9F9-6353-432E-B7B2-AD52FEF70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aa116b-8286-452a-ad11-9bfb85584ae0"/>
    <ds:schemaRef ds:uri="219277de-6618-4cc7-bdb8-2ede8afd49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3449</Words>
  <Characters>20175</Characters>
  <Application>Microsoft Office Word</Application>
  <DocSecurity>0</DocSecurity>
  <Lines>567</Lines>
  <Paragraphs>326</Paragraphs>
  <ScaleCrop>false</ScaleCrop>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técnica — Solaris Energia</dc:title>
  <dc:creator>POPULOS Sales Engineering</dc:creator>
  <cp:lastModifiedBy>Paulo Barbosa | Secbuilder</cp:lastModifiedBy>
  <cp:revision>3</cp:revision>
  <cp:lastPrinted>2026-07-23T18:30:00Z</cp:lastPrinted>
  <dcterms:created xsi:type="dcterms:W3CDTF">2026-07-23T18:30:00Z</dcterms:created>
  <dcterms:modified xsi:type="dcterms:W3CDTF">2026-07-23T18:30:00Z</dcterms:modified>
  <dc:subject>Proteção e continuidade do portal do cliente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0x01010010D9AD5308FF7D4B91152391E51B657F</vt:lpwstr>
  </property>
  <property fmtid="{D5CDD505-2E9C-101B-9397-08002B2CF9AE}" pid="3" name="MediaServiceImageTags">
    <vt:lpwstr/>
  </property>
</Properties>
</file>