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EE2A33" w14:textId="0B40027C" w:rsidR="00AC3773" w:rsidRDefault="00B55639" w:rsidP="00AC3773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  <w:r>
        <w:fldChar w:fldCharType="begin"/>
      </w:r>
      <w:r>
        <w:instrText xml:space="preserve"> INCLUDEPICTURE "https://yt3.googleusercontent.com/GM9aUAG2BP22F7JircpALbMAoRz2rOY94R9NJwkmcJ8NxGaWWXNtYA3hYYKkNvVyK3_utBIL=s900-c-k-c0x00ffffff-no-rj" \* MERGEFORMATINET </w:instrText>
      </w:r>
      <w:r>
        <w:fldChar w:fldCharType="separate"/>
      </w:r>
      <w:r>
        <w:fldChar w:fldCharType="end"/>
      </w:r>
      <w:r>
        <w:rPr>
          <w:rFonts w:ascii="Open Sans" w:eastAsia="Open Sans" w:hAnsi="Open Sans" w:cs="Open Sans"/>
          <w:noProof/>
          <w:color w:val="695D46"/>
        </w:rPr>
        <w:drawing>
          <wp:anchor distT="0" distB="0" distL="114300" distR="114300" simplePos="0" relativeHeight="251659264" behindDoc="1" locked="0" layoutInCell="1" allowOverlap="1" wp14:anchorId="43DCC4BD" wp14:editId="023D3B8F">
            <wp:simplePos x="0" y="0"/>
            <wp:positionH relativeFrom="page">
              <wp:posOffset>0</wp:posOffset>
            </wp:positionH>
            <wp:positionV relativeFrom="paragraph">
              <wp:posOffset>-339984</wp:posOffset>
            </wp:positionV>
            <wp:extent cx="7781192" cy="10729945"/>
            <wp:effectExtent l="0" t="0" r="4445" b="1905"/>
            <wp:wrapNone/>
            <wp:docPr id="130306582" name="Imagem 1" descr="A blue and white background with text  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6582" name="Imagem 1" descr="A blue and white background with text  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1192" cy="107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754C45" w14:textId="7E032A73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A5E188D" w14:textId="00A8B694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23181CB" w14:textId="00855A1A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1643B38F" w14:textId="3A5BA659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EB4215D" w14:textId="0767440C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DE965B7" w14:textId="2148EEE9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47235B5" w14:textId="360FA79E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8E5ED0D" w14:textId="307D5FAD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51E2F662" w14:textId="4F63DEF6" w:rsidR="00C50EC5" w:rsidRPr="009A297D" w:rsidRDefault="00C50EC5" w:rsidP="00C50EC5">
      <w:pPr>
        <w:pStyle w:val="Subtitle0"/>
        <w:spacing w:after="0" w:line="276" w:lineRule="auto"/>
        <w:ind w:left="0" w:firstLine="1134"/>
        <w:rPr>
          <w:color w:val="FFFFFF" w:themeColor="background1"/>
          <w:sz w:val="48"/>
          <w:szCs w:val="48"/>
        </w:rPr>
      </w:pPr>
      <w:r>
        <w:rPr>
          <w:color w:val="FFFFFF" w:themeColor="background1"/>
          <w:sz w:val="48"/>
          <w:szCs w:val="48"/>
        </w:rPr>
        <w:t>PROPOSTA TÉCNICA</w:t>
      </w:r>
    </w:p>
    <w:p w14:paraId="0B130125" w14:textId="6D9BC620" w:rsidR="00C50EC5" w:rsidRDefault="00C50EC5" w:rsidP="00C50EC5">
      <w:pPr>
        <w:pStyle w:val="Subtitle0"/>
        <w:spacing w:after="0" w:line="276" w:lineRule="auto"/>
        <w:ind w:firstLine="1134"/>
        <w:rPr>
          <w:color w:val="FFFFFF" w:themeColor="background1"/>
        </w:rPr>
      </w:pPr>
    </w:p>
    <w:p>
      <w:pPr>
        <w:pStyle w:val="Subtitle0"/>
        <w:spacing w:after="0" w:line="276" w:lineRule="auto"/>
        <w:ind w:left="1134" w:right="758"/>
        <w:rPr>
          <w:b w:val="0"/>
          <w:bCs/>
          <w:color w:val="FFFFFF" w:themeColor="background1"/>
        </w:rPr>
      </w:pPr>
      <w:r>
        <w:rPr>
          <w:b w:val="0"/>
          <w:bCs/>
          <w:color w:val="FFFFFF" w:themeColor="background1"/>
        </w:rPr>
        <w:t>Proteção do portal do cliente e failover automático entre origens · Solaris Energia · SOLARIS-AKAMAI-2026-09</w:t>
      </w:r>
    </w:p>
    <w:p>
      <w:pPr>
        <w:pStyle w:val="Normal0"/>
        <w:ind w:firstLine="1134"/>
        <w:rPr>
          <w:color w:val="FFFFFF" w:themeColor="background1"/>
        </w:rPr>
      </w:pPr>
      <w:r>
        <w:rPr>
          <w:color w:val="FFFFFF" w:themeColor="background1"/>
        </w:rPr>
        <w:t>EMPRESA: Solaris Energia</w:t>
      </w:r>
    </w:p>
    <w:p>
      <w:pPr>
        <w:pStyle w:val="Normal0"/>
        <w:spacing w:after="0" w:line="276" w:lineRule="auto"/>
        <w:ind w:firstLine="1134"/>
        <w:rPr>
          <w:color w:val="FFFFFF" w:themeColor="background1"/>
        </w:rPr>
      </w:pPr>
      <w:r>
        <w:rPr>
          <w:color w:val="FFFFFF" w:themeColor="background1"/>
        </w:rPr>
        <w:t>| SETEMBRO 2026 |</w:t>
      </w:r>
    </w:p>
    <w:p w14:paraId="498C438A" w14:textId="799C8663" w:rsidR="00F227EA" w:rsidRDefault="00B55639" w:rsidP="00BC59F2">
      <w:pPr>
        <w:spacing w:line="240" w:lineRule="exact"/>
        <w:jc w:val="left"/>
        <w:sectPr w:rsidR="00F227EA"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/>
          <w:pgMar w:top="0" w:right="0" w:bottom="0" w:left="0" w:header="0" w:footer="0" w:gutter="0"/>
          <w:cols w:space="720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05B9463" wp14:editId="09D1AD0E">
            <wp:simplePos x="0" y="0"/>
            <wp:positionH relativeFrom="column">
              <wp:posOffset>2580640</wp:posOffset>
            </wp:positionH>
            <wp:positionV relativeFrom="paragraph">
              <wp:posOffset>499745</wp:posOffset>
            </wp:positionV>
            <wp:extent cx="2092960" cy="2092960"/>
            <wp:effectExtent l="0" t="0" r="2540" b="2540"/>
            <wp:wrapNone/>
            <wp:docPr id="497703951" name="Imagem 2" descr="Logo do cl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go do client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641" cy="2096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07EEC9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1.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Sobre a POPULOS</w:t>
      </w:r>
    </w:p>
    <w:p w14:paraId="3C604CD7" w14:textId="77777777" w:rsidR="00F227EA" w:rsidRDefault="00000000">
      <w:pPr>
        <w:spacing w:after="120" w:line="276" w:lineRule="auto"/>
      </w:pPr>
      <w:r>
        <w:t>A POPULOS nasceu em São Paulo com o objetivo de levar o futuro para organizações de todos os tipos e tamanhos, através da entrega de soluções que têm o poder de transformar radicalmente a forma como as pessoas trabalham, criam e colaboram.</w:t>
      </w:r>
    </w:p>
    <w:p w14:paraId="5570BA4F" w14:textId="61F7A7ED" w:rsidR="00F227EA" w:rsidRDefault="00000000">
      <w:pPr>
        <w:spacing w:after="120" w:line="276" w:lineRule="auto"/>
      </w:pPr>
      <w:r>
        <w:t>Muito mais do que entregar ferramentas tecnológicas, temos como objetivo ajudar organizações a pensar e executar o trabalho de forma diferente, entrando na era do trabalho 3.0. A POPULOS é especialista e líder na América Latina em soluções de Segurança, End-User Computing, Infraestrutura, Redes e Cloud.</w:t>
      </w:r>
    </w:p>
    <w:p w14:paraId="60A8393F" w14:textId="77777777" w:rsidR="00F227EA" w:rsidRDefault="00000000">
      <w:pPr>
        <w:spacing w:after="120" w:line="276" w:lineRule="auto"/>
      </w:pPr>
      <w:r>
        <w:t>Somos um agente da transformação digital. Nossa missão é compartilhar a visão do futuro do trabalho e entregar os meios para que organizações obtenham os melhores resultados em um mundo que se transforma rápido, suprindo os interesses das áreas de TI, segurança e operações.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Sobre a Akamai</w:t>
      </w:r>
    </w:p>
    <w:p>
      <w:pPr>
        <w:spacing w:after="120" w:line="276" w:lineRule="auto"/>
      </w:pPr>
      <w:r>
        <w:t>A Akamai opera uma plataforma distribuída de borda para entrega e segurança de aplicações e APIs, sobre a qual são configuradas as soluções desta proposta.</w:t>
      </w:r>
    </w:p>
    <w:p>
      <w:pPr>
        <w:spacing w:after="120" w:line="276" w:lineRule="auto"/>
      </w:pPr>
      <w:r>
        <w:t>A solução combina proteção de aplicações e APIs, contenção de robôs e direcionamento automático de tráfego entre as origens da Solaris.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Parceria POPULOS e Akamai</w:t>
      </w:r>
    </w:p>
    <w:p>
      <w:pPr>
        <w:spacing w:after="120" w:line="276" w:lineRule="auto"/>
      </w:pPr>
      <w:r>
        <w:t>A POPULOS é parceira Akamai e fornecerá as licenças por meio de revenda autorizada.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Arquitetura de segurança de aplicações e APIs na borda Akamai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Gestão de tráfego e failover entre origens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Mitigação de automação maliciosa</w:t>
      </w:r>
    </w:p>
    <w:p>
      <w:pPr>
        <w:spacing w:after="120" w:line="276" w:lineRule="auto"/>
      </w:pPr>
      <w:r>
        <w:t>A composição final da equipe será confirmada no plano de projeto, preservando as competências exigidas para cada frente.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3AFBBE49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Aderência e qualificações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equipe POPULOS reúne arquitetura de segurança na borda, gestão de tráfego entre origens e mitigação de robôs.</w:t>
            </w:r>
          </w:p>
        </w:tc>
      </w:tr>
    </w:tbl>
    <w:p w14:paraId="594D7819" w14:textId="77777777" w:rsidR="00ED2387" w:rsidRDefault="00ED2387">
      <w:pPr>
        <w:pStyle w:val="Ttulo1"/>
        <w:keepNext/>
        <w:keepLines/>
        <w:pBdr>
          <w:bottom w:val="single" w:sz="6" w:space="4" w:color="6B46C1"/>
        </w:pBdr>
        <w:spacing w:before="320" w:after="140"/>
        <w:rPr>
          <w:rFonts w:ascii="Lato" w:eastAsia="Lato" w:hAnsi="Lato" w:cs="Lato"/>
          <w:b/>
          <w:bCs/>
          <w:color w:val="6B46C1"/>
          <w:sz w:val="30"/>
          <w:szCs w:val="30"/>
        </w:rPr>
      </w:pPr>
    </w:p>
    <w:p w14:paraId="66BFB71B" w14:textId="0C054DC3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2.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Sumário Executivo</w:t>
      </w:r>
    </w:p>
    <w:p>
      <w:pPr>
        <w:spacing w:after="120" w:line="276" w:lineRule="auto"/>
      </w:pPr>
      <w:r>
        <w:rPr>
          <w:b/>
          <w:bCs/>
        </w:rPr>
        <w:t>A Solaris Energia distribui energia em 3 estados e atende 4,2 milhões de unidades consumidoras. O portal do cliente, que concentra segunda via de conta, pedido de religação e consulta de débitos, e o app, que usa as mesmas APIs, ficaram fora do ar por cerca de 3 horas em junho e novamente em agosto, por ataques de negação de serviço na camada de aplicação com milhões de requisições na consulta de débitos.</w:t>
      </w:r>
    </w:p>
    <w:p>
      <w:pPr>
        <w:spacing w:after="120" w:line="276" w:lineRule="auto"/>
      </w:pPr>
      <w:r>
        <w:t>Além disso, robôs testam números de CPF na consulta de débitos, que devolve nome e endereço quando o CPF existe. Hoje a nuvem pública só recebe tráfego manualmente quando o datacenter cai.</w:t>
      </w:r>
    </w:p>
    <w:p>
      <w:pPr>
        <w:keepLines/>
        <w:spacing w:after="120" w:line="276" w:lineRule="auto"/>
      </w:pPr>
      <w:r>
        <w:t>A POPULOS propõe um trabalho em duas fases. A Fase 1, contratada agora, é um Assessment e desenho de 3 a 4 semanas, sem mudanças no ambiente da Solaris. A Fase 2, de implantação, é apresentada como opção de 6 a 8 semanas, contratada após o aceite do desenho, com App &amp; API Protector, Bot Manager Premier e Global Traffic Management.</w:t>
      </w:r>
    </w:p>
    <w:p>
      <w:pPr>
        <w:keepLines/>
        <w:spacing w:after="120" w:line="276" w:lineRule="auto"/>
      </w:pPr>
      <w:r>
        <w:t>O objetivo é que a Solaris chegue à campanha estadual de renegociação de dívidas, que começa em 01/03/2027, com o portal protegido e o failover automático em operação.</w:t>
      </w:r>
    </w:p>
    <w:p>
      <w:pPr>
        <w:keepLines/>
        <w:spacing w:after="120" w:line="276" w:lineRule="auto"/>
      </w:pPr>
      <w:r>
        <w:t>Viabilidade frente a Campanha estadual de renegociação de dívidas (01/03/2027): cabe no prazo. Com início em 24/09/2026 e a sequência Fase 1 – Assessment e desenho → Provisionamento das licenças Akamai após a assinatura do pedido → Implantação da proteção e do failover (opcional), a conclusão fica entre 26/11/2026 e 31/12/2026. Para cumprir a data limite, o início deve ocorrer até 23/11/2026. Ressalvas: não há folga de estabilização aprovada: a conclusão pode coincidir com a data limite.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Continuidade: failover automático entre origens — Global Traffic Management.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Proteção do portal e das APIs — App &amp; API Protector.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Contenção de robôs na consulta de débitos — Bot Manager Premier.</w:t>
      </w:r>
    </w:p>
    <w:p>
      <w:pPr>
        <w:spacing w:after="60" w:line="276" w:lineRule="auto"/>
      </w:pPr>
      <w:r>
        <w:rPr>
          <w:b/>
          <w:bCs/>
        </w:rPr>
        <w:t>A solução cobre o portal do cliente e as APIs usadas pelo app, nas duas origens da Solaris: o datacenter próprio e a nuvem pública.</w:t>
      </w:r>
    </w:p>
    <w:p w14:paraId="71911788" w14:textId="77777777" w:rsidR="003D6743" w:rsidRDefault="003D6743">
      <w:pPr>
        <w:spacing w:after="60" w:line="276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60F0B8BA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Modelo de fornecimento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As licenças Akamai serão fornecidas pela POPULOS por meio de revenda autorizada.</w:t>
            </w:r>
          </w:p>
        </w:tc>
      </w:tr>
    </w:tbl>
    <w:p w14:paraId="0DEBA0B3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Objetivos do Projeto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Manter o portal do cliente e as APIs do app disponíveis sob ataques de negação de serviço na camada de aplicação (REQ-01)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Conter os robôs que testam CPFs na consulta de débitos e reduzir a exposição de dados pessoais (REQ-02, REQ-06)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Automatizar o failover entre o datacenter próprio e a nuvem pública (REQ-03)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Chegar à campanha estadual de renegociação de dívidas protegido e com failover automático (REQ-04)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Validar o desenho em um assessment antes de contratar a implantação (REQ-05)</w:t>
      </w:r>
    </w:p>
    <w:p w14:paraId="6845968B" w14:textId="77777777" w:rsidR="00BC59F2" w:rsidRDefault="00BC59F2" w:rsidP="00BC59F2">
      <w:pPr>
        <w:spacing w:after="60" w:line="270" w:lineRule="auto"/>
      </w:pPr>
    </w:p>
    <w:p w14:paraId="60915E81" w14:textId="77777777" w:rsidR="00BC59F2" w:rsidRDefault="00BC59F2" w:rsidP="00BC59F2">
      <w:pPr>
        <w:spacing w:after="60" w:line="270" w:lineRule="auto"/>
      </w:pPr>
    </w:p>
    <w:p w14:paraId="06204E69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3.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Descrição da Solução</w:t>
      </w:r>
    </w:p>
    <w:p>
      <w:pPr>
        <w:spacing w:after="120" w:line="276" w:lineRule="auto"/>
      </w:pPr>
      <w:r>
        <w:t>Os usuários do portal e do app chegam aos nomes publicados da Solaris, que o Global Traffic Management resolve para a origem saudável: o datacenter próprio como principal e a nuvem pública como contingência automática. Na borda Akamai, o App &amp; API Protector filtra ataques de aplicação e aplica controle de taxa de requisições, e o Bot Manager Premier identifica e responde aos robôs que testam CPFs na consulta de débitos antes que as requisições cheguem às origens.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1891792"/>
            <wp:docPr id="497703952" name="Picture 497703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891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3.1 Continuidade: failover automático entre origens</w:t>
      </w:r>
    </w:p>
    <w:p>
      <w:pPr>
        <w:spacing w:after="120" w:line="276" w:lineRule="auto"/>
      </w:pPr>
      <w:r>
        <w:t>Direciona o tráfego para a nuvem pública automaticamente quando o datacenter fica indisponível, com base em testes de saúde.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Global Traffic Management: políticas de tráfego, failover entre provedores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3.2 Proteção do portal e das APIs</w:t>
      </w:r>
    </w:p>
    <w:p>
      <w:pPr>
        <w:spacing w:after="120" w:line="276" w:lineRule="auto"/>
      </w:pPr>
      <w:r>
        <w:t>Protege o portal e as APIs do app na borda, com WAF, controle de taxa de requisições e mitigação de DDoS de aplicação.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479990F7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Limite da frente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correção da resposta da consulta de débitos e a replicação entre origens permanecem com a Solaris.</w:t>
            </w:r>
          </w:p>
        </w:tc>
      </w:tr>
    </w:tbl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3.3 Contenção de robôs na consulta de débitos</w:t>
      </w:r>
    </w:p>
    <w:p>
      <w:pPr>
        <w:spacing w:after="120" w:line="276" w:lineRule="auto"/>
      </w:pPr>
      <w:r>
        <w:t>Identifica e responde aos robôs que testam CPFs na consulta de débitos, com ações por segmento de tráfego.</w:t>
      </w:r>
    </w:p>
    <w:p>
      <w:pPr>
        <w:pStyle w:val="Ttulo2"/>
        <w:keepNext/>
        <w:keepLines/>
        <w:spacing w:before="16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3.4 Prontidão para eventos críticos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Fase 1 – Assessment e desenho: Definição, com a Solaris, dos itens de prontidão para a campanha e de um eventual período de congelamento de mudanças.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Implantação da proteção e do failover (opcional): Monitoramento reforçado das políticas de proteção e do failover no início da campanha.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Implantação da proteção e do failover (opcional): Plano de reversão testado para cada mudança em produção.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Implantação da proteção e do failover (opcional): Revisão de capacidade e teste de carga controlado considerando o pico de até três vezes o tráfego habitual.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Implantação da proteção e do failover (opcional): Sala de crise conduzida pela POPULOS no início da campanha.</w:t>
      </w:r>
    </w:p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3.5 Matriz de rastreabilidade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936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Requisito</w:t>
            </w:r>
          </w:p>
        </w:tc>
        <w:tc>
          <w:tcPr>
            <w:tcW w:type="dxa" w:w="3168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Necessidade</w:t>
            </w:r>
          </w:p>
        </w:tc>
        <w:tc>
          <w:tcPr>
            <w:tcW w:type="dxa" w:w="194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3456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Evidência de aceite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REQ-01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Proteger o portal do cliente e as APIs usadas pelo app contra negação de serviço na camada de aplicação, em especial na consulta de débitos.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App &amp; API Protector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Documento de desenho define as políticas de WAF e de controle de taxa de requisições para cada nome de host e API do inventário.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REQ-02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Detectar e conter robôs que testam números de CPF na consulta de débitos.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Bot Manager Premier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Documento de desenho define a detecção e as ações de resposta aos robôs na consulta de débitos.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REQ-03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Tornar automático o failover do portal e das APIs entre o datacenter próprio (principal) e a nuvem pública.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Global Traffic Management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Documento de desenho define as regras de failover, os testes de saúde de cada origem e o procedimento de retorno ao datacenter.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REQ-04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Estar protegido e com failover automático antes do início da campanha estadual de renegociação de dívidas em 01/03/2027, com tráfego que pode triplicar.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Cronograma em fases e prontidão para a campanha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Plano de implantação e plano de prontidão para a campanha entregues, com janelas, reversão e aprovações.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REQ-05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Realizar assessment e desenho antes de contratar a implantação.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Fase 1 contratada; Fase 2 opcional após aceite do desenho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Relatório de Assessment e documento de desenho entregues e aceitos formalmente pela Solaris.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REQ-06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Não ampliar a exposição de dados pessoais (CPF, nome e endereço) em registros e relatórios gerados pelo projeto.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Controle de mascaramento de dados pessoais em registros e relatórios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Relatórios da Fase 1 revisados sem CPF, nome ou endereço em claro.</w:t>
            </w:r>
          </w:p>
        </w:tc>
      </w:tr>
    </w:tbl>
    <w:p w14:paraId="466647CD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>4. Dimensionamento e Abrangência</w:t>
      </w:r>
    </w:p>
    <w:p>
      <w:pPr>
        <w:spacing w:after="120" w:line="276" w:lineRule="auto"/>
      </w:pPr>
      <w:r>
        <w:rPr>
          <w:b/>
          <w:bCs/>
        </w:rPr>
        <w:t>O quadro abaixo resume as quantidades informadas pela Solaris e os itens que serão confirmados na Fase 1.</w:t>
      </w:r>
    </w:p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4.1 Itens de dimensionamento</w:t>
      </w:r>
    </w:p>
    <w:tbl>
      <w:tblPr>
        <w:tblW w:w="9790" w:type="dxa"/>
        <w:tblBorders>
          <w:top w:val="single" w:sz="2" w:space="0" w:color="D1D5DB"/>
          <w:bottom w:val="single" w:sz="2" w:space="0" w:color="D1D5D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0"/>
        <w:gridCol w:w="1000"/>
        <w:gridCol w:w="1000"/>
        <w:gridCol w:w="1080"/>
      </w:tblGrid>
      <w:tr w:rsidR="00F227EA" w14:paraId="69B947D6" w14:textId="77777777">
        <w:trPr>
          <w:tblHeader/>
        </w:trPr>
        <w:tc>
          <w:tcPr>
            <w:tcW w:w="226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1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Quantidade de referência</w:t>
            </w:r>
          </w:p>
        </w:tc>
        <w:tc>
          <w:tcPr>
            <w:tcW w:w="1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Base de planejamento</w:t>
            </w:r>
          </w:p>
        </w:tc>
        <w:tc>
          <w:tcPr>
            <w:tcW w:w="108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Classificação</w:t>
            </w:r>
          </w:p>
        </w:tc>
      </w:tr>
      <w:tr w:rsidR="00F227EA" w14:paraId="7A5CE6D8" w14:textId="77777777">
        <w:tc>
          <w:tcPr>
            <w:tcW w:w="22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Origens do portal e das APIs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2 (datacenter próprio e nuvem pública)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Informado pela Solaris na reunião de 22/09/2026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Confirmado</w:t>
            </w:r>
          </w:p>
        </w:tc>
      </w:tr>
      <w:tr w:rsidR="00F227EA" w14:paraId="4569A9B2" w14:textId="77777777">
        <w:tc>
          <w:tcPr>
            <w:tcW w:w="226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Pico de tráfego na campanha</w:t>
            </w:r>
          </w:p>
        </w:tc>
        <w:tc>
          <w:tcPr>
            <w:tcW w:w="1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Até três vezes o tráfego habitual</w:t>
            </w:r>
          </w:p>
        </w:tc>
        <w:tc>
          <w:tcPr>
            <w:tcW w:w="1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Última campanha; volume habitual a informar pela Solaris</w:t>
            </w:r>
          </w:p>
        </w:tc>
        <w:tc>
          <w:tcPr>
            <w:tcW w:w="108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Pendente</w:t>
            </w:r>
          </w:p>
        </w:tc>
      </w:tr>
      <w:tr w:rsidR="00F227EA" w14:paraId="33FB2B15" w14:textId="77777777">
        <w:tc>
          <w:tcPr>
            <w:tcW w:w="22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Nomes de host e APIs protegidos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Portal do cliente e APIs do app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Inventário a confirmar na Fase 1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Pendente</w:t>
            </w:r>
          </w:p>
        </w:tc>
      </w:tr>
    </w:tbl>
    <w:p w14:paraId="675853AF" w14:textId="77777777" w:rsidR="00BD500C" w:rsidRDefault="00BD500C">
      <w:pPr>
        <w:spacing w:after="80" w:line="276" w:lineRule="auto"/>
        <w:rPr>
          <w:b/>
          <w:bCs/>
          <w:i/>
          <w:iCs/>
          <w:color w:val="6B7280"/>
          <w:sz w:val="18"/>
          <w:szCs w:val="18"/>
        </w:rPr>
      </w:pPr>
    </w:p>
    <w:p>
      <w:pPr>
        <w:pStyle w:val="Ttulo2"/>
        <w:keepNext/>
        <w:keepLines/>
        <w:pageBreakBefore w:val="0"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4.2 Componentes centralizados e serviços de borda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662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2880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Posição na proposta</w:t>
            </w:r>
          </w:p>
        </w:tc>
      </w:tr>
      <w:tr>
        <w:tc>
          <w:tcPr>
            <w:tcW w:type="dxa" w:w="662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App &amp; API Protector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Recomendado</w:t>
            </w:r>
          </w:p>
        </w:tc>
      </w:tr>
      <w:tr>
        <w:tc>
          <w:tcPr>
            <w:tcW w:type="dxa" w:w="662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Bot Manager Premier</w:t>
            </w:r>
          </w:p>
        </w:tc>
        <w:tc>
          <w:tcPr>
            <w:tcW w:type="dxa" w:w="2880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Recomendado</w:t>
            </w:r>
          </w:p>
        </w:tc>
      </w:tr>
      <w:tr>
        <w:tc>
          <w:tcPr>
            <w:tcW w:type="dxa" w:w="662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Global Traffic Management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Recomendado</w:t>
            </w:r>
          </w:p>
        </w:tc>
      </w:tr>
    </w:tbl>
    <w:p w14:paraId="5941B891" w14:textId="465FDF3E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5.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Avaliação e Migração do Ambiente Atual</w:t>
      </w:r>
    </w:p>
    <w:p>
      <w:pPr>
        <w:spacing w:after="120" w:line="276" w:lineRule="auto"/>
      </w:pPr>
      <w:r>
        <w:t>Como primeira etapa, a POPULOS realizará o levantamento detalhado do ambiente atual, contemplando no mínimo: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Inventário dos nomes de host, APIs e fluxos do portal e do app, com foco na consulta de débitos.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Levantamento das duas origens, dos testes de saúde disponíveis e do procedimento atual de contingência manual.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Análise do tráfego dos ataques de junho e agosto e do comportamento dos robôs de CPF, com dados pessoais mascarados.</w:t>
      </w:r>
    </w:p>
    <w:p>
      <w:pPr>
        <w:spacing w:after="120" w:line="276" w:lineRule="auto"/>
      </w:pPr>
      <w:r>
        <w:t>O levantamento da Fase 1 entrega o inventário do portal e das APIs, a situação das duas origens e a análise dos ataques e dos robôs, que sustentam o documento de desenho.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78B70CC4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Estratégia de migração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Cada ativação em produção tem janela, plano de reversão e aprovação prévia da Solaris.</w:t>
            </w:r>
          </w:p>
        </w:tc>
      </w:tr>
    </w:tbl>
    <w:p w14:paraId="2171A501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6.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Serviços POPULOS — Metodologia de Implantação</w:t>
      </w:r>
    </w:p>
    <w:p>
      <w:pPr>
        <w:spacing w:after="120" w:line="276" w:lineRule="auto"/>
      </w:pPr>
      <w:r>
        <w:rPr>
          <w:b/>
          <w:bCs/>
        </w:rPr>
        <w:t>O trabalho segue duas fases: Assessment e desenho contratados agora, e implantação opcional após o aceite do desenho.</w:t>
      </w:r>
    </w:p>
    <w:p w14:paraId="1DD6CC39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6.1 Escopo previsto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Fase 1: Assessment do portal, das APIs e das duas origens, e desenho da solução com App &amp; API Protector, Bot Manager Premier e Global Traffic Management.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Fase 1: plano de implantação e de prontidão para a campanha de 01/03/2027.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Fase 2 (opcional): configuração e ativação das três soluções, conforme o desenho aceito.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Mascaramento de CPF, nome e endereço nos registros e relatórios produzidos pela POPULOS.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Relatório de Assessment do ambiente atual.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Documento de desenho (HLD) com políticas de proteção, tratamento de robôs e regras de failover.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Plano de implantação com janelas, reversão e aprovações.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Plano de prontidão para a campanha de renegociação.</w:t>
      </w:r>
    </w:p>
    <w:p w14:paraId="5DE8D494" w14:textId="399B44BD" w:rsidR="00ED213E" w:rsidRPr="00ED213E" w:rsidRDefault="00000000"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lastRenderedPageBreak/>
        <w:t>6.2 Metodologia POPULOS</w:t>
      </w:r>
    </w:p>
    <w:p w14:paraId="458C458F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Fase 1 – Assessment e desenho</w:t>
      </w:r>
    </w:p>
    <w:p>
      <w:pPr>
        <w:spacing w:after="120" w:line="276" w:lineRule="auto"/>
      </w:pPr>
      <w:r>
        <w:t>Levantar o ambiente atual e entregar o desenho da proteção e do failover para aceite da Solaris.</w:t>
      </w:r>
    </w:p>
    <w:p w14:paraId="1FE5BD3A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Gestão do Projeto</w:t>
      </w:r>
    </w:p>
    <w:p>
      <w:pPr>
        <w:spacing w:after="120" w:line="276" w:lineRule="auto"/>
      </w:pPr>
      <w:r>
        <w:t>A POPULOS conduzirá o planejamento, a gestão de riscos e dependências e os reportes periódicos, em alinhamento com o ponto focal do cliente.</w:t>
      </w:r>
    </w:p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6.3 Fase 2 – Implantação (opcional)</w:t>
      </w:r>
    </w:p>
    <w:p>
      <w:pPr>
        <w:keepLines/>
        <w:spacing w:after="120" w:line="276" w:lineRule="auto"/>
      </w:pPr>
      <w:r>
        <w:t>A Fase 2 é apresentada como opção e é contratada somente após o aceite do desenho da Fase 1.</w:t>
      </w:r>
    </w:p>
    <w:p>
      <w:pPr>
        <w:keepLines/>
        <w:spacing w:after="120" w:line="276" w:lineRule="auto"/>
      </w:pPr>
      <w:r>
        <w:t>Aceite formal do documento de desenho da Fase 1.</w:t>
      </w:r>
    </w:p>
    <w:p>
      <w:pPr>
        <w:keepLines/>
        <w:spacing w:after="120" w:line="276" w:lineRule="auto"/>
      </w:pPr>
      <w:r>
        <w:t>Assinatura do pedido das licenças Akamai.</w:t>
      </w:r>
    </w:p>
    <w:p>
      <w:pPr>
        <w:keepLines/>
        <w:spacing w:after="120" w:line="276" w:lineRule="auto"/>
      </w:pPr>
      <w:r>
        <w:t>Apontamento dos nomes do portal e das APIs para a borda Akamai no provedor de DNS atual.</w:t>
      </w:r>
    </w:p>
    <w:p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Implantação da proteção e do failover</w:t>
      </w:r>
    </w:p>
    <w:p>
      <w:pPr>
        <w:keepLines/>
        <w:spacing w:after="120" w:line="276" w:lineRule="auto"/>
      </w:pPr>
      <w:r>
        <w:t>Componentes: App &amp; API Protector, Bot Manager Premier, Global Traffic Management.</w:t>
      </w:r>
    </w:p>
    <w:p>
      <w:pPr>
        <w:keepLines/>
        <w:spacing w:after="120" w:line="276" w:lineRule="auto"/>
      </w:pPr>
      <w:r>
        <w:t>Configuração do App &amp; API Protector, do Bot Manager Premier e do Global Traffic Management; ativação em produção nas janelas de terça, das 22h às 2h, com plano de reversão e aprovação prévia da Solaris para cada mudança.</w:t>
      </w:r>
    </w:p>
    <w:p>
      <w:pPr>
        <w:keepLines/>
        <w:spacing w:after="120" w:line="276" w:lineRule="auto"/>
      </w:pPr>
      <w:r>
        <w:t>Critérios de aceite da Fase 2 verificados em produção.</w:t>
      </w:r>
    </w:p>
    <w:p w14:paraId="49957D7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7.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Limites do Escopo</w:t>
      </w:r>
    </w:p>
    <w:p w14:paraId="06FA1EDD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7.1 Passagem de conhecimento</w:t>
      </w:r>
    </w:p>
    <w:p>
      <w:pPr>
        <w:spacing w:after="120" w:line="276" w:lineRule="auto"/>
      </w:pPr>
      <w:r>
        <w:t>Ao final de cada fase, a POPULOS apresenta à equipe da Solaris o desenho, as políticas configuradas e os procedimentos de operação e reversão.</w:t>
      </w:r>
    </w:p>
    <w:p w14:paraId="4A59FCA9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7.2 Homologação e testes</w:t>
      </w:r>
    </w:p>
    <w:p>
      <w:pPr>
        <w:spacing w:after="120" w:line="276" w:lineRule="auto"/>
      </w:pPr>
      <w:r>
        <w:t>Na Fase 2, os testes de controle de taxa, de tratamento de robôs e de failover são executados nas janelas de terça, com roteiro e resultados registrados.</w:t>
      </w:r>
    </w:p>
    <w:p w14:paraId="7794161C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7.3 Áreas fora do escopo</w:t>
      </w:r>
    </w:p>
    <w:p w14:paraId="072132ED" w14:textId="77777777" w:rsidR="00F227EA" w:rsidRDefault="00000000">
      <w:pPr>
        <w:spacing w:after="120" w:line="276" w:lineRule="auto"/>
      </w:pPr>
      <w:r>
        <w:t>Qualquer área/tópico não expressamente enumerado no escopo previsto está fora deste projeto. Em especial, estão fora do escopo: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Gestão do DNS autoritativo dos domínios, que permanece no provedor atual da Solaris.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Correção da consulta de débitos que devolve nome e endereço, de responsabilidade da equipe de desenvolvimento da Solaris.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Replicação de dados e da aplicação entre o datacenter e a nuvem pública.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Sustentação e suporte gerenciado após a garantia.</w:t>
      </w:r>
    </w:p>
    <w:p w14:paraId="29CE5CDD" w14:textId="77777777" w:rsidR="004D3A65" w:rsidRDefault="004D3A65" w:rsidP="004D3A65">
      <w:pPr>
        <w:spacing w:after="60" w:line="270" w:lineRule="auto"/>
      </w:pPr>
    </w:p>
    <w:p w14:paraId="5A6DAA59" w14:textId="77777777" w:rsidR="004D3A65" w:rsidRDefault="004D3A65" w:rsidP="004D3A65">
      <w:pPr>
        <w:spacing w:after="60" w:line="270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51C7CCBD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Itens que exigem contratação específica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Operação continuada, NOC 24x7, equipe residente, desenvolvimento de aplicações e serviços gerenciados adicionais não estão incluídos.</w:t>
            </w:r>
          </w:p>
        </w:tc>
      </w:tr>
    </w:tbl>
    <w:p w14:paraId="790651B6" w14:textId="77777777" w:rsidR="00F227EA" w:rsidRDefault="00000000">
      <w:pPr>
        <w:pStyle w:val="Ttulo1"/>
        <w:keepNext/>
        <w:keepLines/>
        <w:pageBreakBefore w:val="0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8.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Premissas, Requisitos e Restrições</w:t>
      </w:r>
    </w:p>
    <w:p w14:paraId="0279B845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8.1 Premissas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O provedor de DNS atual permite apontar os nomes do portal e das APIs para a borda Akamai; validação na Fase 1.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 nuvem pública consegue atender o portal sem intervenção manual quando o datacenter fica indisponível; validação na Fase 1.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 Solaris disponibiliza registros de tráfego dos ataques de junho e agosto para o Assessment.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As mudanças em produção da Fase 2 ocorrem somente às terças, das 22h às 2h.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8.2 Requisitos — Pessoas (Solaris Energia)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Gerente de Canais Digitais (patrocínio e aprovação do desenho)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Coordenador de Segurança (políticas de segurança e interface com o DPO)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Equipe de infraestrutura e DNS (origens, testes de saúde e apontamentos no provedor atual)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Equipe de desenvolvimento do portal e das APIs</w:t>
      </w:r>
    </w:p>
    <w:p w14:paraId="199C1D9F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8.3 Restrições</w:t>
      </w:r>
    </w:p>
    <w:p w14:paraId="15290CA5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Mudanças em produção somente às terças, das 22h às 2h.</w:t>
      </w:r>
    </w:p>
    <w:p w14:paraId="62D6CC0A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A Fase 1 não realiza nenhuma mudança no ambiente da Solaris.</w:t>
      </w:r>
    </w:p>
    <w:p w14:paraId="655E7B04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O DNS dos domínios permanece no provedor atual da Solaris.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Registros e relatórios produzidos pela POPULOS não trazem CPF, nome ou endereço em claro.</w:t>
      </w:r>
    </w:p>
    <w:p w14:paraId="359018A2" w14:textId="77777777" w:rsidR="00BB2913" w:rsidRDefault="00BB2913" w:rsidP="00BB2913">
      <w:pPr>
        <w:spacing w:after="60" w:line="270" w:lineRule="auto"/>
      </w:pPr>
    </w:p>
    <w:p w14:paraId="62DB3BC2" w14:textId="77777777" w:rsidR="00BB2913" w:rsidRDefault="00BB2913" w:rsidP="00BB2913">
      <w:pPr>
        <w:spacing w:after="60" w:line="270" w:lineRule="auto"/>
      </w:pPr>
    </w:p>
    <w:p w14:paraId="302BA2AD" w14:textId="77777777" w:rsidR="00BB2913" w:rsidRDefault="00BB2913" w:rsidP="00BB2913">
      <w:pPr>
        <w:spacing w:after="60" w:line="270" w:lineRule="auto"/>
      </w:pPr>
    </w:p>
    <w:p w14:paraId="1F60BE6A" w14:textId="77777777" w:rsidR="00BB2913" w:rsidRDefault="00BB2913" w:rsidP="00BB2913">
      <w:pPr>
        <w:spacing w:after="60" w:line="270" w:lineRule="auto"/>
      </w:pPr>
    </w:p>
    <w:p>
      <w:pPr>
        <w:pStyle w:val="Ttulo2"/>
        <w:keepNext/>
        <w:keepLines/>
        <w:spacing w:before="16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8.4 Riscos e mitigação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168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Risco</w:t>
            </w:r>
          </w:p>
        </w:tc>
        <w:tc>
          <w:tcPr>
            <w:tcW w:type="dxa" w:w="230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4032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Mitigação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Volume habitual de tráfego não informado.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Dimensionamento do pico da campanha fica incompleto.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Coletar o volume na Fase 1 e registrá-lo no desenho.</w:t>
            </w:r>
          </w:p>
        </w:tc>
      </w:tr>
      <w:tr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Nuvem pública sem dados sincronizados com o datacenter.</w:t>
            </w:r>
          </w:p>
        </w:tc>
        <w:tc>
          <w:tcPr>
            <w:tcW w:type="dxa" w:w="230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O failover automático direciona usuários para uma origem que não atende a jornada.</w:t>
            </w:r>
          </w:p>
        </w:tc>
        <w:tc>
          <w:tcPr>
            <w:tcW w:type="dxa" w:w="4032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Validar a prontidão da nuvem pública na Fase 1 como condição da Fase 2.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 consulta de débitos continua devolvendo nome e endereço.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Robôs não detectados ainda podem obter dados pessoais.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Recomendar à equipe da Solaris a correção da resposta da página, em paralelo à contenção de robôs.</w:t>
            </w:r>
          </w:p>
        </w:tc>
      </w:tr>
    </w:tbl>
    <w:p w14:paraId="0C5AB9CA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9.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Cronograma Macro</w:t>
      </w:r>
    </w:p>
    <w:p>
      <w:pPr>
        <w:spacing w:after="120" w:line="276" w:lineRule="auto"/>
      </w:pPr>
      <w:r>
        <w:t>O cronograma considera a Fase 1 de 3 a 4 semanas e, se contratada, a Fase 2 de 6 a 8 semanas, após o provisionamento das licenças.</w:t>
      </w:r>
    </w:p>
    <w:p>
      <w:pPr>
        <w:spacing w:after="120" w:line="276" w:lineRule="auto"/>
      </w:pPr>
      <w:r>
        <w:t>A Fase 2 começa após o aceite do desenho, a assinatura do pedido e o provisionamento das licenças; as ativações em produção ocorrem às terças, das 22h às 2h.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8"/>
        <w:gridCol w:w="3024"/>
        <w:gridCol w:w="1944"/>
        <w:gridCol w:w="1296"/>
        <w:gridCol w:w="1584"/>
      </w:tblGrid>
      <w:tr w:rsidR="000025B6" w14:paraId="3B67D474" w14:textId="77777777">
        <w:trPr>
          <w:tblHeader/>
        </w:trPr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C4EC7D" w14:textId="77777777" w:rsidR="0039468C" w:rsidRDefault="00000000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B1572C" w14:textId="77777777" w:rsidR="0039468C" w:rsidRDefault="00000000">
            <w:r>
              <w:rPr>
                <w:b/>
                <w:bCs/>
                <w:color w:val="FFFFFF"/>
              </w:rPr>
              <w:t>Atividade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69EBB4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Dependência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84457C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Duração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6A91DF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Evidência</w:t>
            </w:r>
          </w:p>
        </w:tc>
      </w:tr>
      <w:tr w:rsidR="000025B6" w14:paraId="3F1FC04D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4E3199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Fase 1 – Assessment e desenho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Levantar o ambiente atual e entregar o desenho da proteção e do failover para aceite da Solaris.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7F6ACF0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Assinatura da proposta e acesso aos responsáveis da Solaris.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A1C635C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3 a 4 semanas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E1CAC2C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Relatório de Assessment, Documento de desenho (HLD), Plano de implantação, Plano de prontidão para a campanha</w:t>
            </w:r>
          </w:p>
        </w:tc>
      </w:tr>
      <w:tr w:rsidR="000025B6" w14:paraId="2299E885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84597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Implantação da proteção e do failover (opcional)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Implantar App &amp; API Protector, Bot Manager Premier, Global Traffic Management.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E928621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Aceite do desenho da Fase 1 e licenças provisionadas.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6308512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6 a 8 semanas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E6DCF4A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Aceite da Fase 2</w:t>
            </w:r>
          </w:p>
        </w:tc>
      </w:tr>
    </w:tbl>
    <w:p w14:paraId="613B77DA" w14:textId="77777777" w:rsidR="00BB0D50" w:rsidRDefault="00BB0D50">
      <w:pPr>
        <w:spacing w:after="60" w:line="276" w:lineRule="auto"/>
        <w:rPr>
          <w:i/>
          <w:iCs/>
          <w:color w:val="6B7280"/>
          <w:sz w:val="18"/>
          <w:szCs w:val="18"/>
        </w:rPr>
      </w:pPr>
    </w:p>
    <w:p w14:paraId="1C6D7AB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10.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Critérios de Aceite</w:t>
      </w:r>
    </w:p>
    <w:p>
      <w:pPr>
        <w:spacing w:after="120" w:line="276" w:lineRule="auto"/>
      </w:pPr>
      <w:r>
        <w:t>A aceitação seguirá os critérios mínimos registrados na matriz de rastreabilidade. A POPULOS propõe, como instrumento complementar de apoio, checklists por entrega, sem prejuízo dos marcos formais de aceite do projeto: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Relatório de Assessment e documento de desenho entregues e aceitos formalmente pela Solaris.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Documento de desenho define as políticas de WAF e de controle de taxa de requisições para cada nome de host e API do inventário.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Documento de desenho define a detecção e as ações de resposta aos robôs na consulta de débitos.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Documento de desenho define as regras de failover, os testes de saúde de cada origem e o procedimento de retorno ao datacenter.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Plano de implantação e plano de prontidão para a campanha entregues, com janelas, reversão e aprovações.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Relatórios da Fase 1 revisados sem CPF, nome ou endereço em claro.</w:t>
      </w:r>
    </w:p>
    <w:p>
      <w:pPr>
        <w:keepNext/>
        <w:keepLines/>
        <w:spacing w:after="120" w:line="276" w:lineRule="auto"/>
      </w:pPr>
      <w:r>
        <w:t>Critérios de aceite — Implantação da proteção e do failover, aplicáveis somente se contratada: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Em teste controlado na janela de terça, requisições acima do limite de taxa definido no desenho para a consulta de débitos são bloqueadas pela borda e registradas no painel do App &amp; API Protector.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Bot Manager Premier classifica o tráfego automatizado na consulta de débitos e aplica a ação definida no desenho, com relatório de detecções entregue à Solaris.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Em teste na janela de terça, com a origem do datacenter marcada como indisponível, o Global Traffic Management passa a responder com a nuvem pública sem ação manual, e retorna ao datacenter após a normalização.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Itens do plano de prontidão para a campanha executados e registrados antes de 01/03/2027.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Registros e relatórios entregues na Fase 2 revisados sem CPF, nome ou endereço em claro.</w:t>
      </w:r>
    </w:p>
    <w:p w14:paraId="26E65A66" w14:textId="77777777" w:rsidR="00BB2913" w:rsidRDefault="00BB2913" w:rsidP="00BB2913">
      <w:pPr>
        <w:spacing w:after="60" w:line="270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45A687A1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Marcos formais de aceite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Marcos: aceite do desenho da Fase 1 e, se contratada, aceite da Fase 2.</w:t>
            </w:r>
          </w:p>
        </w:tc>
      </w:tr>
    </w:tbl>
    <w:p w14:paraId="20ADFDB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11.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Garantia Técnica</w:t>
      </w:r>
    </w:p>
    <w:p>
      <w:pPr>
        <w:spacing w:after="120" w:line="276" w:lineRule="auto"/>
      </w:pPr>
      <w:r>
        <w:t>A garantia técnica cobre a correção de defeitos diretamente atribuíveis aos serviços executados pela POPULOS. O prazo consta do quadro Garantia e vigência.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04B9EB64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Garantia e vigência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POPULOS corrigirá defeitos diretamente atribuíveis aos serviços executados por 90 dias corridos após o aceite de cada fase.</w:t>
            </w:r>
          </w:p>
        </w:tc>
      </w:tr>
    </w:tbl>
    <w:p w14:paraId="4251E7E2" w14:textId="77777777" w:rsidR="00F71DA0" w:rsidRDefault="00F71DA0">
      <w:pPr>
        <w:spacing w:after="120" w:line="276" w:lineRule="auto"/>
      </w:pPr>
    </w:p>
    <w:p>
      <w:pPr>
        <w:spacing w:after="120" w:line="276" w:lineRule="auto"/>
      </w:pPr>
      <w:r>
        <w:t>A POPULOS permanece à disposição para detalhar esta proposta com a equipe da Solaris Energia.</w:t>
      </w:r>
    </w:p>
    <w:p w14:paraId="5A1A0001" w14:textId="77777777" w:rsidR="0039468C" w:rsidRDefault="00000000">
      <w:pPr>
        <w:pStyle w:val="Ttulo2"/>
        <w:keepNext/>
        <w:keepLines/>
        <w:spacing w:before="220" w:after="90"/>
      </w:pPr>
      <w:r>
        <w:rPr>
          <w:rFonts w:ascii="Lato" w:hAnsi="Lato"/>
          <w:b/>
          <w:bCs/>
          <w:sz w:val="25"/>
        </w:rPr>
        <w:t>Condições de atendimento</w:t>
      </w:r>
    </w:p>
    <w:p>
      <w:pPr>
        <w:spacing w:after="120" w:line="276" w:lineRule="auto"/>
      </w:pPr>
      <w:r>
        <w:t>O padrão institucional de atendimento abaixo aplica-se somente a: Implantação da proteção e do failover (opcional), para falhas atribuíveis aos serviços executados. Nas demais fases, não há compromisso de tempo de atendimento.</w:t>
      </w:r>
    </w:p>
    <w:p w14:paraId="56D09804" w14:textId="77777777" w:rsidR="00263911" w:rsidRDefault="00263911">
      <w:pPr>
        <w:spacing w:after="120" w:line="276" w:lineRule="auto"/>
      </w:pPr>
    </w:p>
    <w:p w14:paraId="7FC73105" w14:textId="77777777" w:rsidR="00263911" w:rsidRDefault="00263911">
      <w:pPr>
        <w:spacing w:after="120" w:line="276" w:lineRule="auto"/>
      </w:pPr>
    </w:p>
    <w:tbl>
      <w:tblPr>
        <w:tblpPr w:leftFromText="141" w:rightFromText="141" w:vertAnchor="text" w:tblpY="1"/>
        <w:tblOverlap w:val="never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065"/>
        <w:gridCol w:w="3695"/>
      </w:tblGrid>
      <w:tr w:rsidR="000025B6" w14:paraId="086C88CC" w14:textId="77777777" w:rsidTr="00263911">
        <w:trPr>
          <w:tblHeader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C13410" w14:textId="77777777" w:rsidR="0039468C" w:rsidRDefault="00000000" w:rsidP="00263911">
            <w:r>
              <w:rPr>
                <w:b/>
                <w:bCs/>
                <w:color w:val="FFFFFF"/>
              </w:rPr>
              <w:lastRenderedPageBreak/>
              <w:t>Severidade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F7424D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Tempo de Resposta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B73A72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Tempo de Resolução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4A0347" w14:textId="77777777" w:rsidR="0039468C" w:rsidRDefault="00000000" w:rsidP="00263911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0025B6" w14:paraId="60073BC3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26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C8B0F5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ALTA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97F59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1 hora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732BA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4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1E8A8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Situação de alto impacto que possivelmente coloque em risco o ambiente de produção. A apresentação de uma solução de contorno (workaround) também é considerada tempo de solução.</w:t>
            </w:r>
          </w:p>
        </w:tc>
      </w:tr>
      <w:tr w:rsidR="000025B6" w14:paraId="3EC3F82F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9770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8C93AA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MÉDIA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09A2D7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2 horas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B91A41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8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30E4BE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Situação de baixo impacto, podendo a maioria das funções do software ser usada; entretanto, alguma intervenção pode ser necessária. A apresentação de workaround também é considerada tempo de solução.</w:t>
            </w:r>
          </w:p>
        </w:tc>
      </w:tr>
      <w:tr w:rsidR="000025B6" w14:paraId="5BD768E3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5966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14EE86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BAIXA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0F8782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16 horas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E7798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24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ED53E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Solicitações de mudança, atualizações, gerenciamento de usuários, dúvidas, novas instalações ou publicações de aplicativos e outras ações planejadas.</w:t>
            </w:r>
          </w:p>
        </w:tc>
      </w:tr>
    </w:tbl>
    <w:p w14:paraId="5A1A0003" w14:textId="43317108" w:rsidR="0039468C" w:rsidRDefault="00263911">
      <w:pPr>
        <w:spacing w:after="60"/>
      </w:pPr>
      <w:r>
        <w:br w:type="textWrapping" w:clear="all"/>
      </w:r>
    </w:p>
    <w:p w14:paraId="5FE30D07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12.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Papéis e Responsabilidades do Projeto</w:t>
      </w:r>
    </w:p>
    <w:tbl>
      <w:tblPr>
        <w:tblW w:w="10348" w:type="dxa"/>
        <w:tblBorders>
          <w:top w:val="single" w:sz="2" w:space="0" w:color="D1D5DB"/>
          <w:bottom w:val="single" w:sz="2" w:space="0" w:color="D1D5D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13"/>
        <w:gridCol w:w="2835"/>
      </w:tblGrid>
      <w:tr w:rsidR="00F227EA" w14:paraId="6D32BE7C" w14:textId="77777777" w:rsidTr="0017666D">
        <w:trPr>
          <w:tblHeader/>
        </w:trPr>
        <w:tc>
          <w:tcPr>
            <w:tcW w:w="3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7BF27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Função / Área</w:t>
            </w:r>
          </w:p>
        </w:tc>
        <w:tc>
          <w:tcPr>
            <w:tcW w:w="4513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D0D71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Responsabilidades</w:t>
            </w:r>
          </w:p>
        </w:tc>
        <w:tc>
          <w:tcPr>
            <w:tcW w:w="2835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96C76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Compromisso</w:t>
            </w:r>
          </w:p>
        </w:tc>
      </w:tr>
      <w:tr w:rsidR="00F227EA" w14:paraId="652C4FBB" w14:textId="77777777" w:rsidTr="0017666D">
        <w:tc>
          <w:tcPr>
            <w:tcW w:w="3000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C29029" w14:textId="77777777" w:rsidR="00F227EA" w:rsidRDefault="00000000">
            <w:r>
              <w:rPr>
                <w:b/>
                <w:bCs/>
                <w:sz w:val="19"/>
                <w:szCs w:val="19"/>
              </w:rPr>
              <w:t>Arquiteta de soluções</w:t>
            </w:r>
          </w:p>
        </w:tc>
        <w:tc>
          <w:tcPr>
            <w:tcW w:w="4513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214B24" w14:textId="77777777" w:rsidR="00F227EA" w:rsidRDefault="00F227EA">
            <w:r>
              <w:t>Conduzir o Assessment e o desenho</w:t>
            </w:r>
          </w:p>
        </w:tc>
        <w:tc>
          <w:tcPr>
            <w:tcW w:w="2835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4C5A2E" w14:textId="77777777" w:rsidR="00F227EA" w:rsidRDefault="00F227EA">
            <w:r>
              <w:t>Fase 1 e Fase 2</w:t>
            </w:r>
          </w:p>
        </w:tc>
      </w:tr>
      <w:tr w:rsidR="00F227EA" w14:paraId="53D75110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FB9B89" w14:textId="77777777" w:rsidR="00F227EA" w:rsidRDefault="00000000">
            <w:r>
              <w:rPr>
                <w:sz w:val="19"/>
                <w:szCs w:val="19"/>
              </w:rPr>
              <w:t>Especialista de segurança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8AD879" w14:textId="77777777" w:rsidR="00F227EA" w:rsidRDefault="00000000">
            <w:r>
              <w:rPr>
                <w:sz w:val="19"/>
                <w:szCs w:val="19"/>
              </w:rPr>
              <w:t>Configurar políticas de aplicação e de robôs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F5D9E" w14:textId="77777777" w:rsidR="00F227EA" w:rsidRDefault="00000000">
            <w:r>
              <w:rPr>
                <w:sz w:val="19"/>
                <w:szCs w:val="19"/>
              </w:rPr>
              <w:t>Fase 2</w:t>
            </w:r>
          </w:p>
        </w:tc>
      </w:tr>
      <w:tr w:rsidR="00F227EA" w14:paraId="5B6E9CA2" w14:textId="77777777" w:rsidTr="0017666D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4DA46A" w14:textId="77777777" w:rsidR="00F227EA" w:rsidRDefault="00000000">
            <w:r>
              <w:rPr>
                <w:sz w:val="19"/>
                <w:szCs w:val="19"/>
              </w:rPr>
              <w:t>Gerente de projeto</w:t>
            </w:r>
          </w:p>
        </w:tc>
        <w:tc>
          <w:tcPr>
            <w:tcW w:w="45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A92290" w14:textId="77777777" w:rsidR="00F227EA" w:rsidRDefault="00000000">
            <w:r>
              <w:rPr>
                <w:sz w:val="19"/>
                <w:szCs w:val="19"/>
              </w:rPr>
              <w:t>Planejar janelas, aprovações e marcos de aceite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9FE705" w14:textId="77777777" w:rsidR="00F227EA" w:rsidRDefault="00000000">
            <w:r>
              <w:rPr>
                <w:sz w:val="19"/>
                <w:szCs w:val="19"/>
              </w:rPr>
              <w:t>Fase 1 e Fase 2</w:t>
            </w:r>
          </w:p>
        </w:tc>
      </w:tr>
      <w:tr w:rsidR="00F227EA" w14:paraId="2EFB69EF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7BC952" w14:textId="77777777" w:rsidR="00F227EA" w:rsidRDefault="00000000">
            <w:r>
              <w:rPr>
                <w:sz w:val="19"/>
                <w:szCs w:val="19"/>
              </w:rPr>
              <w:t>Solaris — Canais Digitais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719CB" w14:textId="77777777" w:rsidR="00F227EA" w:rsidRDefault="00000000">
            <w:r>
              <w:rPr>
                <w:sz w:val="19"/>
                <w:szCs w:val="19"/>
              </w:rPr>
              <w:t>Aprovar o desenho, priorizar as jornadas e decidir a contratação da Fase 2.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D553C4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  <w:tr w:rsidR="00F227EA" w14:paraId="19041142" w14:textId="77777777" w:rsidTr="0017666D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Solaris — Segurança</w:t>
            </w:r>
          </w:p>
        </w:tc>
        <w:tc>
          <w:tcPr>
            <w:tcW w:w="45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9EAE15" w14:textId="77777777" w:rsidR="00F227EA" w:rsidRDefault="00000000">
            <w:r>
              <w:rPr>
                <w:sz w:val="19"/>
                <w:szCs w:val="19"/>
              </w:rPr>
              <w:t>Validar as políticas de segurança e o tratamento de dados pessoais com o DPO.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890EA9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  <w:tr w:rsidR="00F227EA" w14:paraId="244B3390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Solaris — Infraestrutura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1EBDEA" w14:textId="77777777" w:rsidR="00F227EA" w:rsidRDefault="00000000">
            <w:r>
              <w:rPr>
                <w:sz w:val="19"/>
                <w:szCs w:val="19"/>
              </w:rPr>
              <w:t>Disponibilizar dados das origens, publicar os apontamentos no provedor de DNS e operar as janelas de terça.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687487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</w:tbl>
    <w:p w14:paraId="68A0A745" w14:textId="77777777" w:rsidR="00263911" w:rsidRDefault="00263911">
      <w:pPr>
        <w:pStyle w:val="Ttulo1"/>
        <w:keepNext/>
        <w:keepLines/>
        <w:pBdr>
          <w:bottom w:val="single" w:sz="6" w:space="4" w:color="6B46C1"/>
        </w:pBdr>
        <w:spacing w:before="320" w:after="140"/>
        <w:rPr>
          <w:rFonts w:ascii="Lato" w:eastAsia="Lato" w:hAnsi="Lato" w:cs="Lato"/>
          <w:b/>
          <w:bCs/>
          <w:color w:val="6B46C1"/>
          <w:sz w:val="30"/>
          <w:szCs w:val="30"/>
        </w:rPr>
      </w:pPr>
    </w:p>
    <w:p w14:paraId="4BCE6B76" w14:textId="17B07C63" w:rsidR="00F227EA" w:rsidRDefault="00000000">
      <w:pPr>
        <w:pStyle w:val="Ttulo1"/>
        <w:keepNext/>
        <w:keepLines/>
        <w:pageBreakBefore w:val="0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13.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Nota de Confidencialidade</w:t>
      </w:r>
    </w:p>
    <w:p>
      <w:pPr>
        <w:keepNext/>
        <w:spacing w:after="120" w:line="276" w:lineRule="auto"/>
      </w:pPr>
      <w:r>
        <w:t>Todas as informações deste documento são confidenciais e destinam-se exclusivamente à avaliação da proposta por Solaris Energia e pela POPULOS.</w:t>
      </w:r>
    </w:p>
    <w:p>
      <w:pPr>
        <w:keepNext/>
        <w:spacing w:after="200" w:line="276" w:lineRule="auto"/>
      </w:pPr>
      <w:r>
        <w:t>Os direitos de propriedade intelectual sobre trabalhos preexistentes, roteiros de instalação, automações e métodos da POPULOS permanecem com a POPULOS. A documentação técnica específica do ambiente será entregue a Solaris Energia conforme o escopo aprovado.</w:t>
      </w:r>
    </w:p>
    <w:p w14:paraId="797633B9" w14:textId="77777777" w:rsidR="00BD500C" w:rsidRDefault="00BD500C">
      <w:pPr>
        <w:spacing w:after="200" w:line="276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5F04289C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1FA577" w14:textId="77777777" w:rsidR="00F227EA" w:rsidRPr="00803FB7" w:rsidRDefault="00000000">
            <w:pPr>
              <w:spacing w:after="60"/>
              <w:rPr>
                <w:lang w:val="en-US"/>
              </w:rPr>
            </w:pPr>
            <w:r>
              <w:rPr>
                <w:rFonts w:ascii="Lato" w:eastAsia="Lato" w:hAnsi="Lato" w:cs="Lato"/>
                <w:b/>
                <w:bCs/>
                <w:color w:val="1F2A5E"/>
                <w:lang w:val="en-US"/>
              </w:rPr>
              <w:t>POPULOS — Enterprise Sales</w:t>
            </w:r>
          </w:p>
          <w:p w14:paraId="2B1BD1D3" w14:textId="2AAA9464" w:rsidR="00F227EA" w:rsidRPr="00803FB7" w:rsidRDefault="00BD500C">
            <w:pPr>
              <w:spacing w:after="40" w:line="276" w:lineRule="auto"/>
              <w:rPr>
                <w:lang w:val="en-US"/>
              </w:rPr>
            </w:pPr>
            <w:r>
              <w:rPr>
                <w:lang w:val="en-US"/>
              </w:rPr>
              <w:t>Brazil |  +55 (11) 3021-3761</w:t>
            </w:r>
          </w:p>
          <w:p w14:paraId="654D4E69" w14:textId="77777777" w:rsidR="00F227EA" w:rsidRPr="00803FB7" w:rsidRDefault="00000000">
            <w:pPr>
              <w:spacing w:after="20" w:line="276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Locations</w:t>
            </w:r>
          </w:p>
          <w:p w14:paraId="61C60C47" w14:textId="77777777" w:rsidR="00F227EA" w:rsidRPr="00803FB7" w:rsidRDefault="00000000">
            <w:pPr>
              <w:spacing w:after="20" w:line="276" w:lineRule="auto"/>
              <w:rPr>
                <w:lang w:val="en-US"/>
              </w:rPr>
            </w:pPr>
            <w:r>
              <w:rPr>
                <w:lang w:val="en-US"/>
              </w:rPr>
              <w:t>Deerfield Beach — 3275 W Hillsboro BLVD, FL 33442, United States</w:t>
            </w:r>
          </w:p>
          <w:p w14:paraId="05D1DC7C" w14:textId="77777777" w:rsidR="00F227EA" w:rsidRDefault="00000000">
            <w:pPr>
              <w:spacing w:line="276" w:lineRule="auto"/>
            </w:pPr>
            <w:r>
              <w:t>Av. Tamboré, 267 — Alphaville, Barueri — SP, 06460-000, Brasil</w:t>
            </w:r>
          </w:p>
        </w:tc>
      </w:tr>
    </w:tbl>
    <w:p w14:paraId="4403C193" w14:textId="77777777" w:rsidR="00263911" w:rsidRDefault="00263911" w:rsidP="00BE28E3">
      <w:pPr>
        <w:spacing w:before="100"/>
        <w:jc w:val="center"/>
        <w:rPr>
          <w:i/>
          <w:iCs/>
          <w:color w:val="6B7280"/>
          <w:sz w:val="15"/>
          <w:szCs w:val="15"/>
          <w:lang w:val="en-US"/>
        </w:rPr>
      </w:pPr>
    </w:p>
    <w:p w14:paraId="3D96BEEA" w14:textId="763E02F1" w:rsidR="00F227EA" w:rsidRPr="00803FB7" w:rsidRDefault="00000000" w:rsidP="00BE28E3">
      <w:pPr>
        <w:spacing w:before="100"/>
        <w:jc w:val="center"/>
        <w:rPr>
          <w:lang w:val="en-US"/>
        </w:rPr>
      </w:pPr>
      <w:r>
        <w:rPr>
          <w:i/>
          <w:iCs/>
          <w:color w:val="6B7280"/>
          <w:sz w:val="15"/>
          <w:szCs w:val="15"/>
          <w:lang w:val="en-US"/>
        </w:rPr>
        <w:t>Copyright © POPULOS. All rights reserved. POPULOS, the POPULOS logo, and other marks appearing herein are property of POPULOS Technology and/or one or more of its subsidiaries. All other marks are the property of their respective owners.</w:t>
      </w:r>
    </w:p>
    <w:sectPr w:rsidR="00F227EA" w:rsidRPr="00803FB7" w:rsidSect="00BC59F2">
      <w:headerReference w:type="default" r:id="rId17"/>
      <w:footerReference w:type="default" r:id="rId18"/>
      <w:pgSz w:w="12240" w:h="15840"/>
      <w:pgMar w:top="1304" w:right="1077" w:bottom="1304" w:left="107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3B45C6" w14:textId="77777777" w:rsidR="005854F8" w:rsidRDefault="005854F8">
      <w:r>
        <w:separator/>
      </w:r>
    </w:p>
  </w:endnote>
  <w:endnote w:type="continuationSeparator" w:id="0">
    <w:p w14:paraId="04629C59" w14:textId="77777777" w:rsidR="005854F8" w:rsidRDefault="00585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625736" w14:textId="77777777" w:rsidR="00F53D0F" w:rsidRDefault="0000000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30F5DD" w14:textId="77777777" w:rsidR="00F53D0F" w:rsidRDefault="00000000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B3EFD0" w14:textId="3D368F95" w:rsidR="00F227EA" w:rsidRDefault="009F3C05">
    <w:pPr>
      <w:pBdr>
        <w:top w:val="single" w:sz="6" w:space="4" w:color="6B46C1"/>
      </w:pBdr>
      <w:jc w:val="center"/>
    </w:pPr>
    <w:r>
      <w:rPr>
        <w:color w:val="6B7280"/>
        <w:sz w:val="16"/>
        <w:szCs w:val="16"/>
      </w:rPr>
      <w:t xml:space="preserve">POPULOS | AKAMAI Partner | Página </w:t>
    </w:r>
    <w:r>
      <w:rPr>
        <w:b/>
        <w:bCs/>
        <w:color w:val="1F2A5E"/>
        <w:sz w:val="16"/>
        <w:szCs w:val="16"/>
      </w:rPr>
      <w:fldChar w:fldCharType="begin"/>
    </w:r>
    <w:r>
      <w:rPr>
        <w:b/>
        <w:bCs/>
        <w:color w:val="1F2A5E"/>
        <w:sz w:val="16"/>
        <w:szCs w:val="16"/>
      </w:rPr>
      <w:instrText>PAGE</w:instrText>
    </w:r>
    <w:r>
      <w:rPr>
        <w:b/>
        <w:bCs/>
        <w:color w:val="1F2A5E"/>
        <w:sz w:val="16"/>
        <w:szCs w:val="16"/>
      </w:rPr>
      <w:fldChar w:fldCharType="separate"/>
    </w:r>
    <w:r w:rsidR="00803FB7">
      <w:rPr>
        <w:b/>
        <w:bCs/>
        <w:noProof/>
        <w:color w:val="1F2A5E"/>
        <w:sz w:val="16"/>
        <w:szCs w:val="16"/>
      </w:rPr>
      <w:t>2</w:t>
    </w:r>
    <w:r>
      <w:rPr>
        <w:b/>
        <w:bCs/>
        <w:color w:val="1F2A5E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b/>
        <w:bCs/>
        <w:color w:val="1F2A5E"/>
        <w:sz w:val="16"/>
        <w:szCs w:val="16"/>
      </w:rPr>
      <w:fldChar w:fldCharType="begin"/>
    </w:r>
    <w:r>
      <w:rPr>
        <w:b/>
        <w:bCs/>
        <w:color w:val="1F2A5E"/>
        <w:sz w:val="16"/>
        <w:szCs w:val="16"/>
      </w:rPr>
      <w:instrText>NUMPAGES</w:instrText>
    </w:r>
    <w:r>
      <w:rPr>
        <w:b/>
        <w:bCs/>
        <w:color w:val="1F2A5E"/>
        <w:sz w:val="16"/>
        <w:szCs w:val="16"/>
      </w:rPr>
      <w:fldChar w:fldCharType="separate"/>
    </w:r>
    <w:r w:rsidR="00803FB7">
      <w:rPr>
        <w:b/>
        <w:bCs/>
        <w:noProof/>
        <w:color w:val="1F2A5E"/>
        <w:sz w:val="16"/>
        <w:szCs w:val="16"/>
      </w:rPr>
      <w:t>3</w:t>
    </w:r>
    <w:r>
      <w:rPr>
        <w:b/>
        <w:bCs/>
        <w:color w:val="1F2A5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A7FB05" w14:textId="77777777" w:rsidR="005854F8" w:rsidRDefault="005854F8">
      <w:r>
        <w:separator/>
      </w:r>
    </w:p>
  </w:footnote>
  <w:footnote w:type="continuationSeparator" w:id="0">
    <w:p w14:paraId="05B877FB" w14:textId="77777777" w:rsidR="005854F8" w:rsidRDefault="00585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42FFF6" w14:textId="77777777" w:rsidR="00F53D0F" w:rsidRDefault="0000000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B87A19" w14:textId="77777777" w:rsidR="00F53D0F" w:rsidRDefault="00000000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54DE86" w14:textId="541B9CF5" w:rsidR="00F227EA" w:rsidRPr="00841401" w:rsidRDefault="00000000" w:rsidP="00841401">
    <w:pPr>
      <w:pBdr>
        <w:bottom w:val="single" w:sz="6" w:space="4" w:color="6B46C1"/>
      </w:pBdr>
      <w:jc w:val="right"/>
      <w:rPr>
        <w:color w:val="6B7280"/>
        <w:sz w:val="18"/>
        <w:szCs w:val="18"/>
      </w:rPr>
    </w:pPr>
    <w:r>
      <w:rPr>
        <w:b/>
        <w:bCs/>
        <w:color w:val="1F2A5E"/>
        <w:sz w:val="18"/>
        <w:szCs w:val="18"/>
      </w:rPr>
      <w:t>PROPOSTA TÉCNICA | Proteção do portal do cliente e failover automático entre origens - Solaris Energia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F8130EA"/>
    <w:multiLevelType w:val="hybridMultilevel"/>
    <w:tmpl w:val="EB1C226E"/>
    <w:lvl w:ilvl="0" w:tplc="B4B4DADA">
      <w:start w:val="1"/>
      <w:numFmt w:val="bullet"/>
      <w:lvlText w:val="●"/>
      <w:lvlJc w:val="left"/>
      <w:pPr>
        <w:ind w:left="560" w:hanging="360"/>
      </w:pPr>
      <w:rPr>
        <w:color w:val="6B46C1"/>
        <w:sz w:val="22"/>
        <w:szCs w:val="22"/>
      </w:rPr>
    </w:lvl>
    <w:lvl w:ilvl="1" w:tplc="4572AA4A">
      <w:start w:val="1"/>
      <w:numFmt w:val="bullet"/>
      <w:lvlText w:val="◦"/>
      <w:lvlJc w:val="left"/>
      <w:pPr>
        <w:ind w:left="900" w:hanging="260"/>
      </w:pPr>
    </w:lvl>
    <w:lvl w:ilvl="2" w:tplc="5D949178">
      <w:numFmt w:val="decimal"/>
      <w:lvlText w:val=""/>
      <w:lvlJc w:val="left"/>
    </w:lvl>
    <w:lvl w:ilvl="3" w:tplc="3BAA3BFE">
      <w:numFmt w:val="decimal"/>
      <w:lvlText w:val=""/>
      <w:lvlJc w:val="left"/>
    </w:lvl>
    <w:lvl w:ilvl="4" w:tplc="EE0013DC">
      <w:numFmt w:val="decimal"/>
      <w:lvlText w:val=""/>
      <w:lvlJc w:val="left"/>
    </w:lvl>
    <w:lvl w:ilvl="5" w:tplc="1FBE12FA">
      <w:numFmt w:val="decimal"/>
      <w:lvlText w:val=""/>
      <w:lvlJc w:val="left"/>
    </w:lvl>
    <w:lvl w:ilvl="6" w:tplc="4E928B7C">
      <w:numFmt w:val="decimal"/>
      <w:lvlText w:val=""/>
      <w:lvlJc w:val="left"/>
    </w:lvl>
    <w:lvl w:ilvl="7" w:tplc="77986DFE">
      <w:numFmt w:val="decimal"/>
      <w:lvlText w:val=""/>
      <w:lvlJc w:val="left"/>
    </w:lvl>
    <w:lvl w:ilvl="8" w:tplc="42644CDA">
      <w:numFmt w:val="decimal"/>
      <w:lvlText w:val=""/>
      <w:lvlJc w:val="left"/>
    </w:lvl>
  </w:abstractNum>
  <w:abstractNum w:abstractNumId="1" w15:restartNumberingAfterBreak="0">
    <w:nsid w:val="6A07502B"/>
    <w:multiLevelType w:val="hybridMultilevel"/>
    <w:tmpl w:val="AC2A4652"/>
    <w:lvl w:ilvl="0" w:tplc="4F3078CE">
      <w:start w:val="1"/>
      <w:numFmt w:val="bullet"/>
      <w:lvlText w:val="●"/>
      <w:lvlJc w:val="left"/>
      <w:pPr>
        <w:ind w:left="720" w:hanging="360"/>
      </w:pPr>
    </w:lvl>
    <w:lvl w:ilvl="1" w:tplc="F58CB7D2">
      <w:start w:val="1"/>
      <w:numFmt w:val="bullet"/>
      <w:lvlText w:val="○"/>
      <w:lvlJc w:val="left"/>
      <w:pPr>
        <w:ind w:left="1440" w:hanging="360"/>
      </w:pPr>
    </w:lvl>
    <w:lvl w:ilvl="2" w:tplc="725A7476">
      <w:start w:val="1"/>
      <w:numFmt w:val="bullet"/>
      <w:lvlText w:val="■"/>
      <w:lvlJc w:val="left"/>
      <w:pPr>
        <w:ind w:left="2160" w:hanging="360"/>
      </w:pPr>
    </w:lvl>
    <w:lvl w:ilvl="3" w:tplc="5B1803F2">
      <w:start w:val="1"/>
      <w:numFmt w:val="bullet"/>
      <w:lvlText w:val="●"/>
      <w:lvlJc w:val="left"/>
      <w:pPr>
        <w:ind w:left="2880" w:hanging="360"/>
      </w:pPr>
    </w:lvl>
    <w:lvl w:ilvl="4" w:tplc="AB486F06">
      <w:start w:val="1"/>
      <w:numFmt w:val="bullet"/>
      <w:lvlText w:val="○"/>
      <w:lvlJc w:val="left"/>
      <w:pPr>
        <w:ind w:left="3600" w:hanging="360"/>
      </w:pPr>
    </w:lvl>
    <w:lvl w:ilvl="5" w:tplc="BDB2E41A">
      <w:start w:val="1"/>
      <w:numFmt w:val="bullet"/>
      <w:lvlText w:val="■"/>
      <w:lvlJc w:val="left"/>
      <w:pPr>
        <w:ind w:left="4320" w:hanging="360"/>
      </w:pPr>
    </w:lvl>
    <w:lvl w:ilvl="6" w:tplc="4A80A58C">
      <w:start w:val="1"/>
      <w:numFmt w:val="bullet"/>
      <w:lvlText w:val="●"/>
      <w:lvlJc w:val="left"/>
      <w:pPr>
        <w:ind w:left="5040" w:hanging="360"/>
      </w:pPr>
    </w:lvl>
    <w:lvl w:ilvl="7" w:tplc="99FA9986">
      <w:start w:val="1"/>
      <w:numFmt w:val="bullet"/>
      <w:lvlText w:val="●"/>
      <w:lvlJc w:val="left"/>
      <w:pPr>
        <w:ind w:left="5760" w:hanging="360"/>
      </w:pPr>
    </w:lvl>
    <w:lvl w:ilvl="8" w:tplc="1B6682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8140C5"/>
    <w:multiLevelType w:val="hybridMultilevel"/>
    <w:tmpl w:val="067292E6"/>
    <w:lvl w:ilvl="0" w:tplc="B4B4DADA">
      <w:start w:val="1"/>
      <w:numFmt w:val="bullet"/>
      <w:lvlText w:val="●"/>
      <w:lvlJc w:val="left"/>
      <w:pPr>
        <w:ind w:left="763" w:hanging="360"/>
      </w:pPr>
      <w:rPr>
        <w:rFonts w:hint="default"/>
        <w:color w:val="6B46C1"/>
        <w:sz w:val="22"/>
        <w:szCs w:val="22"/>
      </w:rPr>
    </w:lvl>
    <w:lvl w:ilvl="1" w:tplc="0416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num w:numId="1" w16cid:durableId="77605820">
    <w:abstractNumId w:val="1"/>
    <w:lvlOverride w:ilvl="0">
      <w:startOverride w:val="1"/>
    </w:lvlOverride>
  </w:num>
  <w:num w:numId="2" w16cid:durableId="1448089016">
    <w:abstractNumId w:val="0"/>
  </w:num>
  <w:num w:numId="3" w16cid:durableId="1596523485">
    <w:abstractNumId w:val="2"/>
  </w:num>
  <w:num w:numId="4" w16cid:durableId="8555763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7EA"/>
    <w:rsid w:val="00040C3A"/>
    <w:rsid w:val="000439AE"/>
    <w:rsid w:val="00061930"/>
    <w:rsid w:val="000637DB"/>
    <w:rsid w:val="000B2FDA"/>
    <w:rsid w:val="000D66FE"/>
    <w:rsid w:val="000F4CAE"/>
    <w:rsid w:val="00122D97"/>
    <w:rsid w:val="00123062"/>
    <w:rsid w:val="00124352"/>
    <w:rsid w:val="0017666D"/>
    <w:rsid w:val="001D6306"/>
    <w:rsid w:val="00201DA6"/>
    <w:rsid w:val="00263911"/>
    <w:rsid w:val="002B62A7"/>
    <w:rsid w:val="003212B8"/>
    <w:rsid w:val="00367582"/>
    <w:rsid w:val="00384C04"/>
    <w:rsid w:val="0039468C"/>
    <w:rsid w:val="003D6743"/>
    <w:rsid w:val="003D68CE"/>
    <w:rsid w:val="004236FB"/>
    <w:rsid w:val="004260B1"/>
    <w:rsid w:val="004A0FD6"/>
    <w:rsid w:val="004D3A65"/>
    <w:rsid w:val="00563A4C"/>
    <w:rsid w:val="00585448"/>
    <w:rsid w:val="005854F8"/>
    <w:rsid w:val="005E1836"/>
    <w:rsid w:val="005E72CB"/>
    <w:rsid w:val="005F7E51"/>
    <w:rsid w:val="006161F1"/>
    <w:rsid w:val="00657CD9"/>
    <w:rsid w:val="00664B6A"/>
    <w:rsid w:val="006A41E5"/>
    <w:rsid w:val="007576C4"/>
    <w:rsid w:val="00803FB7"/>
    <w:rsid w:val="0081108E"/>
    <w:rsid w:val="00821580"/>
    <w:rsid w:val="00841401"/>
    <w:rsid w:val="008B4400"/>
    <w:rsid w:val="008D0CE0"/>
    <w:rsid w:val="008E6617"/>
    <w:rsid w:val="0093334E"/>
    <w:rsid w:val="00944AC1"/>
    <w:rsid w:val="00965FFC"/>
    <w:rsid w:val="009E38D4"/>
    <w:rsid w:val="009E74E3"/>
    <w:rsid w:val="009F3C05"/>
    <w:rsid w:val="00A1027D"/>
    <w:rsid w:val="00AC3773"/>
    <w:rsid w:val="00AD7401"/>
    <w:rsid w:val="00B511D1"/>
    <w:rsid w:val="00B55639"/>
    <w:rsid w:val="00BB0D50"/>
    <w:rsid w:val="00BB2913"/>
    <w:rsid w:val="00BC59F2"/>
    <w:rsid w:val="00BD500C"/>
    <w:rsid w:val="00BE28E3"/>
    <w:rsid w:val="00BF323B"/>
    <w:rsid w:val="00C21CFE"/>
    <w:rsid w:val="00C459CB"/>
    <w:rsid w:val="00C50EC5"/>
    <w:rsid w:val="00C579FF"/>
    <w:rsid w:val="00D24A21"/>
    <w:rsid w:val="00D25F5B"/>
    <w:rsid w:val="00D31BD9"/>
    <w:rsid w:val="00D45053"/>
    <w:rsid w:val="00E20C93"/>
    <w:rsid w:val="00ED213E"/>
    <w:rsid w:val="00ED2387"/>
    <w:rsid w:val="00ED4DB0"/>
    <w:rsid w:val="00F227EA"/>
    <w:rsid w:val="00F327E1"/>
    <w:rsid w:val="00F46CDF"/>
    <w:rsid w:val="00F50886"/>
    <w:rsid w:val="00F53D0F"/>
    <w:rsid w:val="00F71DA0"/>
    <w:rsid w:val="00F87B90"/>
    <w:rsid w:val="00FD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2E59E"/>
  <w15:docId w15:val="{B8AFE555-A88C-F341-BD58-3C839FBA15A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374151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448"/>
    <w:pPr>
      <w:jc w:val="both"/>
    </w:pPr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Normal0">
    <w:name w:val="Normal0"/>
    <w:qFormat/>
    <w:rsid w:val="00AC3773"/>
    <w:pPr>
      <w:spacing w:after="200" w:line="312" w:lineRule="auto"/>
      <w:ind w:left="-6"/>
    </w:pPr>
    <w:rPr>
      <w:rFonts w:ascii="Lato" w:eastAsia="Lato" w:hAnsi="Lato" w:cs="Lato"/>
      <w:color w:val="595959"/>
      <w:sz w:val="20"/>
      <w:szCs w:val="20"/>
      <w:lang w:eastAsia="en-US"/>
    </w:rPr>
  </w:style>
  <w:style w:type="paragraph" w:customStyle="1" w:styleId="Subtitle0">
    <w:name w:val="Subtitle0"/>
    <w:basedOn w:val="Normal0"/>
    <w:next w:val="Normal0"/>
    <w:rsid w:val="00AC3773"/>
    <w:pPr>
      <w:keepNext/>
      <w:keepLines/>
    </w:pPr>
    <w:rPr>
      <w:b/>
      <w:color w:val="666666"/>
      <w:sz w:val="40"/>
      <w:szCs w:val="40"/>
    </w:rPr>
  </w:style>
  <w:style w:type="paragraph" w:styleId="Cabealho">
    <w:name w:val="header"/>
    <w:basedOn w:val="Normal"/>
    <w:link w:val="CabealhoChar"/>
    <w:uiPriority w:val="99"/>
    <w:unhideWhenUsed/>
    <w:rsid w:val="00AC377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C3773"/>
  </w:style>
  <w:style w:type="paragraph" w:styleId="Rodap">
    <w:name w:val="footer"/>
    <w:basedOn w:val="Normal"/>
    <w:link w:val="RodapChar"/>
    <w:uiPriority w:val="99"/>
    <w:unhideWhenUsed/>
    <w:rsid w:val="00AC377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C3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2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aa116b-8286-452a-ad11-9bfb85584ae0">
      <Terms xmlns="http://schemas.microsoft.com/office/infopath/2007/PartnerControls"/>
    </lcf76f155ced4ddcb4097134ff3c332f>
    <TaxCatchAll xmlns="219277de-6618-4cc7-bdb8-2ede8afd49f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D9AD5308FF7D4B91152391E51B657F" ma:contentTypeVersion="19" ma:contentTypeDescription="Crie um novo documento." ma:contentTypeScope="" ma:versionID="6213242d335f4d963f0fc8e055b000e9">
  <xsd:schema xmlns:xsd="http://www.w3.org/2001/XMLSchema" xmlns:xs="http://www.w3.org/2001/XMLSchema" xmlns:p="http://schemas.microsoft.com/office/2006/metadata/properties" xmlns:ns2="57aa116b-8286-452a-ad11-9bfb85584ae0" xmlns:ns3="219277de-6618-4cc7-bdb8-2ede8afd49fb" targetNamespace="http://schemas.microsoft.com/office/2006/metadata/properties" ma:root="true" ma:fieldsID="4ce8b9b105c99073f40ae004358d12b6" ns2:_="" ns3:_="">
    <xsd:import namespace="57aa116b-8286-452a-ad11-9bfb85584ae0"/>
    <xsd:import namespace="219277de-6618-4cc7-bdb8-2ede8afd49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aa116b-8286-452a-ad11-9bfb85584a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f566eb4a-84a7-4f03-9cf4-83584b28a2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9277de-6618-4cc7-bdb8-2ede8afd49f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150c78be-d6dd-4461-b83c-1af308392aaf}" ma:internalName="TaxCatchAll" ma:showField="CatchAllData" ma:web="219277de-6618-4cc7-bdb8-2ede8afd49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6CF224-2329-41B7-AB5E-00AECA73DCE6}">
  <ds:schemaRefs>
    <ds:schemaRef ds:uri="http://schemas.microsoft.com/office/2006/metadata/properties"/>
    <ds:schemaRef ds:uri="http://schemas.microsoft.com/office/infopath/2007/PartnerControls"/>
    <ds:schemaRef ds:uri="57aa116b-8286-452a-ad11-9bfb85584ae0"/>
    <ds:schemaRef ds:uri="219277de-6618-4cc7-bdb8-2ede8afd49fb"/>
  </ds:schemaRefs>
</ds:datastoreItem>
</file>

<file path=customXml/itemProps2.xml><?xml version="1.0" encoding="utf-8"?>
<ds:datastoreItem xmlns:ds="http://schemas.openxmlformats.org/officeDocument/2006/customXml" ds:itemID="{3BA5B480-FB04-CF4D-888F-22A6B84659D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BF81703-7A1A-410C-944C-CACF4BA2BB7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74AE9F9-6353-432E-B7B2-AD52FEF704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aa116b-8286-452a-ad11-9bfb85584ae0"/>
    <ds:schemaRef ds:uri="219277de-6618-4cc7-bdb8-2ede8afd49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3449</Words>
  <Characters>20175</Characters>
  <Application>Microsoft Office Word</Application>
  <DocSecurity>0</DocSecurity>
  <Lines>567</Lines>
  <Paragraphs>326</Paragraphs>
  <ScaleCrop>false</ScaleCrop>
  <Company/>
  <LinksUpToDate>false</LinksUpToDate>
  <CharactersWithSpaces>23399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técnica — Solaris Energia</dc:title>
  <dc:creator>POPULOS Sales Engineering</dc:creator>
  <cp:lastModifiedBy>Paulo Barbosa | Secbuilder</cp:lastModifiedBy>
  <cp:revision>3</cp:revision>
  <cp:lastPrinted>2026-07-23T18:30:00Z</cp:lastPrinted>
  <dcterms:created xsi:type="dcterms:W3CDTF">2026-07-23T18:30:00Z</dcterms:created>
  <dcterms:modified xsi:type="dcterms:W3CDTF">2026-07-23T18:30:00Z</dcterms:modified>
  <dc:subject>Proteção do portal do cliente e failover automático entre origens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0x01010010D9AD5308FF7D4B91152391E51B657F</vt:lpwstr>
  </property>
  <property fmtid="{D5CDD505-2E9C-101B-9397-08002B2CF9AE}" pid="3" name="MediaServiceImageTags">
    <vt:lpwstr/>
  </property>
</Properties>
</file>