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E2A33" w14:textId="0B40027C" w:rsidR="00AC3773" w:rsidRDefault="00B55639" w:rsidP="00AC3773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  <w:r>
        <w:fldChar w:fldCharType="begin"/>
      </w:r>
      <w:r>
        <w:instrText xml:space="preserve"> INCLUDEPICTURE "https://yt3.googleusercontent.com/GM9aUAG2BP22F7JircpALbMAoRz2rOY94R9NJwkmcJ8NxGaWWXNtYA3hYYKkNvVyK3_utBIL=s900-c-k-c0x00ffffff-no-rj" \* MERGEFORMATINET </w:instrText>
      </w:r>
      <w:r>
        <w:fldChar w:fldCharType="separate"/>
      </w:r>
      <w:r>
        <w:fldChar w:fldCharType="end"/>
      </w:r>
      <w:r>
        <w:rPr>
          <w:rFonts w:ascii="Open Sans" w:eastAsia="Open Sans" w:hAnsi="Open Sans" w:cs="Open Sans"/>
          <w:noProof/>
          <w:color w:val="695D46"/>
        </w:rPr>
        <w:drawing>
          <wp:anchor distT="0" distB="0" distL="114300" distR="114300" simplePos="0" relativeHeight="251659264" behindDoc="1" locked="0" layoutInCell="1" allowOverlap="1" wp14:anchorId="43DCC4BD" wp14:editId="023D3B8F">
            <wp:simplePos x="0" y="0"/>
            <wp:positionH relativeFrom="page">
              <wp:posOffset>0</wp:posOffset>
            </wp:positionH>
            <wp:positionV relativeFrom="paragraph">
              <wp:posOffset>-339984</wp:posOffset>
            </wp:positionV>
            <wp:extent cx="7781192" cy="10729945"/>
            <wp:effectExtent l="0" t="0" r="4445" b="1905"/>
            <wp:wrapNone/>
            <wp:docPr id="130306582" name="Imagem 1" descr="A blue and white background with text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82" name="Imagem 1" descr="A blue and white background with text  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192" cy="107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754C45" w14:textId="7E032A73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A5E188D" w14:textId="00A8B694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23181CB" w14:textId="00855A1A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1643B38F" w14:textId="3A5BA65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EB4215D" w14:textId="0767440C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DE965B7" w14:textId="2148EEE9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047235B5" w14:textId="360FA79E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38E5ED0D" w14:textId="307D5FAD" w:rsidR="00C50EC5" w:rsidRDefault="00C50EC5" w:rsidP="00C50EC5">
      <w:pPr>
        <w:pStyle w:val="Subtitle0"/>
        <w:spacing w:after="0" w:line="276" w:lineRule="auto"/>
        <w:ind w:left="0"/>
        <w:rPr>
          <w:color w:val="FFFFFF" w:themeColor="background1"/>
          <w:sz w:val="48"/>
          <w:szCs w:val="48"/>
        </w:rPr>
      </w:pPr>
    </w:p>
    <w:p w14:paraId="51E2F662" w14:textId="4F63DEF6" w:rsidR="00C50EC5" w:rsidRPr="009A297D" w:rsidRDefault="00C50EC5" w:rsidP="00C50EC5">
      <w:pPr>
        <w:pStyle w:val="Subtitle0"/>
        <w:spacing w:after="0" w:line="276" w:lineRule="auto"/>
        <w:ind w:left="0" w:firstLine="1134"/>
        <w:rPr>
          <w:color w:val="FFFFFF" w:themeColor="background1"/>
          <w:sz w:val="48"/>
          <w:szCs w:val="48"/>
        </w:rPr>
      </w:pPr>
      <w:r>
        <w:rPr>
          <w:color w:val="FFFFFF" w:themeColor="background1"/>
          <w:sz w:val="48"/>
          <w:szCs w:val="48"/>
        </w:rPr>
        <w:t>PROPOSTA TÉCNICA</w:t>
      </w:r>
    </w:p>
    <w:p w14:paraId="0B130125" w14:textId="6D9BC620" w:rsidR="00C50EC5" w:rsidRDefault="00C50EC5" w:rsidP="00C50EC5">
      <w:pPr>
        <w:pStyle w:val="Subtitle0"/>
        <w:spacing w:after="0" w:line="276" w:lineRule="auto"/>
        <w:ind w:firstLine="1134"/>
        <w:rPr>
          <w:color w:val="FFFFFF" w:themeColor="background1"/>
        </w:rPr>
      </w:pPr>
    </w:p>
    <w:p>
      <w:pPr>
        <w:pStyle w:val="Subtitle0"/>
        <w:spacing w:after="0" w:line="276" w:lineRule="auto"/>
        <w:ind w:left="1134" w:right="758"/>
        <w:rPr>
          <w:b w:val="0"/>
          <w:bCs/>
          <w:color w:val="FFFFFF" w:themeColor="background1"/>
        </w:rPr>
      </w:pPr>
      <w:r>
        <w:rPr>
          <w:b w:val="0"/>
          <w:bCs/>
          <w:color w:val="FFFFFF" w:themeColor="background1"/>
        </w:rPr>
        <w:t>Proteção e continuidade do portal do cliente · Solaris Energia · PROP-SOLARIS-2026-001</w:t>
      </w:r>
    </w:p>
    <w:p>
      <w:pPr>
        <w:pStyle w:val="Normal0"/>
        <w:ind w:firstLine="1134"/>
        <w:rPr>
          <w:color w:val="FFFFFF" w:themeColor="background1"/>
        </w:rPr>
      </w:pPr>
      <w:r>
        <w:rPr>
          <w:color w:val="FFFFFF" w:themeColor="background1"/>
        </w:rPr>
        <w:t>EMPRESA: Solaris Energia</w:t>
      </w:r>
    </w:p>
    <w:p>
      <w:pPr>
        <w:pStyle w:val="Normal0"/>
        <w:spacing w:after="0" w:line="276" w:lineRule="auto"/>
        <w:ind w:firstLine="1134"/>
        <w:rPr>
          <w:color w:val="FFFFFF" w:themeColor="background1"/>
        </w:rPr>
      </w:pPr>
      <w:r>
        <w:rPr>
          <w:color w:val="FFFFFF" w:themeColor="background1"/>
        </w:rPr>
        <w:t>| SETEMBRO 2026 |</w:t>
      </w:r>
    </w:p>
    <w:p w14:paraId="498C438A" w14:textId="799C8663" w:rsidR="00F227EA" w:rsidRDefault="00B55639" w:rsidP="00BC59F2">
      <w:pPr>
        <w:spacing w:line="240" w:lineRule="exact"/>
        <w:jc w:val="left"/>
        <w:sectPr w:rsidR="00F227EA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/>
          <w:pgMar w:top="0" w:right="0" w:bottom="0" w:left="0" w:header="0" w:footer="0" w:gutter="0"/>
          <w:cols w:space="720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05B9463" wp14:editId="09D1AD0E">
            <wp:simplePos x="0" y="0"/>
            <wp:positionH relativeFrom="column">
              <wp:posOffset>2580640</wp:posOffset>
            </wp:positionH>
            <wp:positionV relativeFrom="paragraph">
              <wp:posOffset>499745</wp:posOffset>
            </wp:positionV>
            <wp:extent cx="2092960" cy="2092960"/>
            <wp:effectExtent l="0" t="0" r="2540" b="2540"/>
            <wp:wrapNone/>
            <wp:docPr id="497703951" name="Imagem 2" descr="Logo do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ogo do cli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641" cy="209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7EEC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Sobre a POPULOS</w:t>
      </w:r>
    </w:p>
    <w:p w14:paraId="3C604CD7" w14:textId="77777777" w:rsidR="00F227EA" w:rsidRDefault="00000000">
      <w:pPr>
        <w:spacing w:after="120" w:line="276" w:lineRule="auto"/>
      </w:pPr>
      <w:r>
        <w:t>A POPULOS nasceu em São Paulo com o objetivo de levar o futuro para organizações de todos os tipos e tamanhos, através da entrega de soluções que têm o poder de transformar radicalmente a forma como as pessoas trabalham, criam e colaboram.</w:t>
      </w:r>
    </w:p>
    <w:p w14:paraId="5570BA4F" w14:textId="61F7A7ED" w:rsidR="00F227EA" w:rsidRDefault="00000000">
      <w:pPr>
        <w:spacing w:after="120" w:line="276" w:lineRule="auto"/>
      </w:pPr>
      <w:r>
        <w:t>Muito mais do que entregar ferramentas tecnológicas, temos como objetivo ajudar organizações a pensar e executar o trabalho de forma diferente, entrando na era do trabalho 3.0. A POPULOS é especialista e líder na América Latina em soluções de Segurança, End-User Computing, Infraestrutura, Redes e Cloud.</w:t>
      </w:r>
    </w:p>
    <w:p w14:paraId="60A8393F" w14:textId="77777777" w:rsidR="00F227EA" w:rsidRDefault="00000000">
      <w:pPr>
        <w:spacing w:after="120" w:line="276" w:lineRule="auto"/>
      </w:pPr>
      <w:r>
        <w:t>Somos um agente da transformação digital. Nossa missão é compartilhar a visão do futuro do trabalho e entregar os meios para que organizações obtenham os melhores resultados em um mundo que se transforma rápido, suprindo os interesses das áreas de TI, segurança e operações.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Sobre a Akamai</w:t>
      </w:r>
    </w:p>
    <w:p>
      <w:pPr>
        <w:spacing w:after="120" w:line="276" w:lineRule="auto"/>
      </w:pPr>
      <w:r>
        <w:t>A Akamai oferece uma plataforma de borda para entrega e proteção de aplicações. Nesta proposta são utilizados o App &amp; API Protector, o Bot Manager Premier e o Global Traffic Management.</w:t>
      </w:r>
    </w:p>
    <w:p>
      <w:pPr>
        <w:spacing w:after="120" w:line="276" w:lineRule="auto"/>
      </w:pPr>
      <w:r>
        <w:t>A solução protege o portal e as APIs do app contra ataques de aplicação e robôs e torna automático o failover entre o datacenter e a nuvem pública.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Parceria POPULOS e Akamai</w:t>
      </w:r>
    </w:p>
    <w:p>
      <w:pPr>
        <w:spacing w:after="120" w:line="276" w:lineRule="auto"/>
      </w:pPr>
      <w:r>
        <w:t>A POPULOS fornece as licenças Akamai por meio de revenda autorizada e conduz o assessment, o desenho e a implantação.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Arquitetura de proteção de aplicações e APIs na borda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Gestão de robôs e automação maliciosa</w:t>
      </w:r>
    </w:p>
    <w:p>
      <w:pPr>
        <w:pStyle w:val="PargrafodaLista"/>
        <w:numPr>
          <w:ilvl w:val="0"/>
          <w:numId w:val="3"/>
        </w:numPr>
        <w:spacing w:after="120" w:line="276" w:lineRule="auto"/>
      </w:pPr>
      <w:r>
        <w:t>Continuidade entre múltiplas origens por roteamento DNS</w:t>
      </w:r>
    </w:p>
    <w:p>
      <w:pPr>
        <w:spacing w:after="120" w:line="276" w:lineRule="auto"/>
      </w:pPr>
      <w:r>
        <w:t>A composição final da equipe será confirmada no plano de projeto, preservando as competências exigidas para cada frente.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3AFBBE49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Aderência e qualificações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A equipe alocada reúne competências em proteção de aplicações, gestão de robôs e continuidade entre origens.</w:t>
            </w:r>
          </w:p>
        </w:tc>
      </w:tr>
    </w:tbl>
    <w:p w14:paraId="594D7819" w14:textId="77777777" w:rsidR="00ED2387" w:rsidRDefault="00ED2387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66BFB71B" w14:textId="0C054DC3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Sumário Executivo</w:t>
      </w:r>
    </w:p>
    <w:p>
      <w:pPr>
        <w:spacing w:after="120" w:line="276" w:lineRule="auto"/>
      </w:pPr>
      <w:r>
        <w:rPr>
          <w:b/>
          <w:bCs/>
        </w:rPr>
        <w:t>A Solaris Energia é distribuidora de energia em 3 estados e atende 4,2 milhões de unidades consumidoras. O portal do cliente, cujas APIs também servem o app, concentra segunda via de conta, pedido de religação e consulta de débitos.</w:t>
      </w:r>
    </w:p>
    <w:p>
      <w:pPr>
        <w:spacing w:after="120" w:line="276" w:lineRule="auto"/>
      </w:pPr>
      <w:r>
        <w:t>Em junho e em agosto o portal ficou indisponível por cerca de 3 horas em cada episódio, por ataques de negação de serviço na camada de aplicação com milhões de requisições na consulta de débitos. Robôs também testam números de CPF nessa página, e a contingência entre o datacenter e a nuvem pública depende hoje de ação manual.</w:t>
      </w:r>
    </w:p>
    <w:p>
      <w:pPr>
        <w:keepLines/>
        <w:spacing w:after="120" w:line="276" w:lineRule="auto"/>
      </w:pPr>
      <w:r>
        <w:t>A POPULOS propõe um engajamento em duas fases. A Fase 1, contratada nesta proposta, realiza o assessment e o desenho da solução com App &amp; API Protector, Bot Manager Premier e Global Traffic Management. A Fase 2, de implantação, é apresentada como opção e será contratada após o aceite do desenho, com o objetivo de chegar à campanha estadual de renegociação de dívidas de 01/03/2027 com a proteção e o failover automático em operação.</w:t>
      </w:r>
    </w:p>
    <w:p>
      <w:pPr>
        <w:keepLines/>
        <w:spacing w:after="120" w:line="276" w:lineRule="auto"/>
      </w:pPr>
      <w:r>
        <w:t>Viabilidade frente a Campanha estadual de renegociação de dívidas (01/03/2027): cabe no prazo. Com início em 24/09/2026 e a sequência Fase 1 - Assessment e desenho → Provisionamento das licenças Akamai → Implantação da proteção e do failover automático (opcional), a conclusão fica entre 26/11/2026 e 31/12/2026. Para cumprir a data limite, o início deve ocorrer até 23/11/2026. Ressalvas: não há folga de estabilização aprovada: a conclusão pode coincidir com a data limite.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Continuidade entre origens — Global Traffic Management.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de aplicação e APIs — App &amp; API Protector.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Controle de robôs — Bot Manager Premier.</w:t>
      </w:r>
    </w:p>
    <w:p>
      <w:pPr>
        <w:spacing w:after="60" w:line="276" w:lineRule="auto"/>
      </w:pPr>
      <w:r>
        <w:rPr>
          <w:b/>
          <w:bCs/>
        </w:rPr>
        <w:t>A proposta cobre três frentes: proteção de aplicação e APIs, controle de robôs na consulta de débitos e continuidade entre as duas origens.</w:t>
      </w:r>
    </w:p>
    <w:p w14:paraId="71911788" w14:textId="77777777" w:rsidR="003D6743" w:rsidRDefault="003D6743">
      <w:pPr>
        <w:spacing w:after="6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60F0B8BA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Modelo de fornecimento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Licenças Akamai fornecidas pela POPULOS por meio de revenda autorizada. revenda autorizada</w:t>
            </w:r>
          </w:p>
        </w:tc>
      </w:tr>
    </w:tbl>
    <w:p w14:paraId="0DEBA0B3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Objetivos do Projeto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Manter o portal do cliente e as APIs do app disponíveis durante ataques de negação de serviço na camada de aplicação (REQ-01)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Impedir que robôs testem números de CPF na consulta de débitos (REQ-02)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Automatizar o failover entre o datacenter próprio e a nuvem pública (REQ-03)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Chegar à campanha estadual de renegociação de dívidas de 01/03/2027 com proteção e failover automático em operação (REQ-04)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Decidir a implantação com base em assessment e desenho aprovados (REQ-05)</w:t>
      </w:r>
    </w:p>
    <w:p w14:paraId="6845968B" w14:textId="77777777" w:rsidR="00BC59F2" w:rsidRDefault="00BC59F2" w:rsidP="00BC59F2">
      <w:pPr>
        <w:spacing w:after="60" w:line="270" w:lineRule="auto"/>
      </w:pPr>
    </w:p>
    <w:p w14:paraId="60915E81" w14:textId="77777777" w:rsidR="00BC59F2" w:rsidRDefault="00BC59F2" w:rsidP="00BC59F2">
      <w:pPr>
        <w:spacing w:after="60" w:line="270" w:lineRule="auto"/>
      </w:pPr>
    </w:p>
    <w:p w14:paraId="06204E69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Descrição da Solução</w:t>
      </w:r>
    </w:p>
    <w:p>
      <w:pPr>
        <w:spacing w:after="120" w:line="276" w:lineRule="auto"/>
      </w:pPr>
      <w:r>
        <w:t>O tráfego do portal e do app passa pela borda Akamai, onde o App &amp; API Protector filtra ataques de aplicação e o Bot Manager Premier trata os robôs na consulta de débitos; o Global Traffic Management decide, por testes de saúde, se as requisições seguem para o datacenter próprio (principal) ou para a nuvem pública (contingência), tornando o failover automático. O DNS dos domínios permanece no provedor atual, que delega os nomes do portal e das APIs ao Global Traffic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1891792"/>
            <wp:docPr id="497703952" name="Picture 497703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89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3.1 Continuidade entre origens</w:t>
      </w:r>
    </w:p>
    <w:p>
      <w:pPr>
        <w:spacing w:after="120" w:line="276" w:lineRule="auto"/>
      </w:pPr>
      <w:r>
        <w:t>Decisão de roteamento por saúde entre o datacenter e a nuvem pública, com failover automático.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Global Traffic Management: políticas de tráfego, failover entre provedores, balanceamento ponderado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3.2 Proteção de aplicação e APIs</w:t>
      </w:r>
    </w:p>
    <w:p>
      <w:pPr>
        <w:spacing w:after="120" w:line="276" w:lineRule="auto"/>
      </w:pPr>
      <w:r>
        <w:t>Proteção do portal e das APIs na borda, com WAF e mitigação de DDoS de aplicação sobre a consulta de débitos.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79990F7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Limite da frente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 DNS permanece no provedor atual e a correção da aplicação na consulta de débitos cabe à Solaris.</w:t>
            </w:r>
          </w:p>
        </w:tc>
      </w:tr>
    </w:tbl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3.3 Controle de robôs</w:t>
      </w:r>
    </w:p>
    <w:p>
      <w:pPr>
        <w:spacing w:after="120" w:line="276" w:lineRule="auto"/>
      </w:pPr>
      <w:r>
        <w:t>Detecção e resposta a robôs que testam CPFs na consulta de débitos.</w:t>
      </w: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3.4 Prontidão para eventos críticos</w:t>
      </w:r>
    </w:p>
    <w:p>
      <w:pPr>
        <w:keepLines/>
        <w:spacing w:after="120" w:line="276" w:lineRule="auto"/>
      </w:pPr>
      <w:r>
        <w:t>A prontidão para a campanha de renegociação é planejada na Fase 1 e executada na Fase 2.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Fase 1 - Assessment e desenho: Plano de prontidão para a campanha, com monitoramento, reversão e recomendação de congelamento de mudanças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automático (opcional): Revisão de capacidade das origens para o triplo do tráfego habitual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automático (opcional): Teste de carga controlado do portal e das APIs pela borda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automático (opcional): Monitoramento e procedimentos de reversão validados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Implantação da proteção e do failover automático (opcional): Sala de crise conduzida pela POPULOS no início da campanha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3.5 Matriz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93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Requisito</w:t>
            </w:r>
          </w:p>
        </w:tc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Necessidade</w:t>
            </w:r>
          </w:p>
        </w:tc>
        <w:tc>
          <w:tcPr>
            <w:tcW w:type="dxa" w:w="194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3456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Evidência de aceite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REQ-01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Proteger o portal do cliente e as APIs usadas pelo app contra DDoS na camada de aplicação, em especial na consulta de débitos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HLD aceito pela Solaris contendo as políticas do App &amp; API Protector para o portal e as APIs, incluindo controle de taxa de requisições na consulta de débitos.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REQ-02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Detectar e bloquear robôs que testam números de CPF na consulta de débitos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HLD aceito pela Solaris contendo a estratégia de detecção e resposta do Bot Manager Premier para a consulta de débitos.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REQ-03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Tornar automático o failover do portal e das APIs entre o datacenter próprio e a nuvem pública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HLD aceito pela Solaris contendo a política de failover do Global Traffic Management entre as duas origens e os testes de saúde de cada uma.</w:t>
            </w:r>
          </w:p>
        </w:tc>
      </w:tr>
      <w:tr>
        <w:tc>
          <w:tcPr>
            <w:tcW w:type="dxa" w:w="93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REQ-04</w:t>
            </w:r>
          </w:p>
        </w:tc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Estar protegido e com failover automático antes de 01/03/2027, início da campanha estadual de renegociação de dívidas</w:t>
            </w:r>
          </w:p>
        </w:tc>
        <w:tc>
          <w:tcPr>
            <w:tcW w:type="dxa" w:w="194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prontidão para a campanha e sequência Fase 1 e Fase 2</w:t>
            </w:r>
          </w:p>
        </w:tc>
        <w:tc>
          <w:tcPr>
            <w:tcW w:type="dxa" w:w="3456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Plano de implantação e plano de prontidão para a campanha entregues e aceitos pela Solaris, com janelas, reversão e datas-limite.</w:t>
            </w:r>
          </w:p>
        </w:tc>
      </w:tr>
      <w:tr>
        <w:tc>
          <w:tcPr>
            <w:tcW w:type="dxa" w:w="93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REQ-05</w:t>
            </w:r>
          </w:p>
        </w:tc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Realizar assessment e desenho antes de contratar a implantação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Fase 1 contratada; Fase 2 opcional após o aceite do desenho</w:t>
            </w:r>
          </w:p>
        </w:tc>
        <w:tc>
          <w:tcPr>
            <w:tcW w:type="dxa" w:w="3456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Relatório de assessment entregue e aceito formalmente pela Solaris.</w:t>
            </w:r>
          </w:p>
        </w:tc>
      </w:tr>
    </w:tbl>
    <w:p w14:paraId="466647CD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>4. Dimensionamento e Abrangência</w:t>
      </w:r>
    </w:p>
    <w:p>
      <w:pPr>
        <w:spacing w:after="120" w:line="276" w:lineRule="auto"/>
      </w:pPr>
      <w:r>
        <w:rPr>
          <w:b/>
          <w:bCs/>
        </w:rPr>
        <w:t>O dimensionamento parte dos dados informados pela Solaris; o volume habitual de tráfego será confirmado na Fase 1.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4.1 Itens de dimensionamento</w:t>
      </w:r>
    </w:p>
    <w:tbl>
      <w:tblPr>
        <w:tblW w:w="9790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0"/>
        <w:gridCol w:w="1000"/>
        <w:gridCol w:w="1000"/>
        <w:gridCol w:w="1080"/>
      </w:tblGrid>
      <w:tr w:rsidR="00F227EA" w14:paraId="69B947D6" w14:textId="77777777">
        <w:trPr>
          <w:tblHeader/>
        </w:trPr>
        <w:tc>
          <w:tcPr>
            <w:tcW w:w="226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Quantidade de referência</w:t>
            </w:r>
          </w:p>
        </w:tc>
        <w:tc>
          <w:tcPr>
            <w:tcW w:w="1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Base de planejamento</w:t>
            </w:r>
          </w:p>
        </w:tc>
        <w:tc>
          <w:tcPr>
            <w:tcW w:w="108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Classificação</w:t>
            </w:r>
          </w:p>
        </w:tc>
      </w:tr>
      <w:tr w:rsidR="00F227EA" w14:paraId="7A5CE6D8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Unidades consumidoras atendidas pelo portal e pelo app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4,2 milhões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Solaris na reunião de 22/09/2026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4569A9B2" w14:textId="77777777">
        <w:tc>
          <w:tcPr>
            <w:tcW w:w="226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Origens do portal e das APIs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Datacenter próprio (principal) e nuvem pública (contingência)</w:t>
            </w:r>
          </w:p>
        </w:tc>
        <w:tc>
          <w:tcPr>
            <w:tcW w:w="1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Informado pela Solaris na reunião de 22/09/2026</w:t>
            </w:r>
          </w:p>
        </w:tc>
        <w:tc>
          <w:tcPr>
            <w:tcW w:w="108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Confirmado</w:t>
            </w:r>
          </w:p>
        </w:tc>
      </w:tr>
      <w:tr w:rsidR="00F227EA" w14:paraId="33FB2B15" w14:textId="77777777">
        <w:tc>
          <w:tcPr>
            <w:tcW w:w="226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Pico de tráfego na campanha de renegociação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Triplo do tráfego habitual, conforme a última campanha; volume habitual a informar</w:t>
            </w:r>
          </w:p>
        </w:tc>
        <w:tc>
          <w:tcPr>
            <w:tcW w:w="1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Histórico da Solaris; volume base levantado na Fase 1</w:t>
            </w:r>
          </w:p>
        </w:tc>
        <w:tc>
          <w:tcPr>
            <w:tcW w:w="10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jc w:val="center"/>
            </w:pPr>
            <w:r>
              <w:rPr>
                <w:sz w:val="19"/>
                <w:szCs w:val="19"/>
              </w:rPr>
              <w:t>Pendente</w:t>
            </w:r>
          </w:p>
        </w:tc>
      </w:tr>
    </w:tbl>
    <w:p w14:paraId="675853AF" w14:textId="77777777" w:rsidR="00BD500C" w:rsidRDefault="00BD500C">
      <w:pPr>
        <w:spacing w:after="80" w:line="276" w:lineRule="auto"/>
        <w:rPr>
          <w:b/>
          <w:bCs/>
          <w:i/>
          <w:iCs/>
          <w:color w:val="6B7280"/>
          <w:sz w:val="18"/>
          <w:szCs w:val="18"/>
        </w:rPr>
      </w:pPr>
    </w:p>
    <w:p>
      <w:pPr>
        <w:pStyle w:val="Ttulo2"/>
        <w:keepNext/>
        <w:keepLines/>
        <w:pageBreakBefore w:val="0"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4.2 Componentes centralizados e serviços de borda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662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Componente</w:t>
            </w:r>
          </w:p>
        </w:tc>
        <w:tc>
          <w:tcPr>
            <w:tcW w:type="dxa" w:w="2880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Posição na proposta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App &amp; API Protector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Bot Manager Premier</w:t>
            </w:r>
          </w:p>
        </w:tc>
        <w:tc>
          <w:tcPr>
            <w:tcW w:type="dxa" w:w="2880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  <w:tr>
        <w:tc>
          <w:tcPr>
            <w:tcW w:type="dxa" w:w="662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Global Traffic Management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Recomendado</w:t>
            </w:r>
          </w:p>
        </w:tc>
      </w:tr>
    </w:tbl>
    <w:p w14:paraId="5941B891" w14:textId="465FDF3E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5.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Avaliação e Migração do Ambiente Atual</w:t>
      </w:r>
    </w:p>
    <w:p>
      <w:pPr>
        <w:spacing w:after="120" w:line="276" w:lineRule="auto"/>
      </w:pPr>
      <w:r>
        <w:t>Como primeira etapa, a POPULOS realizará o levantamento detalhado do ambiente atual, contemplando no mínimo: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 portal e das APIs do app, incluindo a consulta de débitos e os padrões de tráfego dos episódios de junho e agosto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das duas origens, do failover manual atual e da configuração do DNS no provedor atual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Levantamento do volume habitual e do pico da última campanha, e das janelas de mudança da Solaris</w:t>
      </w:r>
    </w:p>
    <w:p>
      <w:pPr>
        <w:spacing w:after="120" w:line="276" w:lineRule="auto"/>
      </w:pPr>
      <w:r>
        <w:t>O levantamento resulta no relatório de assessment e na base para o desenho de alto nível aprovado pela Solaris.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78B70CC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Estratégia de migração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Cada mudança da Fase 2 ocorre em janela de terça, com aprovação da Solaris e reversão planejada.</w:t>
            </w:r>
          </w:p>
        </w:tc>
      </w:tr>
    </w:tbl>
    <w:p w14:paraId="2171A501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6.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Serviços POPULOS — Metodologia de Implantação</w:t>
      </w:r>
    </w:p>
    <w:p>
      <w:pPr>
        <w:spacing w:after="120" w:line="276" w:lineRule="auto"/>
      </w:pPr>
      <w:r>
        <w:rPr>
          <w:b/>
          <w:bCs/>
        </w:rPr>
        <w:t>A POPULOS conduz o trabalho em fases: levantamento, desenho e, após o aceite do desenho, implantação em janelas de mudança aprovadas.</w:t>
      </w:r>
    </w:p>
    <w:p w14:paraId="1DD6CC3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6.1 Escopo previsto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Assessment do portal, das APIs e das duas origens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de alto nível (HLD) do App &amp; API Protector, do Bot Manager Premier e do Global Traffic Management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e de prontidão para a campanha de renegociação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assessment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Desenho de alto nível (HLD) aprovado pela Solaris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da Fase 2 com janelas, reversão e critérios de aceite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prontidão para a campanha</w:t>
      </w:r>
    </w:p>
    <w:p w14:paraId="5DE8D494" w14:textId="399B44BD" w:rsidR="00ED213E" w:rsidRPr="00ED213E" w:rsidRDefault="00000000"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lastRenderedPageBreak/>
        <w:t>6.2 Metodologia POPULOS</w:t>
      </w:r>
    </w:p>
    <w:p w14:paraId="458C458F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Fase 1 - Assessment e desenho</w:t>
      </w:r>
    </w:p>
    <w:p>
      <w:pPr>
        <w:spacing w:after="120" w:line="276" w:lineRule="auto"/>
      </w:pPr>
      <w:r>
        <w:t>Levantar o ambiente atual e aprovar o desenho da proteção e do failover automático</w:t>
      </w:r>
    </w:p>
    <w:p w14:paraId="1FE5BD3A" w14:textId="77777777" w:rsidR="00F227EA" w:rsidRDefault="00000000"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Gestão do Projeto</w:t>
      </w:r>
    </w:p>
    <w:p>
      <w:pPr>
        <w:spacing w:after="120" w:line="276" w:lineRule="auto"/>
      </w:pPr>
      <w:r>
        <w:t>A POPULOS conduzirá o planejamento, a gestão de riscos e dependências e os reportes periódicos, em alinhamento com o ponto focal do cliente.</w:t>
      </w:r>
    </w:p>
    <w:p>
      <w:pPr>
        <w:pStyle w:val="Ttulo2"/>
        <w:keepNext/>
        <w:keepLines/>
        <w:spacing w:before="22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6.3 Fase 2 - Implantação (opcional)</w:t>
      </w:r>
    </w:p>
    <w:p>
      <w:pPr>
        <w:keepLines/>
        <w:spacing w:after="120" w:line="276" w:lineRule="auto"/>
      </w:pPr>
      <w:r>
        <w:t>A Fase 2 implanta o desenho aprovado na Fase 1 e será contratada após o aceite do desenho.</w:t>
      </w:r>
    </w:p>
    <w:p>
      <w:pPr>
        <w:keepLines/>
        <w:spacing w:after="120" w:line="276" w:lineRule="auto"/>
      </w:pPr>
      <w:r>
        <w:t>Aceite do desenho da Fase 1 pela Solaris</w:t>
      </w:r>
    </w:p>
    <w:p>
      <w:pPr>
        <w:keepLines/>
        <w:spacing w:after="120" w:line="276" w:lineRule="auto"/>
      </w:pPr>
      <w:r>
        <w:t>Assinatura do pedido das licenças Akamai</w:t>
      </w:r>
    </w:p>
    <w:p>
      <w:pPr>
        <w:keepLines/>
        <w:spacing w:after="120" w:line="276" w:lineRule="auto"/>
      </w:pPr>
      <w:r>
        <w:t>Criação dos registros de DNS pela Solaris no provedor atual</w:t>
      </w:r>
    </w:p>
    <w:p>
      <w:pPr>
        <w:pStyle w:val="Ttulo3"/>
        <w:keepNext/>
        <w:keepLines/>
        <w:spacing w:before="160" w:after="70"/>
      </w:pPr>
      <w:r>
        <w:rPr>
          <w:rFonts w:ascii="Lato" w:eastAsia="Lato" w:hAnsi="Lato" w:cs="Lato"/>
          <w:b/>
          <w:bCs/>
          <w:sz w:val="22"/>
          <w:szCs w:val="22"/>
        </w:rPr>
        <w:t>Implantação da proteção e do failover automático</w:t>
      </w:r>
    </w:p>
    <w:p>
      <w:pPr>
        <w:keepLines/>
        <w:spacing w:after="120" w:line="276" w:lineRule="auto"/>
      </w:pPr>
      <w:r>
        <w:t>Componentes: App &amp; API Protector, Bot Manager Premier, Global Traffic Management.</w:t>
      </w:r>
    </w:p>
    <w:p>
      <w:pPr>
        <w:keepLines/>
        <w:spacing w:after="120" w:line="276" w:lineRule="auto"/>
      </w:pPr>
      <w:r>
        <w:t>Configuração do App &amp; API Protector, do Bot Manager Premier e do Global Traffic Management; entrada em produção somente nas janelas de terça, das 22h às 2h, com aprovação prévia da Solaris e plano de reversão testado para cada mudança.</w:t>
      </w:r>
    </w:p>
    <w:p>
      <w:pPr>
        <w:keepLines/>
        <w:spacing w:after="120" w:line="276" w:lineRule="auto"/>
      </w:pPr>
      <w:r>
        <w:t>Critérios de aceite da Fase 2 demonstrados e registrados em relatório de testes</w:t>
      </w:r>
    </w:p>
    <w:p w14:paraId="49957D7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7.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Limites do Escopo</w:t>
      </w:r>
    </w:p>
    <w:p w14:paraId="06FA1EDD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7.1 Passagem de conhecimento</w:t>
      </w:r>
    </w:p>
    <w:p>
      <w:pPr>
        <w:spacing w:after="120" w:line="276" w:lineRule="auto"/>
      </w:pPr>
      <w:r>
        <w:t>A equipe da Solaris participa das sessões de desenho e recebe, ao fim de cada fase, apresentação das entregas e da operação das políticas.</w:t>
      </w:r>
    </w:p>
    <w:p w14:paraId="4A59FCA9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7.2 Homologação e testes</w:t>
      </w:r>
    </w:p>
    <w:p>
      <w:pPr>
        <w:spacing w:after="120" w:line="276" w:lineRule="auto"/>
      </w:pPr>
      <w:r>
        <w:t>Os testes da Fase 2 são executados em janelas de mudança, com plano de reversão e evidências registradas em relatório.</w:t>
      </w:r>
    </w:p>
    <w:p w14:paraId="7794161C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7.3 Áreas fora do escopo</w:t>
      </w:r>
    </w:p>
    <w:p w14:paraId="072132ED" w14:textId="77777777" w:rsidR="00F227EA" w:rsidRDefault="00000000">
      <w:pPr>
        <w:spacing w:after="120" w:line="276" w:lineRule="auto"/>
      </w:pPr>
      <w:r>
        <w:t>Qualquer área/tópico não expressamente enumerado no escopo previsto está fora deste projeto. Em especial, estão fora do escopo: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Alteração do provedor de DNS atual ou gestão das zonas DNS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Correção da aplicação que devolve nome e endereço na consulta de débitos, tratada pela Solaris com o seu DPO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Proteção contra DDoS volumétrico de rede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Sustentação ou suporte gerenciado após a garantia</w:t>
      </w:r>
    </w:p>
    <w:p w14:paraId="29CE5CDD" w14:textId="77777777" w:rsidR="004D3A65" w:rsidRDefault="004D3A65" w:rsidP="004D3A65">
      <w:pPr>
        <w:spacing w:after="60" w:line="270" w:lineRule="auto"/>
      </w:pPr>
    </w:p>
    <w:p w14:paraId="5A6DAA59" w14:textId="77777777" w:rsidR="004D3A65" w:rsidRDefault="004D3A65" w:rsidP="004D3A65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1C7CCBD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Itens que exigem contratação específica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Operação continuada, NOC 24x7, equipe residente, desenvolvimento de aplicações e serviços gerenciados adicionais não estão incluídos.</w:t>
            </w:r>
          </w:p>
        </w:tc>
      </w:tr>
    </w:tbl>
    <w:p w14:paraId="790651B6" w14:textId="77777777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8.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Premissas, Requisitos e Restrições</w:t>
      </w:r>
    </w:p>
    <w:p w14:paraId="0279B845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8.1 Premissas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O provisionamento das licenças Akamai leva até 2 semanas após a assinatura do pedido, conforme confirmado com a Akamai.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As estimativas de esforço consideram as informações e acessos disponibilizados pela Solaris no início de cada fase.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O volume habitual de tráfego será informado na Fase 1 para dimensionar o pico da campanha.</w:t>
      </w:r>
    </w:p>
    <w:p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8.2 Requisitos — Pessoas (Solaris Energia)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Gerente de Canais Digitais: patrocínio, priorização e aceite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Coordenador de Segurança: políticas de proteção e janelas de mudança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Equipes de infraestrutura do datacenter e da nuvem pública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>Responsável pelo DNS no provedor atual</w:t>
      </w:r>
    </w:p>
    <w:p w14:paraId="199C1D9F" w14:textId="77777777" w:rsidR="00F227EA" w:rsidRDefault="00000000">
      <w:pPr>
        <w:pStyle w:val="Ttulo2"/>
        <w:keepNext/>
        <w:keepLines/>
        <w:spacing w:before="220" w:after="90"/>
      </w:pPr>
      <w:r>
        <w:rPr>
          <w:rFonts w:ascii="Lato" w:eastAsia="Lato" w:hAnsi="Lato" w:cs="Lato"/>
          <w:b/>
          <w:bCs/>
          <w:sz w:val="25"/>
          <w:szCs w:val="25"/>
        </w:rPr>
        <w:t>8.3 Restrições</w:t>
      </w:r>
    </w:p>
    <w:p w14:paraId="15290CA5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Mudanças em produção ocorrem somente às terças, das 22h às 2h.</w:t>
      </w:r>
    </w:p>
    <w:p w14:paraId="62D6CC0A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O DNS dos domínios permanece no provedor atual.</w:t>
      </w:r>
    </w:p>
    <w:p w14:paraId="655E7B04" w14:textId="77777777" w:rsidR="00F227EA" w:rsidRDefault="00000000">
      <w:pPr>
        <w:pStyle w:val="PargrafodaLista"/>
        <w:numPr>
          <w:ilvl w:val="0"/>
          <w:numId w:val="2"/>
        </w:numPr>
        <w:spacing w:after="60" w:line="270" w:lineRule="auto"/>
      </w:pPr>
      <w:r>
        <w:t>Relatórios e evidências de testes mascaram CPF, nome e endereço de titulares.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A Fase 1 não realiza alterações no ambiente produtivo da Solaris.</w:t>
      </w:r>
    </w:p>
    <w:p w14:paraId="359018A2" w14:textId="77777777" w:rsidR="00BB2913" w:rsidRDefault="00BB2913" w:rsidP="00BB2913">
      <w:pPr>
        <w:spacing w:after="60" w:line="270" w:lineRule="auto"/>
      </w:pPr>
    </w:p>
    <w:p w14:paraId="62DB3BC2" w14:textId="77777777" w:rsidR="00BB2913" w:rsidRDefault="00BB2913" w:rsidP="00BB2913">
      <w:pPr>
        <w:spacing w:after="60" w:line="270" w:lineRule="auto"/>
      </w:pPr>
    </w:p>
    <w:p w14:paraId="302BA2AD" w14:textId="77777777" w:rsidR="00BB2913" w:rsidRDefault="00BB2913" w:rsidP="00BB2913">
      <w:pPr>
        <w:spacing w:after="60" w:line="270" w:lineRule="auto"/>
      </w:pPr>
    </w:p>
    <w:p w14:paraId="1F60BE6A" w14:textId="77777777" w:rsidR="00BB2913" w:rsidRDefault="00BB2913" w:rsidP="00BB2913">
      <w:pPr>
        <w:spacing w:after="60" w:line="270" w:lineRule="auto"/>
      </w:pPr>
    </w:p>
    <w:p>
      <w:pPr>
        <w:pStyle w:val="Ttulo2"/>
        <w:keepNext/>
        <w:keepLines/>
        <w:spacing w:before="160" w:after="90"/>
        <w:rPr>
          <w:rFonts w:ascii="Lato" w:eastAsia="Lato" w:hAnsi="Lato" w:cs="Lato"/>
          <w:b/>
          <w:bCs/>
          <w:sz w:val="25"/>
          <w:szCs w:val="25"/>
        </w:rPr>
      </w:pPr>
      <w:r>
        <w:rPr>
          <w:rFonts w:ascii="Lato" w:eastAsia="Lato" w:hAnsi="Lato" w:cs="Lato"/>
          <w:b/>
          <w:bCs/>
          <w:sz w:val="25"/>
          <w:szCs w:val="25"/>
        </w:rPr>
        <w:t>8.4 Riscos e mitigação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68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2304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vAlign w:val="center"/>
            <w:shd w:fill="1F2A5E"/>
          </w:tcPr>
          <w:p>
            <w:pPr>
              <w:spacing w:after="40"/>
              <w:jc w:val="left"/>
            </w:pPr>
            <w:r>
              <w:rPr>
                <w:rFonts w:ascii="Lato" w:hAnsi="Lato"/>
                <w:b/>
                <w:color w:val="FFFFFF"/>
                <w:sz w:val="15"/>
              </w:rPr>
              <w:t>Mitigação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Aceite do desenho ou contratação da Fase 2 tardios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Redução da margem até a campanha de 01/03/2027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Datas-limite calculadas no cronograma e acompanhamento semanal</w:t>
            </w:r>
          </w:p>
        </w:tc>
      </w:tr>
      <w:tr>
        <w:tc>
          <w:tcPr>
            <w:tcW w:type="dxa" w:w="3168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A aplicação continua devolvendo nome e endereço na consulta de débitos</w:t>
            </w:r>
          </w:p>
        </w:tc>
        <w:tc>
          <w:tcPr>
            <w:tcW w:type="dxa" w:w="2304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Exposição residual de dado pessoal por acessos não automatizados</w:t>
            </w:r>
          </w:p>
        </w:tc>
        <w:tc>
          <w:tcPr>
            <w:tcW w:type="dxa" w:w="4032"/>
            <w:vAlign w:val="center"/>
            <w:shd w:fill="F3F4F6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Correção na aplicação pela Solaris com o DPO, fora deste escopo</w:t>
            </w:r>
          </w:p>
        </w:tc>
      </w:tr>
      <w:tr>
        <w:tc>
          <w:tcPr>
            <w:tcW w:type="dxa" w:w="3168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Volume habitual de tráfego não informado</w:t>
            </w:r>
          </w:p>
        </w:tc>
        <w:tc>
          <w:tcPr>
            <w:tcW w:type="dxa" w:w="2304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Dimensionamento do pico da campanha incompleto</w:t>
            </w:r>
          </w:p>
        </w:tc>
        <w:tc>
          <w:tcPr>
            <w:tcW w:type="dxa" w:w="4032"/>
            <w:vAlign w:val="center"/>
            <w:shd w:fill="FFFFFF"/>
          </w:tcPr>
          <w:p>
            <w:pPr>
              <w:spacing w:after="40"/>
              <w:jc w:val="left"/>
            </w:pPr>
            <w:r>
              <w:rPr>
                <w:rFonts w:ascii="Lato" w:hAnsi="Lato"/>
                <w:b w:val="0"/>
                <w:color w:val="1F2A5E"/>
                <w:sz w:val="15"/>
              </w:rPr>
              <w:t>Levantamento na Fase 1 com a equipe de infraestrutura</w:t>
            </w:r>
          </w:p>
        </w:tc>
      </w:tr>
    </w:tbl>
    <w:p w14:paraId="0C5AB9CA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9.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Cronograma Macro</w:t>
      </w:r>
    </w:p>
    <w:p>
      <w:pPr>
        <w:spacing w:after="120" w:line="276" w:lineRule="auto"/>
      </w:pPr>
      <w:r>
        <w:t>O cronograma segue a sequência de fases e depende do aceite do desenho e da assinatura do pedido de licenças.</w:t>
      </w:r>
    </w:p>
    <w:p>
      <w:pPr>
        <w:spacing w:after="120" w:line="276" w:lineRule="auto"/>
      </w:pPr>
      <w:r>
        <w:t>Fase 1 (3 a 4 semanas), aceite do desenho, provisionamento das licenças (até 2 semanas após a assinatura do pedido) e Fase 2 (6 a 8 semanas).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8"/>
        <w:gridCol w:w="3024"/>
        <w:gridCol w:w="1944"/>
        <w:gridCol w:w="1296"/>
        <w:gridCol w:w="1584"/>
      </w:tblGrid>
      <w:tr w:rsidR="000025B6" w14:paraId="3B67D474" w14:textId="77777777">
        <w:trPr>
          <w:tblHeader/>
        </w:trPr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4EC7D" w14:textId="77777777" w:rsidR="0039468C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DB1572C" w14:textId="77777777" w:rsidR="0039468C" w:rsidRDefault="00000000">
            <w:r>
              <w:rPr>
                <w:b/>
                <w:bCs/>
                <w:color w:val="FFFFFF"/>
              </w:rPr>
              <w:t>Atividade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769EBB4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Dependência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84457C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Duração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6A91DF" w14:textId="77777777" w:rsidR="0039468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Evidência</w:t>
            </w:r>
          </w:p>
        </w:tc>
      </w:tr>
      <w:tr w:rsidR="000025B6" w14:paraId="3F1FC04D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4E3199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Fase 1 - Assessment e desenho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Levantar o ambiente atual e aprovar o desenho da proteção e do failover automático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F6ACF0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Acesso às equipes e às informações de tráfego da Solaris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A1C635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3 a 4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E1CAC2C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Relatório de assessment, HLD, Plano de implantação da Fase 2, Plano de prontidão para a campanha</w:t>
            </w:r>
          </w:p>
        </w:tc>
      </w:tr>
      <w:tr w:rsidR="000025B6" w14:paraId="2299E885" w14:textId="77777777">
        <w:tc>
          <w:tcPr>
            <w:tcW w:w="1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84597" w14:textId="77777777" w:rsidR="0039468C" w:rsidRDefault="00000000">
            <w:pPr>
              <w:jc w:val="left"/>
            </w:pPr>
            <w:r>
              <w:rPr>
                <w:b/>
                <w:bCs/>
                <w:color w:val="1F2A5E"/>
                <w:sz w:val="15"/>
                <w:szCs w:val="20"/>
              </w:rPr>
              <w:t>Implantação da proteção e do failover automático (opcional)</w:t>
            </w:r>
          </w:p>
        </w:tc>
        <w:tc>
          <w:tcPr>
            <w:tcW w:w="302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left"/>
            </w:pPr>
            <w:r>
              <w:rPr>
                <w:color w:val="1F2A5E"/>
                <w:sz w:val="15"/>
                <w:szCs w:val="20"/>
              </w:rPr>
              <w:t>Implantar App &amp; API Protector, Bot Manager Premier, Global Traffic Management.</w:t>
            </w:r>
          </w:p>
        </w:tc>
        <w:tc>
          <w:tcPr>
            <w:tcW w:w="19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928621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do desenho da Fase 1 e licenças provisionadas</w:t>
            </w:r>
          </w:p>
        </w:tc>
        <w:tc>
          <w:tcPr>
            <w:tcW w:w="12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6308512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6 a 8 semanas</w:t>
            </w:r>
          </w:p>
        </w:tc>
        <w:tc>
          <w:tcPr>
            <w:tcW w:w="158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E6DCF4A" w14:textId="77777777" w:rsidR="0039468C" w:rsidRDefault="00000000">
            <w:pPr>
              <w:jc w:val="left"/>
            </w:pPr>
            <w:r>
              <w:rPr>
                <w:color w:val="1F2A5E"/>
                <w:sz w:val="15"/>
                <w:szCs w:val="20"/>
              </w:rPr>
              <w:t>Aceite da Fase 2</w:t>
            </w:r>
          </w:p>
        </w:tc>
      </w:tr>
    </w:tbl>
    <w:p w14:paraId="613B77DA" w14:textId="77777777" w:rsidR="00BB0D50" w:rsidRDefault="00BB0D50">
      <w:pPr>
        <w:spacing w:after="60" w:line="276" w:lineRule="auto"/>
        <w:rPr>
          <w:i/>
          <w:iCs/>
          <w:color w:val="6B7280"/>
          <w:sz w:val="18"/>
          <w:szCs w:val="18"/>
        </w:rPr>
      </w:pPr>
    </w:p>
    <w:p w14:paraId="1C6D7A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10.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Critérios de Aceite</w:t>
      </w:r>
    </w:p>
    <w:p>
      <w:pPr>
        <w:spacing w:after="120" w:line="276" w:lineRule="auto"/>
      </w:pPr>
      <w:r>
        <w:t>A aceitação seguirá os critérios mínimos registrados na matriz de rastreabilidade. A POPULOS propõe, como instrumento complementar de apoio, checklists por entrega, sem prejuízo dos marcos formais de aceite do projeto: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Relatório de assessment entregue e aceito formalmente pela Solaris.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HLD aceito pela Solaris contendo as políticas do App &amp; API Protector para o portal e as APIs, incluindo controle de taxa de requisições na consulta de débitos.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HLD aceito pela Solaris contendo a estratégia de detecção e resposta do Bot Manager Premier para a consulta de débitos.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HLD aceito pela Solaris contendo a política de failover do Global Traffic Management entre as duas origens e os testes de saúde de cada uma.</w:t>
      </w:r>
    </w:p>
    <w:p>
      <w:pPr>
        <w:pStyle w:val="PargrafodaLista"/>
        <w:numPr>
          <w:ilvl w:val="0"/>
          <w:numId w:val="2"/>
        </w:numPr>
        <w:spacing w:after="60" w:line="270" w:lineRule="auto"/>
      </w:pPr>
      <w:r>
        <w:t>Plano de implantação e plano de prontidão para a campanha entregues e aceitos pela Solaris, com janelas, reversão e datas-limite.</w:t>
      </w:r>
    </w:p>
    <w:p>
      <w:pPr>
        <w:keepNext/>
        <w:keepLines/>
        <w:spacing w:after="120" w:line="276" w:lineRule="auto"/>
      </w:pPr>
      <w:r>
        <w:t>Critérios de aceite — Implantação da proteção e do failover automático, aplicáveis somente se contratada: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Políticas do App &amp; API Protector ativas em modo de bloqueio no portal e nas APIs; teste controlado de alto volume na consulta de débitos é mitigado na borda, comprovado no relatório de eventos.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Bot Manager Premier aplicando ação sobre a consulta de débitos; teste com automação simulada é identificado e bloqueado, comprovado no relatório de eventos.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Em janela de mudança, com a origem principal indisponível no teste de saúde, o Global Traffic Management passa a responder com a nuvem pública sem ação manual e retorna ao datacenter após a recuperação, registrado em relatório de testes.</w:t>
      </w:r>
    </w:p>
    <w:p>
      <w:pPr>
        <w:pStyle w:val="PargrafodaLista"/>
        <w:keepLines/>
        <w:numPr>
          <w:ilvl w:val="0"/>
          <w:numId w:val="2"/>
        </w:numPr>
        <w:spacing w:after="60" w:line="270" w:lineRule="auto"/>
      </w:pPr>
      <w:r>
        <w:t>Checklist de prontidão para a campanha concluído e aceito pela Solaris antes de 01/03/2027.</w:t>
      </w:r>
    </w:p>
    <w:p w14:paraId="26E65A66" w14:textId="77777777" w:rsidR="00BB2913" w:rsidRDefault="00BB2913" w:rsidP="00BB2913">
      <w:pPr>
        <w:spacing w:after="60" w:line="270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45A687A1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Marcos formais de aceite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Marcos: aceite da Fase 1 (desenho) e aceite da Fase 2 (implantação).</w:t>
            </w:r>
          </w:p>
        </w:tc>
      </w:tr>
    </w:tbl>
    <w:p w14:paraId="20ADFDB0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11.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Garantia Técnica</w:t>
      </w:r>
    </w:p>
    <w:p>
      <w:pPr>
        <w:spacing w:after="120" w:line="276" w:lineRule="auto"/>
      </w:pPr>
      <w:r>
        <w:t>A POPULOS corrigirá defeitos diretamente atribuíveis aos serviços executados por 90 dias corridos após o aceite de cada fase.</w:t>
      </w: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04B9EB64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keepNext/>
              <w:keepLines/>
              <w:spacing w:after="60"/>
            </w:pPr>
            <w:r>
              <w:rPr>
                <w:rFonts w:ascii="Lato" w:eastAsia="Lato" w:hAnsi="Lato" w:cs="Lato"/>
                <w:b/>
                <w:bCs/>
                <w:color w:val="1F2A5E"/>
              </w:rPr>
              <w:t>Garantia e vigência</w:t>
            </w:r>
          </w:p>
          <w:p>
            <w:pPr>
              <w:keepLines/>
              <w:spacing w:before="40" w:after="0"/>
            </w:pPr>
            <w:r>
              <w:rPr>
                <w:rFonts w:ascii="Lato" w:hAnsi="Lato"/>
                <w:b w:val="0"/>
                <w:sz w:val="17"/>
              </w:rPr>
              <w:t>90 dias corridos após o aceite de cada fase</w:t>
            </w:r>
          </w:p>
        </w:tc>
      </w:tr>
    </w:tbl>
    <w:p w14:paraId="4251E7E2" w14:textId="77777777" w:rsidR="00F71DA0" w:rsidRDefault="00F71DA0">
      <w:pPr>
        <w:spacing w:after="120" w:line="276" w:lineRule="auto"/>
      </w:pPr>
    </w:p>
    <w:p>
      <w:pPr>
        <w:spacing w:after="120" w:line="276" w:lineRule="auto"/>
      </w:pPr>
      <w:r>
        <w:t>A POPULOS permanece à disposição para esclarecer esta proposta e iniciar a Fase 1.</w:t>
      </w:r>
    </w:p>
    <w:p w14:paraId="5A1A0001" w14:textId="77777777" w:rsidR="0039468C" w:rsidRDefault="00000000">
      <w:pPr>
        <w:pStyle w:val="Ttulo2"/>
        <w:keepNext/>
        <w:keepLines/>
        <w:spacing w:before="220" w:after="90"/>
      </w:pPr>
      <w:r>
        <w:rPr>
          <w:rFonts w:ascii="Lato" w:hAnsi="Lato"/>
          <w:b/>
          <w:bCs/>
          <w:sz w:val="25"/>
        </w:rPr>
        <w:t>Condições de atendimento</w:t>
      </w:r>
    </w:p>
    <w:p>
      <w:pPr>
        <w:spacing w:after="120" w:line="276" w:lineRule="auto"/>
      </w:pPr>
      <w:r>
        <w:t>O padrão institucional de atendimento abaixo aplica-se somente a: Implantação da proteção e do failover automático (opcional), para falhas atribuíveis aos serviços executados. Nas demais fases, não há compromisso de tempo de atendimento.</w:t>
      </w:r>
    </w:p>
    <w:p w14:paraId="56D09804" w14:textId="77777777" w:rsidR="00263911" w:rsidRDefault="00263911">
      <w:pPr>
        <w:spacing w:after="120" w:line="276" w:lineRule="auto"/>
      </w:pPr>
    </w:p>
    <w:p w14:paraId="7FC73105" w14:textId="77777777" w:rsidR="00263911" w:rsidRDefault="00263911">
      <w:pPr>
        <w:spacing w:after="120" w:line="276" w:lineRule="auto"/>
      </w:pPr>
    </w:p>
    <w:tbl>
      <w:tblPr>
        <w:tblpPr w:leftFromText="141" w:rightFromText="141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065"/>
        <w:gridCol w:w="3695"/>
      </w:tblGrid>
      <w:tr w:rsidR="000025B6" w14:paraId="086C88CC" w14:textId="77777777" w:rsidTr="00263911"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C13410" w14:textId="77777777" w:rsidR="0039468C" w:rsidRDefault="00000000" w:rsidP="00263911">
            <w:r>
              <w:rPr>
                <w:b/>
                <w:bCs/>
                <w:color w:val="FFFFFF"/>
              </w:rPr>
              <w:lastRenderedPageBreak/>
              <w:t>Severidade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F7424D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Resposta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B73A7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Tempo de Resolução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F2A5E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4A0347" w14:textId="77777777" w:rsidR="0039468C" w:rsidRDefault="00000000" w:rsidP="00263911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0025B6" w14:paraId="60073BC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8B0F5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ALTA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97F59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 hora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732B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1E8A8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alto impacto que possivelmente coloque em risco o ambiente de produção. A apresentação de uma solução de contorno (workaround) também é considerada tempo de solução.</w:t>
            </w:r>
          </w:p>
        </w:tc>
      </w:tr>
      <w:tr w:rsidR="000025B6" w14:paraId="3EC3F82F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9770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3AA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MÉDIA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9A2D7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91A41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8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5F6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0E4B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Situação de baixo impacto, podendo a maioria das funções do software ser usada; entretanto, alguma intervenção pode ser necessária. A apresentação de workaround também é considerada tempo de solução.</w:t>
            </w:r>
          </w:p>
        </w:tc>
      </w:tr>
      <w:tr w:rsidR="000025B6" w14:paraId="5BD768E3" w14:textId="77777777" w:rsidTr="00263911"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5966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4EE86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FFFFFF"/>
              </w:rPr>
              <w:t>BAIXA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F8782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16 horas</w:t>
            </w:r>
          </w:p>
        </w:tc>
        <w:tc>
          <w:tcPr>
            <w:tcW w:w="206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E7798" w14:textId="77777777" w:rsidR="0039468C" w:rsidRDefault="00000000" w:rsidP="00263911"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>Até 24 horas</w:t>
            </w:r>
          </w:p>
        </w:tc>
        <w:tc>
          <w:tcPr>
            <w:tcW w:w="369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ED53E" w14:textId="77777777" w:rsidR="0039468C" w:rsidRDefault="00000000" w:rsidP="00263911">
            <w:r>
              <w:rPr>
                <w:color w:val="1F2937"/>
                <w:sz w:val="20"/>
                <w:szCs w:val="20"/>
              </w:rPr>
              <w:t>Solicitações de mudança, atualizações, gerenciamento de usuários, dúvidas, novas instalações ou publicações de aplicativos e outras ações planejadas.</w:t>
            </w:r>
          </w:p>
        </w:tc>
      </w:tr>
    </w:tbl>
    <w:p w14:paraId="5A1A0003" w14:textId="43317108" w:rsidR="0039468C" w:rsidRDefault="00263911">
      <w:pPr>
        <w:spacing w:after="60"/>
      </w:pPr>
      <w:r>
        <w:br w:type="textWrapping" w:clear="all"/>
      </w:r>
    </w:p>
    <w:p w14:paraId="5FE30D07" w14:textId="77777777" w:rsidR="00F227EA" w:rsidRDefault="00000000">
      <w:pPr>
        <w:pStyle w:val="Ttulo1"/>
        <w:keepNext/>
        <w:keepLines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t xml:space="preserve">12.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Papéis e Responsabilidades do Projeto</w:t>
      </w:r>
    </w:p>
    <w:tbl>
      <w:tblPr>
        <w:tblW w:w="10348" w:type="dxa"/>
        <w:tblBorders>
          <w:top w:val="single" w:sz="2" w:space="0" w:color="D1D5DB"/>
          <w:bottom w:val="single" w:sz="2" w:space="0" w:color="D1D5DB"/>
          <w:insideH w:val="single" w:sz="2" w:space="0" w:color="E5E7EB"/>
          <w:insideV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13"/>
        <w:gridCol w:w="2835"/>
      </w:tblGrid>
      <w:tr w:rsidR="00F227EA" w14:paraId="6D32BE7C" w14:textId="77777777" w:rsidTr="0017666D">
        <w:trPr>
          <w:tblHeader/>
        </w:trPr>
        <w:tc>
          <w:tcPr>
            <w:tcW w:w="3000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BF27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Função / Área</w:t>
            </w:r>
          </w:p>
        </w:tc>
        <w:tc>
          <w:tcPr>
            <w:tcW w:w="4513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D0D71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2835" w:type="dxa"/>
            <w:shd w:val="clear" w:color="auto" w:fill="1F2A5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6C76" w14:textId="77777777" w:rsidR="00F227EA" w:rsidRDefault="00000000">
            <w:r>
              <w:rPr>
                <w:rFonts w:ascii="Lato" w:eastAsia="Lato" w:hAnsi="Lato" w:cs="Lato"/>
                <w:b/>
                <w:bCs/>
                <w:color w:val="FFFFFF"/>
                <w:sz w:val="19"/>
                <w:szCs w:val="19"/>
              </w:rPr>
              <w:t>Compromisso</w:t>
            </w:r>
          </w:p>
        </w:tc>
      </w:tr>
      <w:tr w:rsidR="00F227EA" w14:paraId="652C4FBB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29029" w14:textId="77777777" w:rsidR="00F227EA" w:rsidRDefault="00000000">
            <w:r>
              <w:rPr>
                <w:b/>
                <w:bCs/>
                <w:sz w:val="19"/>
                <w:szCs w:val="19"/>
              </w:rPr>
              <w:t>Arquiteta de soluções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14B24" w14:textId="77777777" w:rsidR="00F227EA" w:rsidRDefault="00F227EA">
            <w:r>
              <w:t>Conduz o assessment e o desenho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C5A2E" w14:textId="77777777" w:rsidR="00F227EA" w:rsidRDefault="00F227EA">
            <w:r>
              <w:t>Fase 1 e Fase 2</w:t>
            </w:r>
          </w:p>
        </w:tc>
      </w:tr>
      <w:tr w:rsidR="00F227EA" w14:paraId="53D7511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B9B89" w14:textId="77777777" w:rsidR="00F227EA" w:rsidRDefault="00000000">
            <w:r>
              <w:rPr>
                <w:sz w:val="19"/>
                <w:szCs w:val="19"/>
              </w:rPr>
              <w:t>Especialista de segurança de aplicações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AD879" w14:textId="77777777" w:rsidR="00F227EA" w:rsidRDefault="00000000">
            <w:r>
              <w:rPr>
                <w:sz w:val="19"/>
                <w:szCs w:val="19"/>
              </w:rPr>
              <w:t>Desenha e configura App &amp; API Protector e Bot Manager Premier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9F5D9E" w14:textId="77777777" w:rsidR="00F227EA" w:rsidRDefault="00000000">
            <w:r>
              <w:rPr>
                <w:sz w:val="19"/>
                <w:szCs w:val="19"/>
              </w:rPr>
              <w:t>Fase 1 e Fase 2</w:t>
            </w:r>
          </w:p>
        </w:tc>
      </w:tr>
      <w:tr w:rsidR="00F227EA" w14:paraId="5B6E9CA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4DA46A" w14:textId="77777777" w:rsidR="00F227EA" w:rsidRDefault="00000000">
            <w:r>
              <w:rPr>
                <w:sz w:val="19"/>
                <w:szCs w:val="19"/>
              </w:rPr>
              <w:t>Gerente de projeto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A92290" w14:textId="77777777" w:rsidR="00F227EA" w:rsidRDefault="00000000">
            <w:r>
              <w:rPr>
                <w:sz w:val="19"/>
                <w:szCs w:val="19"/>
              </w:rPr>
              <w:t>Planejamento, janelas de mudança e aceite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FE705" w14:textId="77777777" w:rsidR="00F227EA" w:rsidRDefault="00000000">
            <w:r>
              <w:rPr>
                <w:sz w:val="19"/>
                <w:szCs w:val="19"/>
              </w:rPr>
              <w:t>Fase 1 e Fase 2</w:t>
            </w:r>
          </w:p>
        </w:tc>
      </w:tr>
      <w:tr w:rsidR="00F227EA" w14:paraId="2EFB69EF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BC952" w14:textId="77777777" w:rsidR="00F227EA" w:rsidRDefault="00000000">
            <w:r>
              <w:rPr>
                <w:sz w:val="19"/>
                <w:szCs w:val="19"/>
              </w:rPr>
              <w:t>Solaris - Canais Digitais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719CB" w14:textId="77777777" w:rsidR="00F227EA" w:rsidRDefault="00000000">
            <w:r>
              <w:rPr>
                <w:sz w:val="19"/>
                <w:szCs w:val="19"/>
              </w:rPr>
              <w:t>Disponibilizar informações do portal e das APIs, validar e aceitar as entregas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553C4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19041142" w14:textId="77777777" w:rsidTr="0017666D">
        <w:tc>
          <w:tcPr>
            <w:tcW w:w="3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- Segurança</w:t>
            </w:r>
          </w:p>
        </w:tc>
        <w:tc>
          <w:tcPr>
            <w:tcW w:w="4513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AE15" w14:textId="77777777" w:rsidR="00F227EA" w:rsidRDefault="00000000">
            <w:r>
              <w:rPr>
                <w:sz w:val="19"/>
                <w:szCs w:val="19"/>
              </w:rPr>
              <w:t>Informar histórico de ataques e aprovar políticas de proteção</w:t>
            </w:r>
          </w:p>
        </w:tc>
        <w:tc>
          <w:tcPr>
            <w:tcW w:w="283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90EA9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244B3390" w14:textId="77777777" w:rsidTr="0017666D">
        <w:tc>
          <w:tcPr>
            <w:tcW w:w="3000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sz w:val="19"/>
                <w:szCs w:val="19"/>
              </w:rPr>
              <w:t>Solaris - Infraestrutura</w:t>
            </w:r>
          </w:p>
        </w:tc>
        <w:tc>
          <w:tcPr>
            <w:tcW w:w="4513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1EBDEA" w14:textId="77777777" w:rsidR="00F227EA" w:rsidRDefault="00000000">
            <w:r>
              <w:rPr>
                <w:sz w:val="19"/>
                <w:szCs w:val="19"/>
              </w:rPr>
              <w:t>Informar a topologia das duas origens e o volume habitual de tráfego</w:t>
            </w:r>
          </w:p>
        </w:tc>
        <w:tc>
          <w:tcPr>
            <w:tcW w:w="2835" w:type="dxa"/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687487" w14:textId="77777777" w:rsidR="00F227EA" w:rsidRDefault="00000000">
            <w:r>
              <w:rPr>
                <w:sz w:val="19"/>
                <w:szCs w:val="19"/>
              </w:rPr>
              <w:t>Conforme plano</w:t>
            </w:r>
          </w:p>
        </w:tc>
      </w:tr>
      <w:tr w:rsidR="00F227EA" w14:paraId="6C44F201" w14:textId="77777777" w:rsidTr="0017666D">
        <w:tc>
          <w:tcPr>
            <w:tcW w:w="3000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r>
              <w:rPr>
                <w:b/>
                <w:bCs/>
                <w:sz w:val="19"/>
                <w:szCs w:val="19"/>
              </w:rPr>
              <w:t>Solaris - DNS</w:t>
            </w:r>
          </w:p>
        </w:tc>
        <w:tc>
          <w:tcPr>
            <w:tcW w:w="4513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9B216" w14:textId="77777777" w:rsidR="00F227EA" w:rsidRDefault="00F227EA">
            <w:r>
              <w:t>Criar no provedor atual os registros que apontam para o Global Traffic Management (Fase 2)</w:t>
            </w:r>
          </w:p>
        </w:tc>
        <w:tc>
          <w:tcPr>
            <w:tcW w:w="2835" w:type="dxa"/>
            <w:shd w:val="clear" w:color="auto" w:fill="E5E7E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31A99E" w14:textId="77777777" w:rsidR="00F227EA" w:rsidRDefault="00F227EA">
            <w:r>
              <w:t>Conforme plano</w:t>
            </w:r>
          </w:p>
        </w:tc>
      </w:tr>
    </w:tbl>
    <w:p w14:paraId="68A0A745" w14:textId="77777777" w:rsidR="00263911" w:rsidRDefault="00263911">
      <w:pPr>
        <w:pStyle w:val="Ttulo1"/>
        <w:keepNext/>
        <w:keepLines/>
        <w:pBdr>
          <w:bottom w:val="single" w:sz="6" w:space="4" w:color="6B46C1"/>
        </w:pBdr>
        <w:spacing w:before="320" w:after="140"/>
        <w:rPr>
          <w:rFonts w:ascii="Lato" w:eastAsia="Lato" w:hAnsi="Lato" w:cs="Lato"/>
          <w:b/>
          <w:bCs/>
          <w:color w:val="6B46C1"/>
          <w:sz w:val="30"/>
          <w:szCs w:val="30"/>
        </w:rPr>
      </w:pPr>
    </w:p>
    <w:p w14:paraId="4BCE6B76" w14:textId="17B07C63" w:rsidR="00F227EA" w:rsidRDefault="00000000">
      <w:pPr>
        <w:pStyle w:val="Ttulo1"/>
        <w:keepNext/>
        <w:keepLines/>
        <w:pageBreakBefore w:val="0"/>
        <w:pBdr>
          <w:bottom w:val="single" w:sz="6" w:space="4" w:color="6B46C1"/>
        </w:pBdr>
        <w:spacing w:before="320" w:after="140"/>
      </w:pPr>
      <w:r>
        <w:rPr>
          <w:rFonts w:ascii="Lato" w:eastAsia="Lato" w:hAnsi="Lato" w:cs="Lato"/>
          <w:b/>
          <w:bCs/>
          <w:color w:val="6B46C1"/>
          <w:sz w:val="30"/>
          <w:szCs w:val="30"/>
        </w:rPr>
        <w:lastRenderedPageBreak/>
        <w:t xml:space="preserve">13.  </w:t>
      </w:r>
      <w:r>
        <w:rPr>
          <w:rFonts w:ascii="Lato" w:eastAsia="Lato" w:hAnsi="Lato" w:cs="Lato"/>
          <w:b/>
          <w:bCs/>
          <w:color w:val="1F2A5E"/>
          <w:sz w:val="30"/>
          <w:szCs w:val="30"/>
        </w:rPr>
        <w:t>Nota de Confidencialidade</w:t>
      </w:r>
    </w:p>
    <w:p>
      <w:pPr>
        <w:keepNext/>
        <w:spacing w:after="120" w:line="276" w:lineRule="auto"/>
      </w:pPr>
      <w:r>
        <w:t>Todas as informações deste documento são confidenciais e destinam-se exclusivamente à avaliação da proposta por Solaris Energia e pela POPULOS.</w:t>
      </w:r>
    </w:p>
    <w:p>
      <w:pPr>
        <w:keepNext/>
        <w:spacing w:after="200" w:line="276" w:lineRule="auto"/>
      </w:pPr>
      <w:r>
        <w:t>Os direitos de propriedade intelectual sobre trabalhos preexistentes, roteiros de instalação, automações e métodos da POPULOS permanecem com a POPULOS. A documentação técnica específica do ambiente será entregue a Solaris Energia conforme o escopo aprovado.</w:t>
      </w:r>
    </w:p>
    <w:p w14:paraId="797633B9" w14:textId="77777777" w:rsidR="00BD500C" w:rsidRDefault="00BD500C">
      <w:pPr>
        <w:spacing w:after="200" w:line="276" w:lineRule="auto"/>
      </w:pPr>
    </w:p>
    <w:tbl>
      <w:tblPr>
        <w:tblW w:w="10080" w:type="dxa"/>
        <w:tblBorders>
          <w:top w:val="single" w:sz="2" w:space="0" w:color="E5E7EB"/>
          <w:left w:val="single" w:sz="24" w:space="0" w:color="6B46C1"/>
          <w:bottom w:val="single" w:sz="2" w:space="0" w:color="E5E7EB"/>
          <w:right w:val="single" w:sz="2" w:space="0" w:color="E5E7E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F227EA" w14:paraId="5F04289C" w14:textId="77777777">
        <w:trPr>
          <w:cantSplit/>
        </w:trPr>
        <w:tc>
          <w:tcPr>
            <w:tcW w:w="10080" w:type="dxa"/>
            <w:shd w:val="clear" w:color="auto" w:fill="F9FA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1FA577" w14:textId="77777777" w:rsidR="00F227EA" w:rsidRPr="00803FB7" w:rsidRDefault="00000000">
            <w:pPr>
              <w:spacing w:after="60"/>
              <w:rPr>
                <w:lang w:val="en-US"/>
              </w:rPr>
            </w:pPr>
            <w:r>
              <w:rPr>
                <w:rFonts w:ascii="Lato" w:eastAsia="Lato" w:hAnsi="Lato" w:cs="Lato"/>
                <w:b/>
                <w:bCs/>
                <w:color w:val="1F2A5E"/>
                <w:lang w:val="en-US"/>
              </w:rPr>
              <w:t>POPULOS — Enterprise Sales</w:t>
            </w:r>
          </w:p>
          <w:p w14:paraId="2B1BD1D3" w14:textId="2AAA9464" w:rsidR="00F227EA" w:rsidRPr="00803FB7" w:rsidRDefault="00BD500C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Brazil |  +55 (11) 3021-3761</w:t>
            </w:r>
          </w:p>
          <w:p w14:paraId="654D4E69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Locations</w:t>
            </w:r>
          </w:p>
          <w:p w14:paraId="61C60C47" w14:textId="77777777" w:rsidR="00F227EA" w:rsidRPr="00803FB7" w:rsidRDefault="00000000">
            <w:pPr>
              <w:spacing w:after="20" w:line="276" w:lineRule="auto"/>
              <w:rPr>
                <w:lang w:val="en-US"/>
              </w:rPr>
            </w:pPr>
            <w:r>
              <w:rPr>
                <w:lang w:val="en-US"/>
              </w:rPr>
              <w:t>Deerfield Beach — 3275 W Hillsboro BLVD, FL 33442, United States</w:t>
            </w:r>
          </w:p>
          <w:p w14:paraId="05D1DC7C" w14:textId="77777777" w:rsidR="00F227EA" w:rsidRDefault="00000000">
            <w:pPr>
              <w:spacing w:line="276" w:lineRule="auto"/>
            </w:pPr>
            <w:r>
              <w:t>Av. Tamboré, 267 — Alphaville, Barueri — SP, 06460-000, Brasil</w:t>
            </w:r>
          </w:p>
        </w:tc>
      </w:tr>
    </w:tbl>
    <w:p w14:paraId="4403C193" w14:textId="77777777" w:rsidR="00263911" w:rsidRDefault="00263911" w:rsidP="00BE28E3">
      <w:pPr>
        <w:spacing w:before="100"/>
        <w:jc w:val="center"/>
        <w:rPr>
          <w:i/>
          <w:iCs/>
          <w:color w:val="6B7280"/>
          <w:sz w:val="15"/>
          <w:szCs w:val="15"/>
          <w:lang w:val="en-US"/>
        </w:rPr>
      </w:pPr>
    </w:p>
    <w:p w14:paraId="3D96BEEA" w14:textId="763E02F1" w:rsidR="00F227EA" w:rsidRPr="00803FB7" w:rsidRDefault="00000000" w:rsidP="00BE28E3">
      <w:pPr>
        <w:spacing w:before="100"/>
        <w:jc w:val="center"/>
        <w:rPr>
          <w:lang w:val="en-US"/>
        </w:rPr>
      </w:pPr>
      <w:r>
        <w:rPr>
          <w:i/>
          <w:iCs/>
          <w:color w:val="6B7280"/>
          <w:sz w:val="15"/>
          <w:szCs w:val="15"/>
          <w:lang w:val="en-US"/>
        </w:rPr>
        <w:t>Copyright © POPULOS. All rights reserved. POPULOS, the POPULOS logo, and other marks appearing herein are property of POPULOS Technology and/or one or more of its subsidiaries. All other marks are the property of their respective owners.</w:t>
      </w:r>
    </w:p>
    <w:sectPr w:rsidR="00F227EA" w:rsidRPr="00803FB7" w:rsidSect="00BC59F2">
      <w:headerReference w:type="default" r:id="rId17"/>
      <w:footerReference w:type="default" r:id="rId18"/>
      <w:pgSz w:w="12240" w:h="15840"/>
      <w:pgMar w:top="1304" w:right="1077" w:bottom="1304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3B45C6" w14:textId="77777777" w:rsidR="005854F8" w:rsidRDefault="005854F8">
      <w:r>
        <w:separator/>
      </w:r>
    </w:p>
  </w:endnote>
  <w:endnote w:type="continuationSeparator" w:id="0">
    <w:p w14:paraId="04629C59" w14:textId="77777777" w:rsidR="005854F8" w:rsidRDefault="00585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25736" w14:textId="77777777" w:rsidR="00F53D0F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30F5DD" w14:textId="77777777" w:rsidR="00F53D0F" w:rsidRDefault="00000000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B3EFD0" w14:textId="3D368F95" w:rsidR="00F227EA" w:rsidRDefault="009F3C05">
    <w:pPr>
      <w:pBdr>
        <w:top w:val="single" w:sz="6" w:space="4" w:color="6B46C1"/>
      </w:pBdr>
      <w:jc w:val="center"/>
    </w:pPr>
    <w:r>
      <w:rPr>
        <w:color w:val="6B7280"/>
        <w:sz w:val="16"/>
        <w:szCs w:val="16"/>
      </w:rPr>
      <w:t xml:space="preserve">POPULOS | AKAMAI Partner | Página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PAGE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2</w:t>
    </w:r>
    <w:r>
      <w:rPr>
        <w:b/>
        <w:bCs/>
        <w:color w:val="1F2A5E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b/>
        <w:bCs/>
        <w:color w:val="1F2A5E"/>
        <w:sz w:val="16"/>
        <w:szCs w:val="16"/>
      </w:rPr>
      <w:fldChar w:fldCharType="begin"/>
    </w:r>
    <w:r>
      <w:rPr>
        <w:b/>
        <w:bCs/>
        <w:color w:val="1F2A5E"/>
        <w:sz w:val="16"/>
        <w:szCs w:val="16"/>
      </w:rPr>
      <w:instrText>NUMPAGES</w:instrText>
    </w:r>
    <w:r>
      <w:rPr>
        <w:b/>
        <w:bCs/>
        <w:color w:val="1F2A5E"/>
        <w:sz w:val="16"/>
        <w:szCs w:val="16"/>
      </w:rPr>
      <w:fldChar w:fldCharType="separate"/>
    </w:r>
    <w:r w:rsidR="00803FB7">
      <w:rPr>
        <w:b/>
        <w:bCs/>
        <w:noProof/>
        <w:color w:val="1F2A5E"/>
        <w:sz w:val="16"/>
        <w:szCs w:val="16"/>
      </w:rPr>
      <w:t>3</w:t>
    </w:r>
    <w:r>
      <w:rPr>
        <w:b/>
        <w:bCs/>
        <w:color w:val="1F2A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A7FB05" w14:textId="77777777" w:rsidR="005854F8" w:rsidRDefault="005854F8">
      <w:r>
        <w:separator/>
      </w:r>
    </w:p>
  </w:footnote>
  <w:footnote w:type="continuationSeparator" w:id="0">
    <w:p w14:paraId="05B877FB" w14:textId="77777777" w:rsidR="005854F8" w:rsidRDefault="00585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2FFF6" w14:textId="77777777" w:rsidR="00F53D0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B87A19" w14:textId="77777777" w:rsidR="00F53D0F" w:rsidRDefault="00000000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4DE86" w14:textId="541B9CF5" w:rsidR="00F227EA" w:rsidRPr="00841401" w:rsidRDefault="00000000" w:rsidP="00841401">
    <w:pPr>
      <w:pBdr>
        <w:bottom w:val="single" w:sz="6" w:space="4" w:color="6B46C1"/>
      </w:pBdr>
      <w:jc w:val="right"/>
      <w:rPr>
        <w:color w:val="6B7280"/>
        <w:sz w:val="18"/>
        <w:szCs w:val="18"/>
      </w:rPr>
    </w:pPr>
    <w:r>
      <w:rPr>
        <w:b/>
        <w:bCs/>
        <w:color w:val="1F2A5E"/>
        <w:sz w:val="18"/>
        <w:szCs w:val="18"/>
      </w:rPr>
      <w:t>PROPOSTA TÉCNICA | Proteção e continuidade do portal do cliente - Solaris Energia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8130EA"/>
    <w:multiLevelType w:val="hybridMultilevel"/>
    <w:tmpl w:val="EB1C226E"/>
    <w:lvl w:ilvl="0" w:tplc="B4B4DADA">
      <w:start w:val="1"/>
      <w:numFmt w:val="bullet"/>
      <w:lvlText w:val="●"/>
      <w:lvlJc w:val="left"/>
      <w:pPr>
        <w:ind w:left="560" w:hanging="360"/>
      </w:pPr>
      <w:rPr>
        <w:color w:val="6B46C1"/>
        <w:sz w:val="22"/>
        <w:szCs w:val="22"/>
      </w:rPr>
    </w:lvl>
    <w:lvl w:ilvl="1" w:tplc="4572AA4A">
      <w:start w:val="1"/>
      <w:numFmt w:val="bullet"/>
      <w:lvlText w:val="◦"/>
      <w:lvlJc w:val="left"/>
      <w:pPr>
        <w:ind w:left="900" w:hanging="260"/>
      </w:pPr>
    </w:lvl>
    <w:lvl w:ilvl="2" w:tplc="5D949178">
      <w:numFmt w:val="decimal"/>
      <w:lvlText w:val=""/>
      <w:lvlJc w:val="left"/>
    </w:lvl>
    <w:lvl w:ilvl="3" w:tplc="3BAA3BFE">
      <w:numFmt w:val="decimal"/>
      <w:lvlText w:val=""/>
      <w:lvlJc w:val="left"/>
    </w:lvl>
    <w:lvl w:ilvl="4" w:tplc="EE0013DC">
      <w:numFmt w:val="decimal"/>
      <w:lvlText w:val=""/>
      <w:lvlJc w:val="left"/>
    </w:lvl>
    <w:lvl w:ilvl="5" w:tplc="1FBE12FA">
      <w:numFmt w:val="decimal"/>
      <w:lvlText w:val=""/>
      <w:lvlJc w:val="left"/>
    </w:lvl>
    <w:lvl w:ilvl="6" w:tplc="4E928B7C">
      <w:numFmt w:val="decimal"/>
      <w:lvlText w:val=""/>
      <w:lvlJc w:val="left"/>
    </w:lvl>
    <w:lvl w:ilvl="7" w:tplc="77986DFE">
      <w:numFmt w:val="decimal"/>
      <w:lvlText w:val=""/>
      <w:lvlJc w:val="left"/>
    </w:lvl>
    <w:lvl w:ilvl="8" w:tplc="42644CDA">
      <w:numFmt w:val="decimal"/>
      <w:lvlText w:val=""/>
      <w:lvlJc w:val="left"/>
    </w:lvl>
  </w:abstractNum>
  <w:abstractNum w:abstractNumId="1" w15:restartNumberingAfterBreak="0">
    <w:nsid w:val="6A07502B"/>
    <w:multiLevelType w:val="hybridMultilevel"/>
    <w:tmpl w:val="AC2A4652"/>
    <w:lvl w:ilvl="0" w:tplc="4F3078CE">
      <w:start w:val="1"/>
      <w:numFmt w:val="bullet"/>
      <w:lvlText w:val="●"/>
      <w:lvlJc w:val="left"/>
      <w:pPr>
        <w:ind w:left="720" w:hanging="360"/>
      </w:pPr>
    </w:lvl>
    <w:lvl w:ilvl="1" w:tplc="F58CB7D2">
      <w:start w:val="1"/>
      <w:numFmt w:val="bullet"/>
      <w:lvlText w:val="○"/>
      <w:lvlJc w:val="left"/>
      <w:pPr>
        <w:ind w:left="1440" w:hanging="360"/>
      </w:pPr>
    </w:lvl>
    <w:lvl w:ilvl="2" w:tplc="725A7476">
      <w:start w:val="1"/>
      <w:numFmt w:val="bullet"/>
      <w:lvlText w:val="■"/>
      <w:lvlJc w:val="left"/>
      <w:pPr>
        <w:ind w:left="2160" w:hanging="360"/>
      </w:pPr>
    </w:lvl>
    <w:lvl w:ilvl="3" w:tplc="5B1803F2">
      <w:start w:val="1"/>
      <w:numFmt w:val="bullet"/>
      <w:lvlText w:val="●"/>
      <w:lvlJc w:val="left"/>
      <w:pPr>
        <w:ind w:left="2880" w:hanging="360"/>
      </w:pPr>
    </w:lvl>
    <w:lvl w:ilvl="4" w:tplc="AB486F06">
      <w:start w:val="1"/>
      <w:numFmt w:val="bullet"/>
      <w:lvlText w:val="○"/>
      <w:lvlJc w:val="left"/>
      <w:pPr>
        <w:ind w:left="3600" w:hanging="360"/>
      </w:pPr>
    </w:lvl>
    <w:lvl w:ilvl="5" w:tplc="BDB2E41A">
      <w:start w:val="1"/>
      <w:numFmt w:val="bullet"/>
      <w:lvlText w:val="■"/>
      <w:lvlJc w:val="left"/>
      <w:pPr>
        <w:ind w:left="4320" w:hanging="360"/>
      </w:pPr>
    </w:lvl>
    <w:lvl w:ilvl="6" w:tplc="4A80A58C">
      <w:start w:val="1"/>
      <w:numFmt w:val="bullet"/>
      <w:lvlText w:val="●"/>
      <w:lvlJc w:val="left"/>
      <w:pPr>
        <w:ind w:left="5040" w:hanging="360"/>
      </w:pPr>
    </w:lvl>
    <w:lvl w:ilvl="7" w:tplc="99FA9986">
      <w:start w:val="1"/>
      <w:numFmt w:val="bullet"/>
      <w:lvlText w:val="●"/>
      <w:lvlJc w:val="left"/>
      <w:pPr>
        <w:ind w:left="5760" w:hanging="360"/>
      </w:pPr>
    </w:lvl>
    <w:lvl w:ilvl="8" w:tplc="1B668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8140C5"/>
    <w:multiLevelType w:val="hybridMultilevel"/>
    <w:tmpl w:val="067292E6"/>
    <w:lvl w:ilvl="0" w:tplc="B4B4DADA">
      <w:start w:val="1"/>
      <w:numFmt w:val="bullet"/>
      <w:lvlText w:val="●"/>
      <w:lvlJc w:val="left"/>
      <w:pPr>
        <w:ind w:left="763" w:hanging="360"/>
      </w:pPr>
      <w:rPr>
        <w:rFonts w:hint="default"/>
        <w:color w:val="6B46C1"/>
        <w:sz w:val="22"/>
        <w:szCs w:val="22"/>
      </w:rPr>
    </w:lvl>
    <w:lvl w:ilvl="1" w:tplc="0416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num w:numId="1" w16cid:durableId="77605820">
    <w:abstractNumId w:val="1"/>
    <w:lvlOverride w:ilvl="0">
      <w:startOverride w:val="1"/>
    </w:lvlOverride>
  </w:num>
  <w:num w:numId="2" w16cid:durableId="1448089016">
    <w:abstractNumId w:val="0"/>
  </w:num>
  <w:num w:numId="3" w16cid:durableId="1596523485">
    <w:abstractNumId w:val="2"/>
  </w:num>
  <w:num w:numId="4" w16cid:durableId="8555763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7EA"/>
    <w:rsid w:val="00040C3A"/>
    <w:rsid w:val="000439AE"/>
    <w:rsid w:val="00061930"/>
    <w:rsid w:val="000637DB"/>
    <w:rsid w:val="000B2FDA"/>
    <w:rsid w:val="000D66FE"/>
    <w:rsid w:val="000F4CAE"/>
    <w:rsid w:val="00122D97"/>
    <w:rsid w:val="00123062"/>
    <w:rsid w:val="00124352"/>
    <w:rsid w:val="0017666D"/>
    <w:rsid w:val="001D6306"/>
    <w:rsid w:val="00201DA6"/>
    <w:rsid w:val="00263911"/>
    <w:rsid w:val="002B62A7"/>
    <w:rsid w:val="003212B8"/>
    <w:rsid w:val="00367582"/>
    <w:rsid w:val="00384C04"/>
    <w:rsid w:val="0039468C"/>
    <w:rsid w:val="003D6743"/>
    <w:rsid w:val="003D68CE"/>
    <w:rsid w:val="004236FB"/>
    <w:rsid w:val="004260B1"/>
    <w:rsid w:val="004A0FD6"/>
    <w:rsid w:val="004D3A65"/>
    <w:rsid w:val="00563A4C"/>
    <w:rsid w:val="00585448"/>
    <w:rsid w:val="005854F8"/>
    <w:rsid w:val="005E1836"/>
    <w:rsid w:val="005E72CB"/>
    <w:rsid w:val="005F7E51"/>
    <w:rsid w:val="006161F1"/>
    <w:rsid w:val="00657CD9"/>
    <w:rsid w:val="00664B6A"/>
    <w:rsid w:val="006A41E5"/>
    <w:rsid w:val="007576C4"/>
    <w:rsid w:val="00803FB7"/>
    <w:rsid w:val="0081108E"/>
    <w:rsid w:val="00821580"/>
    <w:rsid w:val="00841401"/>
    <w:rsid w:val="008B4400"/>
    <w:rsid w:val="008D0CE0"/>
    <w:rsid w:val="008E6617"/>
    <w:rsid w:val="0093334E"/>
    <w:rsid w:val="00944AC1"/>
    <w:rsid w:val="00965FFC"/>
    <w:rsid w:val="009E38D4"/>
    <w:rsid w:val="009E74E3"/>
    <w:rsid w:val="009F3C05"/>
    <w:rsid w:val="00A1027D"/>
    <w:rsid w:val="00AC3773"/>
    <w:rsid w:val="00AD7401"/>
    <w:rsid w:val="00B511D1"/>
    <w:rsid w:val="00B55639"/>
    <w:rsid w:val="00BB0D50"/>
    <w:rsid w:val="00BB2913"/>
    <w:rsid w:val="00BC59F2"/>
    <w:rsid w:val="00BD500C"/>
    <w:rsid w:val="00BE28E3"/>
    <w:rsid w:val="00BF323B"/>
    <w:rsid w:val="00C21CFE"/>
    <w:rsid w:val="00C459CB"/>
    <w:rsid w:val="00C50EC5"/>
    <w:rsid w:val="00C579FF"/>
    <w:rsid w:val="00D24A21"/>
    <w:rsid w:val="00D25F5B"/>
    <w:rsid w:val="00D31BD9"/>
    <w:rsid w:val="00D45053"/>
    <w:rsid w:val="00E20C93"/>
    <w:rsid w:val="00ED213E"/>
    <w:rsid w:val="00ED2387"/>
    <w:rsid w:val="00ED4DB0"/>
    <w:rsid w:val="00F227EA"/>
    <w:rsid w:val="00F327E1"/>
    <w:rsid w:val="00F46CDF"/>
    <w:rsid w:val="00F50886"/>
    <w:rsid w:val="00F53D0F"/>
    <w:rsid w:val="00F71DA0"/>
    <w:rsid w:val="00F87B90"/>
    <w:rsid w:val="00F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E59E"/>
  <w15:docId w15:val="{B8AFE555-A88C-F341-BD58-3C839FBA15A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374151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48"/>
    <w:pPr>
      <w:jc w:val="both"/>
    </w:p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Normal0">
    <w:name w:val="Normal0"/>
    <w:qFormat/>
    <w:rsid w:val="00AC3773"/>
    <w:pPr>
      <w:spacing w:after="200" w:line="312" w:lineRule="auto"/>
      <w:ind w:left="-6"/>
    </w:pPr>
    <w:rPr>
      <w:rFonts w:ascii="Lato" w:eastAsia="Lato" w:hAnsi="Lato" w:cs="Lato"/>
      <w:color w:val="595959"/>
      <w:sz w:val="20"/>
      <w:szCs w:val="20"/>
      <w:lang w:eastAsia="en-US"/>
    </w:rPr>
  </w:style>
  <w:style w:type="paragraph" w:customStyle="1" w:styleId="Subtitle0">
    <w:name w:val="Subtitle0"/>
    <w:basedOn w:val="Normal0"/>
    <w:next w:val="Normal0"/>
    <w:rsid w:val="00AC3773"/>
    <w:pPr>
      <w:keepNext/>
      <w:keepLines/>
    </w:pPr>
    <w:rPr>
      <w:b/>
      <w:color w:val="666666"/>
      <w:sz w:val="40"/>
      <w:szCs w:val="40"/>
    </w:rPr>
  </w:style>
  <w:style w:type="paragraph" w:styleId="Cabealho">
    <w:name w:val="header"/>
    <w:basedOn w:val="Normal"/>
    <w:link w:val="Cabealho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3773"/>
  </w:style>
  <w:style w:type="paragraph" w:styleId="Rodap">
    <w:name w:val="footer"/>
    <w:basedOn w:val="Normal"/>
    <w:link w:val="RodapChar"/>
    <w:uiPriority w:val="99"/>
    <w:unhideWhenUsed/>
    <w:rsid w:val="00AC377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3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aa116b-8286-452a-ad11-9bfb85584ae0">
      <Terms xmlns="http://schemas.microsoft.com/office/infopath/2007/PartnerControls"/>
    </lcf76f155ced4ddcb4097134ff3c332f>
    <TaxCatchAll xmlns="219277de-6618-4cc7-bdb8-2ede8afd49f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9AD5308FF7D4B91152391E51B657F" ma:contentTypeVersion="19" ma:contentTypeDescription="Crie um novo documento." ma:contentTypeScope="" ma:versionID="6213242d335f4d963f0fc8e055b000e9">
  <xsd:schema xmlns:xsd="http://www.w3.org/2001/XMLSchema" xmlns:xs="http://www.w3.org/2001/XMLSchema" xmlns:p="http://schemas.microsoft.com/office/2006/metadata/properties" xmlns:ns2="57aa116b-8286-452a-ad11-9bfb85584ae0" xmlns:ns3="219277de-6618-4cc7-bdb8-2ede8afd49fb" targetNamespace="http://schemas.microsoft.com/office/2006/metadata/properties" ma:root="true" ma:fieldsID="4ce8b9b105c99073f40ae004358d12b6" ns2:_="" ns3:_="">
    <xsd:import namespace="57aa116b-8286-452a-ad11-9bfb85584ae0"/>
    <xsd:import namespace="219277de-6618-4cc7-bdb8-2ede8afd4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a116b-8286-452a-ad11-9bfb85584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f566eb4a-84a7-4f03-9cf4-83584b28a2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277de-6618-4cc7-bdb8-2ede8afd49f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150c78be-d6dd-4461-b83c-1af308392aaf}" ma:internalName="TaxCatchAll" ma:showField="CatchAllData" ma:web="219277de-6618-4cc7-bdb8-2ede8afd4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6CF224-2329-41B7-AB5E-00AECA73DCE6}">
  <ds:schemaRefs>
    <ds:schemaRef ds:uri="http://schemas.microsoft.com/office/2006/metadata/properties"/>
    <ds:schemaRef ds:uri="http://schemas.microsoft.com/office/infopath/2007/PartnerControls"/>
    <ds:schemaRef ds:uri="57aa116b-8286-452a-ad11-9bfb85584ae0"/>
    <ds:schemaRef ds:uri="219277de-6618-4cc7-bdb8-2ede8afd49fb"/>
  </ds:schemaRefs>
</ds:datastoreItem>
</file>

<file path=customXml/itemProps2.xml><?xml version="1.0" encoding="utf-8"?>
<ds:datastoreItem xmlns:ds="http://schemas.openxmlformats.org/officeDocument/2006/customXml" ds:itemID="{3BA5B480-FB04-CF4D-888F-22A6B84659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F81703-7A1A-410C-944C-CACF4BA2BB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4AE9F9-6353-432E-B7B2-AD52FEF704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a116b-8286-452a-ad11-9bfb85584ae0"/>
    <ds:schemaRef ds:uri="219277de-6618-4cc7-bdb8-2ede8afd49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3449</Words>
  <Characters>20175</Characters>
  <Application>Microsoft Office Word</Application>
  <DocSecurity>0</DocSecurity>
  <Lines>567</Lines>
  <Paragraphs>326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técnica — Solaris Energia</dc:title>
  <dc:creator>POPULOS Sales Engineering</dc:creator>
  <cp:lastModifiedBy>Paulo Barbosa | Secbuilder</cp:lastModifiedBy>
  <cp:revision>3</cp:revision>
  <cp:lastPrinted>2026-07-23T18:30:00Z</cp:lastPrinted>
  <dcterms:created xsi:type="dcterms:W3CDTF">2026-07-23T18:30:00Z</dcterms:created>
  <dcterms:modified xsi:type="dcterms:W3CDTF">2026-07-23T18:30:00Z</dcterms:modified>
  <dc:subject>Proteção e continuidade do portal do cliente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0x01010010D9AD5308FF7D4B91152391E51B657F</vt:lpwstr>
  </property>
  <property fmtid="{D5CDD505-2E9C-101B-9397-08002B2CF9AE}" pid="3" name="MediaServiceImageTags">
    <vt:lpwstr/>
  </property>
</Properties>
</file>