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2A33" w14:textId="0B40027C" w:rsidR="00AC3773" w:rsidRDefault="00B55639" w:rsidP="00AC3773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  <w:r>
        <w:fldChar w:fldCharType="begin"/>
      </w:r>
      <w:r>
        <w:instrText xml:space="preserve"> INCLUDEPICTURE "https://yt3.googleusercontent.com/GM9aUAG2BP22F7JircpALbMAoRz2rOY94R9NJwkmcJ8NxGaWWXNtYA3hYYKkNvVyK3_utBIL=s900-c-k-c0x00ffffff-no-rj" \* MERGEFORMATINET </w:instrText>
      </w:r>
      <w:r>
        <w:fldChar w:fldCharType="separate"/>
      </w:r>
      <w:r>
        <w:fldChar w:fldCharType="end"/>
      </w:r>
      <w:r>
        <w:rPr>
          <w:rFonts w:ascii="Open Sans" w:eastAsia="Open Sans" w:hAnsi="Open Sans" w:cs="Open Sans"/>
          <w:noProof/>
          <w:color w:val="695D46"/>
        </w:rPr>
        <w:drawing>
          <wp:anchor distT="0" distB="0" distL="114300" distR="114300" simplePos="0" relativeHeight="251659264" behindDoc="1" locked="0" layoutInCell="1" allowOverlap="1" wp14:anchorId="43DCC4BD" wp14:editId="023D3B8F">
            <wp:simplePos x="0" y="0"/>
            <wp:positionH relativeFrom="page">
              <wp:posOffset>0</wp:posOffset>
            </wp:positionH>
            <wp:positionV relativeFrom="paragraph">
              <wp:posOffset>-339984</wp:posOffset>
            </wp:positionV>
            <wp:extent cx="7781192" cy="10729945"/>
            <wp:effectExtent l="0" t="0" r="4445" b="1905"/>
            <wp:wrapNone/>
            <wp:docPr id="130306582" name="Imagem 1" descr="A blue and white background with tex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582" name="Imagem 1" descr="A blue and white background with text 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192" cy="107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54C45" w14:textId="7E032A73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A5E188D" w14:textId="00A8B694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23181CB" w14:textId="00855A1A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1643B38F" w14:textId="3A5BA65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EB4215D" w14:textId="0767440C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DE965B7" w14:textId="2148EEE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47235B5" w14:textId="360FA79E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8E5ED0D" w14:textId="307D5FAD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51E2F662" w14:textId="4F63DEF6" w:rsidR="00C50EC5" w:rsidRPr="009A297D" w:rsidRDefault="00C50EC5" w:rsidP="00C50EC5">
      <w:pPr>
        <w:pStyle w:val="Subtitle0"/>
        <w:spacing w:after="0" w:line="276" w:lineRule="auto"/>
        <w:ind w:left="0" w:firstLine="1134"/>
        <w:rPr>
          <w:color w:val="FFFFFF" w:themeColor="background1"/>
          <w:sz w:val="48"/>
          <w:szCs w:val="48"/>
        </w:rPr>
      </w:pPr>
      <w:r>
        <w:rPr>
          <w:color w:val="FFFFFF" w:themeColor="background1"/>
          <w:sz w:val="48"/>
          <w:szCs w:val="48"/>
        </w:rPr>
        <w:t>PROPOSTA TÉCNICA</w:t>
      </w:r>
    </w:p>
    <w:p w14:paraId="0B130125" w14:textId="6D9BC620" w:rsidR="00C50EC5" w:rsidRDefault="00C50EC5" w:rsidP="00C50EC5">
      <w:pPr>
        <w:pStyle w:val="Subtitle0"/>
        <w:spacing w:after="0" w:line="276" w:lineRule="auto"/>
        <w:ind w:firstLine="1134"/>
        <w:rPr>
          <w:color w:val="FFFFFF" w:themeColor="background1"/>
        </w:rPr>
      </w:pPr>
    </w:p>
    <w:p>
      <w:pPr>
        <w:pStyle w:val="Subtitle0"/>
        <w:spacing w:after="0" w:line="276" w:lineRule="auto"/>
        <w:ind w:left="1134" w:right="758"/>
        <w:rPr>
          <w:b w:val="0"/>
          <w:bCs/>
          <w:color w:val="FFFFFF" w:themeColor="background1"/>
        </w:rPr>
      </w:pPr>
      <w:r>
        <w:rPr>
          <w:b w:val="0"/>
          <w:bCs/>
          <w:color w:val="FFFFFF" w:themeColor="background1"/>
        </w:rPr>
        <w:t>Proteção do simulador de cotação contra automação · Lumina Seguros · LUMINA-BOT-2026</w:t>
      </w:r>
    </w:p>
    <w:p>
      <w:pPr>
        <w:pStyle w:val="Normal0"/>
        <w:ind w:firstLine="1134"/>
        <w:rPr>
          <w:color w:val="FFFFFF" w:themeColor="background1"/>
        </w:rPr>
      </w:pPr>
      <w:r>
        <w:rPr>
          <w:color w:val="FFFFFF" w:themeColor="background1"/>
        </w:rPr>
        <w:t>EMPRESA: Lumina Seguros</w:t>
      </w:r>
    </w:p>
    <w:p>
      <w:pPr>
        <w:pStyle w:val="Normal0"/>
        <w:spacing w:after="0" w:line="276" w:lineRule="auto"/>
        <w:ind w:firstLine="1134"/>
        <w:rPr>
          <w:color w:val="FFFFFF" w:themeColor="background1"/>
        </w:rPr>
      </w:pPr>
      <w:r>
        <w:rPr>
          <w:color w:val="FFFFFF" w:themeColor="background1"/>
        </w:rPr>
        <w:t>| SETEMBRO 2026 |</w:t>
      </w:r>
    </w:p>
    <w:p w14:paraId="498C438A" w14:textId="799C8663" w:rsidR="00F227EA" w:rsidRDefault="00B55639" w:rsidP="00BC59F2">
      <w:pPr>
        <w:spacing w:line="240" w:lineRule="exact"/>
        <w:jc w:val="left"/>
        <w:sectPr w:rsidR="00F227EA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0" w:right="0" w:bottom="0" w:left="0" w:header="0" w:footer="0" w:gutter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05B9463" wp14:editId="09D1AD0E">
            <wp:simplePos x="0" y="0"/>
            <wp:positionH relativeFrom="column">
              <wp:posOffset>2580640</wp:posOffset>
            </wp:positionH>
            <wp:positionV relativeFrom="paragraph">
              <wp:posOffset>499745</wp:posOffset>
            </wp:positionV>
            <wp:extent cx="2092960" cy="2092960"/>
            <wp:effectExtent l="0" t="0" r="2540" b="2540"/>
            <wp:wrapNone/>
            <wp:docPr id="497703951" name="Imagem 2" descr="Logo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do cli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641" cy="209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7EEC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Sobre a POPULOS</w:t>
      </w:r>
    </w:p>
    <w:p w14:paraId="3C604CD7" w14:textId="77777777" w:rsidR="00F227EA" w:rsidRDefault="00000000">
      <w:pPr>
        <w:spacing w:after="120" w:line="276" w:lineRule="auto"/>
      </w:pPr>
      <w:r>
        <w:t>A POPULOS nasceu em São Paulo com o objetivo de levar o futuro para organizações de todos os tipos e tamanhos, através da entrega de soluções que têm o poder de transformar radicalmente a forma como as pessoas trabalham, criam e colaboram.</w:t>
      </w:r>
    </w:p>
    <w:p w14:paraId="5570BA4F" w14:textId="61F7A7ED" w:rsidR="00F227EA" w:rsidRDefault="00000000">
      <w:pPr>
        <w:spacing w:after="120" w:line="276" w:lineRule="auto"/>
      </w:pPr>
      <w:r>
        <w:t>Muito mais do que entregar ferramentas tecnológicas, temos como objetivo ajudar organizações a pensar e executar o trabalho de forma diferente, entrando na era do trabalho 3.0. A POPULOS é especialista e líder na América Latina em soluções de Segurança, End-User Computing, Infraestrutura, Redes e Cloud.</w:t>
      </w:r>
    </w:p>
    <w:p w14:paraId="60A8393F" w14:textId="77777777" w:rsidR="00F227EA" w:rsidRDefault="00000000">
      <w:pPr>
        <w:spacing w:after="120" w:line="276" w:lineRule="auto"/>
      </w:pPr>
      <w:r>
        <w:t>Somos um agente da transformação digital. Nossa missão é compartilhar a visão do futuro do trabalho e entregar os meios para que organizações obtenham os melhores resultados em um mundo que se transforma rápido, suprindo os interesses das áreas de TI, segurança e operações.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Sobre a Akamai</w:t>
      </w:r>
    </w:p>
    <w:p>
      <w:pPr>
        <w:spacing w:after="120" w:line="276" w:lineRule="auto"/>
      </w:pPr>
      <w:r>
        <w:t>A Akamai opera uma plataforma de borda que entrega e protege aplicações web e APIs, onde a Lumina já utiliza Ion, App &amp; API Protector e Edge DNS.</w:t>
      </w:r>
    </w:p>
    <w:p>
      <w:pPr>
        <w:spacing w:after="120" w:line="276" w:lineRule="auto"/>
      </w:pPr>
      <w:r>
        <w:t>O Bot Manager Premier identifica automação nas requisições ao simulador de cotação e aplica a resposta definida para cada categoria de robô, sem alterar a experiência do cliente humano.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Parceria POPULOS e Akamai</w:t>
      </w:r>
    </w:p>
    <w:p>
      <w:pPr>
        <w:spacing w:after="120" w:line="276" w:lineRule="auto"/>
      </w:pPr>
      <w:r>
        <w:t>A POPULOS atende a Lumina desde 2024 na implantação e na sustentação do ambiente Akamai e presta os serviços desta implantação.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Configuração e ajuste do Bot Manager Premier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Operação de propriedades Ion e App &amp; API Protector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Gestão de mudanças em produção com reversão controlada</w:t>
      </w:r>
    </w:p>
    <w:p>
      <w:pPr>
        <w:spacing w:after="120" w:line="276" w:lineRule="auto"/>
      </w:pPr>
      <w:r>
        <w:t>A composição final da equipe será confirmada no plano de projeto, preservando as competências exigidas para cada frente.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3AFBBE49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Aderência e qualificações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equipe POPULOS reúne experiência em configuração de Bot Manager Premier e nas propriedades Akamai da Lumina.</w:t>
            </w:r>
          </w:p>
        </w:tc>
      </w:tr>
    </w:tbl>
    <w:p w14:paraId="594D7819" w14:textId="77777777" w:rsidR="00ED2387" w:rsidRDefault="00ED2387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66BFB71B" w14:textId="0C054DC3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Sumário Executivo</w:t>
      </w:r>
    </w:p>
    <w:p>
      <w:pPr>
        <w:spacing w:after="120" w:line="276" w:lineRule="auto"/>
      </w:pPr>
      <w:r>
        <w:rPr>
          <w:b/>
          <w:bCs/>
        </w:rPr>
        <w:t>A Lumina Seguros identificou que o simulador de cotação de seguro auto está sendo raspado por robôs: são milhares de cotações por hora com aparência de navegador comum, que o WAF atual não distingue do tráfego legítimo. Como cada cotação consulta dois bureaus de dados pagos por consulta, e a Lumina estima que ao menos metade das cotações venha de robôs, a raspagem expõe a tabela de preços e eleva o custo operacional.</w:t>
      </w:r>
    </w:p>
    <w:p>
      <w:pPr>
        <w:spacing w:after="120" w:line="276" w:lineRule="auto"/>
      </w:pPr>
      <w:r>
        <w:t>Esta proposta cobre a implantação do Bot Manager Premier pela POPULOS sobre o ambiente Akamai já em uso pela Lumina (Ion, App &amp; API Protector e Edge DNS), com passagem por modo de observação antes da mitigação em produção. A licença é adicionada ao contrato direto entre a Lumina e a Akamai por aditivo, e a POPULOS presta os serviços de implantação.</w:t>
      </w:r>
    </w:p>
    <w:p>
      <w:pPr>
        <w:keepLines/>
        <w:spacing w:after="120" w:line="276" w:lineRule="auto"/>
      </w:pPr>
      <w:r>
        <w:t>O objetivo é ter a mitigação ativa antes do lançamento do novo seguro auto em 15/01/2027, com todas as mudanças em produção concluídas antes do congelamento de mudanças de 15/12/2026 a 05/01/2027. O prazo depende da assinatura do aditivo e do provisionamento da licença.</w:t>
      </w:r>
    </w:p>
    <w:p>
      <w:pPr>
        <w:keepLines/>
        <w:spacing w:after="120" w:line="276" w:lineRule="auto"/>
      </w:pPr>
      <w:r>
        <w:t>Viabilidade frente a Lançamento do novo seguro auto (15/01/2027): cabe no prazo. A data limite considerada é 15/12/2026 (início de Congelamento de fim de ano em 15/12/2026). Com início em 24/09/2026 e a sequência Provisionamento da licença pela Akamai após assinatura do aditivo → Planejamento e levantamento → Configuração e observação → Ativação da mitigação → Estabilização e aceite, a conclusão fica entre 22/10/2026 e 12/11/2026. Para cumprir a data limite, o início deve ocorrer até 27/10/2026. Ressalvas: não há folga de estabilização aprovada: a conclusão pode coincidir com a data limite.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contra automação no simulador de cotação — Bot Manager Premier.</w:t>
      </w:r>
    </w:p>
    <w:p>
      <w:pPr>
        <w:spacing w:after="60" w:line="276" w:lineRule="auto"/>
      </w:pPr>
      <w:r>
        <w:rPr>
          <w:b/>
          <w:bCs/>
        </w:rPr>
        <w:t>A proposta cobre a proteção do simulador de cotação contra automação; o ambiente Akamai atual é mantido.</w:t>
      </w:r>
    </w:p>
    <w:p w14:paraId="71911788" w14:textId="77777777" w:rsidR="003D6743" w:rsidRDefault="003D6743">
      <w:pPr>
        <w:spacing w:after="6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60F0B8BA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Modelo de fornecimento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licença do Bot Manager será adicionada ao contrato direto entre a Lumina e a Akamai, por aditivo, com co-terminação em 31/03/2027. A POPULOS presta apenas os serviços.</w:t>
            </w:r>
          </w:p>
        </w:tc>
      </w:tr>
    </w:tbl>
    <w:p w14:paraId="0DEBA0B3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Objetivos do Projeto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Conter a raspagem automatizada do simulador de cotação de seguro auto (REQ-01)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Reduzir as cotações geradas por robôs que disparam consultas pagas aos bureaus de dados (REQ-02)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Ter o Bot Manager Premier em operação antes do lançamento do novo seguro auto em 15/01/2027, respeitando o congelamento de mudanças (REQ-03)</w:t>
      </w:r>
    </w:p>
    <w:p w14:paraId="6845968B" w14:textId="77777777" w:rsidR="00BC59F2" w:rsidRDefault="00BC59F2" w:rsidP="00BC59F2">
      <w:pPr>
        <w:spacing w:after="60" w:line="270" w:lineRule="auto"/>
      </w:pPr>
    </w:p>
    <w:p w14:paraId="60915E81" w14:textId="77777777" w:rsidR="00BC59F2" w:rsidRDefault="00BC59F2" w:rsidP="00BC59F2">
      <w:pPr>
        <w:spacing w:after="60" w:line="270" w:lineRule="auto"/>
      </w:pPr>
    </w:p>
    <w:p w14:paraId="06204E6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Descrição da Solução</w:t>
      </w:r>
    </w:p>
    <w:p>
      <w:pPr>
        <w:spacing w:after="120" w:line="276" w:lineRule="auto"/>
      </w:pPr>
      <w:r>
        <w:t>O Bot Manager Premier é ativado na borda Akamai sobre a propriedade Ion que entrega o simulador de cotação, ao lado do App &amp; API Protector já contratado. As requisições ao simulador são classificadas antes de chegar à origem: robôs identificados recebem a ação definida com a Lumina (monitorar, desafiar ou bloquear), e o tráfego humano segue normalmente, o que reduz as cotações automatizadas que chegam à origem e as consultas aos bureaus disparadas por elas.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91792"/>
            <wp:docPr id="497703952" name="Picture 497703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9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3.1 Proteção contra automação no simulador de cotação</w:t>
      </w:r>
    </w:p>
    <w:p>
      <w:pPr>
        <w:spacing w:after="120" w:line="276" w:lineRule="auto"/>
      </w:pPr>
      <w:r>
        <w:t>Detecção e resposta a automação no simulador de cotação, com ações diferenciadas por tipo de robô e telemetria para acompanhar o volume mitigado.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Bot Manager Premier: detecção de bots, resposta adaptativa, telemetria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79990F7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Limite da frente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redução do custo com bureaus é acompanhada pela telemetria, mas não é garantida como valor.</w:t>
            </w:r>
          </w:p>
        </w:tc>
      </w:tr>
    </w:tbl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3.2 Prontidão para eventos críticos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Ativação da mitigação: Plano de reversão da mitigação documentado e testado antes da ativação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Ativação da mitigação: Monitoramento das detecções e dos falsos positivos durante a ativação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Estabilização e aceite: Nenhuma mudança em produção durante o congelamento de mudanças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Estabilização e aceite: Revisão de capacidade e das ações por categoria antes da campanha de mídia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3.3 Matriz de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3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Necessidade</w:t>
            </w:r>
          </w:p>
        </w:tc>
        <w:tc>
          <w:tcPr>
            <w:tcW w:type="dxa" w:w="194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45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Evidência de aceite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REQ-01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Detectar e mitigar robôs que raspam o simulador de cotação e se passam por navegador comum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 ativo com ações de mitigação em todos os hosts e caminhos do simulador listados no plano de implantação aprovado, verificado por inspeção da configuração e por teste de requisição automatizada que recebe a ação definida.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REQ-02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Reduzir as cotações automatizadas que geram consultas pagas aos bureaus de dados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Relatório de telemetria entregue à Lumina com a contagem diária de requisições ao simulador classificadas como automatizadas e a ação aplicada, cobrindo ao menos 7 dias após a ativação.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 em operação antes de 15/01/2027, fora do congelamento de 15/12/2026 a 05/01/2027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 — cronograma de implantação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Ativação da mitigação em produção concluída em janela aprovada antes de 15/12/2026, com plano de reversão documentado e aprovado pela Lumina.</w:t>
            </w:r>
          </w:p>
        </w:tc>
      </w:tr>
    </w:tbl>
    <w:p w14:paraId="466647CD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>4. Dimensionamento e Abrangência</w:t>
      </w:r>
    </w:p>
    <w:p>
      <w:pPr>
        <w:spacing w:after="120" w:line="276" w:lineRule="auto"/>
      </w:pPr>
      <w:r>
        <w:rPr>
          <w:b/>
          <w:bCs/>
        </w:rPr>
        <w:t>O dimensionamento parte das informações da Lumina e da estimativa de esforço da arquitetura POPULOS.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4.1 Itens de dimensionamento</w:t>
      </w:r>
    </w:p>
    <w:tbl>
      <w:tblPr>
        <w:tblW w:w="9790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1000"/>
        <w:gridCol w:w="1000"/>
        <w:gridCol w:w="1080"/>
      </w:tblGrid>
      <w:tr w:rsidR="00F227EA" w14:paraId="69B947D6" w14:textId="77777777">
        <w:trPr>
          <w:tblHeader/>
        </w:trPr>
        <w:tc>
          <w:tcPr>
            <w:tcW w:w="226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Quantidade de referência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Base de planejamento</w:t>
            </w:r>
          </w:p>
        </w:tc>
        <w:tc>
          <w:tcPr>
            <w:tcW w:w="108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Classificação</w:t>
            </w:r>
          </w:p>
        </w:tc>
      </w:tr>
      <w:tr w:rsidR="00F227EA" w14:paraId="7A5CE6D8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Simulador de cotação protegido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Hosts e caminhos a confirmar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Propriedades Ion em produção informadas: www.lumina.com.br, cotacao.lumina.com.br e api.lumina.com.br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Pendente</w:t>
            </w:r>
          </w:p>
        </w:tc>
      </w:tr>
      <w:tr w:rsidR="00F227EA" w14:paraId="4569A9B2" w14:textId="77777777">
        <w:tc>
          <w:tcPr>
            <w:tcW w:w="22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Volume mensal de cotações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Cerca de 2,1 milhões de cotações no mês anterior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pela Lumina na reunião de 23/09/2026</w:t>
            </w:r>
          </w:p>
        </w:tc>
        <w:tc>
          <w:tcPr>
            <w:tcW w:w="108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33FB2B15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Esforço de implantação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4 a 5 semanas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Estimativa da arquitetura POPULOS, sujeita à confirmação do escopo no levantamento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Estimativa</w:t>
            </w:r>
          </w:p>
        </w:tc>
      </w:tr>
    </w:tbl>
    <w:p w14:paraId="675853AF" w14:textId="77777777" w:rsidR="00BD500C" w:rsidRDefault="00BD500C">
      <w:pPr>
        <w:spacing w:after="80" w:line="276" w:lineRule="auto"/>
        <w:rPr>
          <w:b/>
          <w:bCs/>
          <w:i/>
          <w:iCs/>
          <w:color w:val="6B7280"/>
          <w:sz w:val="18"/>
          <w:szCs w:val="18"/>
        </w:rPr>
      </w:pPr>
    </w:p>
    <w:p>
      <w:pPr>
        <w:pStyle w:val="Ttulo2"/>
        <w:keepNext/>
        <w:keepLines/>
        <w:pageBreakBefore w:val="0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4.2 Componentes centralizados e serviços de borda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662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880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Posição na proposta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  <w:tr>
        <w:tc>
          <w:tcPr>
            <w:tcW w:type="dxa" w:w="662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Ion</w:t>
            </w:r>
          </w:p>
        </w:tc>
        <w:tc>
          <w:tcPr>
            <w:tcW w:type="dxa" w:w="2880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Já contratado — ambiente atual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Já contratado — ambiente atual</w:t>
            </w:r>
          </w:p>
        </w:tc>
      </w:tr>
      <w:tr>
        <w:tc>
          <w:tcPr>
            <w:tcW w:type="dxa" w:w="662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2880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Já contratado — ambiente atual</w:t>
            </w:r>
          </w:p>
        </w:tc>
      </w:tr>
    </w:tbl>
    <w:p w14:paraId="5941B891" w14:textId="465FDF3E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5.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Avaliação e Migração do Ambiente Atual</w:t>
      </w:r>
    </w:p>
    <w:p>
      <w:pPr>
        <w:spacing w:after="120" w:line="276" w:lineRule="auto"/>
      </w:pPr>
      <w:r>
        <w:t>Como primeira etapa, a POPULOS realizará o levantamento detalhado do ambiente atual, contemplando no mínimo: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Mapeamento dos hosts, caminhos e chamadas do simulador de cotação e do fluxo que dispara as consultas aos bureaus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Levantamento dos robôs legítimos a permitir e das ações desejadas por categoria de automação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Revisão da configuração atual do Ion e do App &amp; API Protector nas propriedades envolvidas</w:t>
      </w:r>
    </w:p>
    <w:p>
      <w:pPr>
        <w:spacing w:after="120" w:line="276" w:lineRule="auto"/>
      </w:pPr>
      <w:r>
        <w:t>O levantamento entrega o plano de implantação com hosts, caminhos, robôs legítimos e ações aprovados pela Lumina.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78B70CC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Estratégia de migração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mitigação passa por observação antes de ser ativada, com reversão planejada.</w:t>
            </w:r>
          </w:p>
        </w:tc>
      </w:tr>
    </w:tbl>
    <w:p w14:paraId="2171A501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6.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Serviços POPULOS — Metodologia de Implantação</w:t>
      </w:r>
    </w:p>
    <w:p>
      <w:pPr>
        <w:spacing w:after="120" w:line="276" w:lineRule="auto"/>
      </w:pPr>
      <w:r>
        <w:rPr>
          <w:b/>
          <w:bCs/>
        </w:rPr>
        <w:t>A implantação segue quatro fases: levantamento, configuração com observação, ativação da mitigação e estabilização com aceite.</w:t>
      </w:r>
    </w:p>
    <w:p w14:paraId="1DD6CC3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6.1 Escopo previsto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Configuração do Bot Manager Premier nas propriedades que atendem o simulador de cotação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Período de observação com análise das detecções antes da mitigação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Definição e ativação das ações de resposta por categoria de robô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Ajuste fino após ativação e passagem de conhecimento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Plano de implantação com hosts, caminhos e ações aprovados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Relatório do período de observação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Configuração do Bot Manager Premier ativa em produção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Documentação as-built e relatório de aceite</w:t>
      </w:r>
    </w:p>
    <w:p w14:paraId="5DE8D494" w14:textId="399B44BD" w:rsidR="00ED213E" w:rsidRPr="00ED213E" w:rsidRDefault="00000000"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lastRenderedPageBreak/>
        <w:t>6.2 Metodologia POPULOS</w:t>
      </w:r>
    </w:p>
    <w:p w14:paraId="458C458F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Planejamento e levantamento</w:t>
      </w:r>
    </w:p>
    <w:p>
      <w:pPr>
        <w:spacing w:after="120" w:line="276" w:lineRule="auto"/>
      </w:pPr>
      <w:r>
        <w:t>Levantar hosts, caminhos, robôs legítimos e ações por categoria</w:t>
      </w:r>
    </w:p>
    <w:p w14:paraId="31BAB4E0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Configuração e observação</w:t>
      </w:r>
    </w:p>
    <w:p>
      <w:pPr>
        <w:spacing w:after="120" w:line="276" w:lineRule="auto"/>
      </w:pPr>
      <w:r>
        <w:t>Configurar o Bot Manager Premier em modo de observação e analisar as detecções</w:t>
      </w:r>
    </w:p>
    <w:p w14:paraId="0C49AE6D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Ativação da mitigação</w:t>
      </w:r>
    </w:p>
    <w:p>
      <w:pPr>
        <w:spacing w:after="120" w:line="276" w:lineRule="auto"/>
      </w:pPr>
      <w:r>
        <w:t>Ativar as ações de mitigação em produção em janela aprovada, com plano de reversão</w:t>
      </w:r>
    </w:p>
    <w:p>
      <w:pPr>
        <w:pStyle w:val="Ttulo3"/>
        <w:keepNext/>
        <w:keepLines/>
      </w:pPr>
      <w:r>
        <w:t>Estabilização e aceite</w:t>
      </w:r>
    </w:p>
    <w:p>
      <w:pPr>
        <w:keepNext/>
      </w:pPr>
      <w:r>
        <w:t>Ajustar a configuração, transferir conhecimento e formalizar o aceite</w:t>
      </w:r>
    </w:p>
    <w:p w14:paraId="1FE5BD3A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Gestão do Projeto</w:t>
      </w:r>
    </w:p>
    <w:p>
      <w:pPr>
        <w:spacing w:after="120" w:line="276" w:lineRule="auto"/>
      </w:pPr>
      <w:r>
        <w:t>A POPULOS conduzirá o planejamento, a gestão de riscos e dependências e os reportes periódicos, em alinhamento com o ponto focal do cliente.</w:t>
      </w:r>
    </w:p>
    <w:p w14:paraId="49957D7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7.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Limites do Escopo</w:t>
      </w:r>
    </w:p>
    <w:p w14:paraId="06FA1EDD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7.1 Passagem de conhecimento</w:t>
      </w:r>
    </w:p>
    <w:p>
      <w:pPr>
        <w:spacing w:after="120" w:line="276" w:lineRule="auto"/>
      </w:pPr>
      <w:r>
        <w:t>A POPULOS conduz sessão de passagem de conhecimento com a equipe da Lumina sobre leitura da telemetria e ajuste das ações.</w:t>
      </w:r>
    </w:p>
    <w:p w14:paraId="4A59FCA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7.2 Homologação e testes</w:t>
      </w:r>
    </w:p>
    <w:p>
      <w:pPr>
        <w:spacing w:after="120" w:line="276" w:lineRule="auto"/>
      </w:pPr>
      <w:r>
        <w:t>Os testes incluem requisições automatizadas controladas contra o simulador e validação funcional das jornadas humanas pela equipe da Lumina.</w:t>
      </w:r>
    </w:p>
    <w:p w14:paraId="7794161C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7.3 Áreas fora do escopo</w:t>
      </w:r>
    </w:p>
    <w:p w14:paraId="072132ED" w14:textId="77777777" w:rsidR="00F227EA" w:rsidRDefault="00000000">
      <w:pPr>
        <w:spacing w:after="120" w:line="276" w:lineRule="auto"/>
      </w:pPr>
      <w:r>
        <w:t>Qualquer área/tópico não expressamente enumerado no escopo previsto está fora deste projeto. Em especial, estão fora do escopo: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Implantação de proteção de contas ou de login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Alterações no código do simulador ou na integração com os bureaus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Sustentação contínua, que segue no contrato de sustentação 8x5 vigente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Fornecimento ou negociação da licença, contratada diretamente com a Akamai</w:t>
      </w:r>
    </w:p>
    <w:p w14:paraId="29CE5CDD" w14:textId="77777777" w:rsidR="004D3A65" w:rsidRDefault="004D3A65" w:rsidP="004D3A65">
      <w:pPr>
        <w:spacing w:after="60" w:line="270" w:lineRule="auto"/>
      </w:pPr>
    </w:p>
    <w:p w14:paraId="5A6DAA59" w14:textId="77777777" w:rsidR="004D3A65" w:rsidRDefault="004D3A65" w:rsidP="004D3A65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1C7CCBD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Itens que exigem contratação específica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Operação continuada, NOC 24x7, equipe residente, desenvolvimento de aplicações e serviços gerenciados adicionais não estão incluídos.</w:t>
            </w:r>
          </w:p>
        </w:tc>
      </w:tr>
    </w:tbl>
    <w:p w14:paraId="790651B6" w14:textId="77777777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8.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Premissas, Requisitos e Restrições</w:t>
      </w:r>
    </w:p>
    <w:p w14:paraId="0279B845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8.1 Premissas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O aditivo do Bot Manager Premier é assinado pela Lumina com a Akamai a tempo de o provisionamento, de até 10 dias úteis, terminar antes da fase de configuração.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simulador de cotação é entregue por propriedade Ion já em produção; a confirmação dos hosts ocorre no levantamento.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Lumina disponibiliza janelas de mudança em produção antes de 15/12/2026.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Os logins suspeitos permanecem fora do escopo até sua confirmação pela Lumina.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8.2 Requisitos — Pessoas (Lumina Seguros)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de negócio pelo simulador de cotação (Canais Digitais)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Arquiteto de soluções para decisões técnicas e aprovação de mudanças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Equipe de aplicação para validação funcional do simulador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pelo contrato com a Akamai para assinatura do aditivo</w:t>
      </w:r>
    </w:p>
    <w:p w14:paraId="199C1D9F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8.3 Restrições</w:t>
      </w:r>
    </w:p>
    <w:p w14:paraId="15290CA5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Nenhuma mudança em produção é executada durante o congelamento de 15/12/2026 a 05/01/2027.</w:t>
      </w:r>
    </w:p>
    <w:p w14:paraId="62D6CC0A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licença é contratada diretamente pela Lumina com a Akamai; a POPULOS não fornece a licença.</w:t>
      </w:r>
    </w:p>
    <w:p w14:paraId="655E7B04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redução do custo com bureaus depende do tráfego e das integrações da Lumina e não é garantida como valor.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Mudanças em produção só ocorrem com aprovação e plano de reversão aprovados pela Lumina.</w:t>
      </w:r>
    </w:p>
    <w:p w14:paraId="359018A2" w14:textId="77777777" w:rsidR="00BB2913" w:rsidRDefault="00BB2913" w:rsidP="00BB2913">
      <w:pPr>
        <w:spacing w:after="60" w:line="270" w:lineRule="auto"/>
      </w:pPr>
    </w:p>
    <w:p w14:paraId="62DB3BC2" w14:textId="77777777" w:rsidR="00BB2913" w:rsidRDefault="00BB2913" w:rsidP="00BB2913">
      <w:pPr>
        <w:spacing w:after="60" w:line="270" w:lineRule="auto"/>
      </w:pPr>
    </w:p>
    <w:p w14:paraId="302BA2AD" w14:textId="77777777" w:rsidR="00BB2913" w:rsidRDefault="00BB2913" w:rsidP="00BB2913">
      <w:pPr>
        <w:spacing w:after="60" w:line="270" w:lineRule="auto"/>
      </w:pPr>
    </w:p>
    <w:p w14:paraId="1F60BE6A" w14:textId="77777777" w:rsidR="00BB2913" w:rsidRDefault="00BB2913" w:rsidP="00BB2913">
      <w:pPr>
        <w:spacing w:after="60" w:line="270" w:lineRule="auto"/>
      </w:pP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8.4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230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032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Mitigação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Atraso na assinatura do aditivo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Desloca a configuração e pode empurrar a ativação para depois do congelamento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Acompanhar a assinatura desde o início e manter o levantamento em paralelo</w:t>
            </w:r>
          </w:p>
        </w:tc>
      </w:tr>
      <w:tr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Bloqueio de usuários legítimos</w:t>
            </w:r>
          </w:p>
        </w:tc>
        <w:tc>
          <w:tcPr>
            <w:tcW w:type="dxa" w:w="230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Perda de cotações de clientes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Período de observação antes da mitigação e reversão planejada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Adaptação dos robôs após a mitigação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Retorno parcial da raspagem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Ajuste fino na fase de estabilização e revisão das ações por categoria</w:t>
            </w:r>
          </w:p>
        </w:tc>
      </w:tr>
    </w:tbl>
    <w:p w14:paraId="0C5AB9CA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9.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Cronograma Macro</w:t>
      </w:r>
    </w:p>
    <w:p>
      <w:pPr>
        <w:spacing w:after="120" w:line="276" w:lineRule="auto"/>
      </w:pPr>
      <w:r>
        <w:t>O cronograma soma 4 a 5 semanas de esforço e é condicionado à assinatura do aditivo e às janelas antes do congelamento de mudanças.</w:t>
      </w:r>
    </w:p>
    <w:p>
      <w:pPr>
        <w:spacing w:after="120" w:line="276" w:lineRule="auto"/>
      </w:pPr>
      <w:r>
        <w:t>A configuração começa após o provisionamento da licença; a ativação em produção ocorre antes de 15/12/2026.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3024"/>
        <w:gridCol w:w="1944"/>
        <w:gridCol w:w="1296"/>
        <w:gridCol w:w="1584"/>
      </w:tblGrid>
      <w:tr w:rsidR="000025B6" w14:paraId="3B67D474" w14:textId="77777777">
        <w:trPr>
          <w:tblHeader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4EC7D" w14:textId="77777777" w:rsidR="0039468C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1572C" w14:textId="77777777" w:rsidR="0039468C" w:rsidRDefault="00000000"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69EBB4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Dependência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84457C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6A91DF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Evidência</w:t>
            </w:r>
          </w:p>
        </w:tc>
      </w:tr>
      <w:tr w:rsidR="000025B6" w14:paraId="3F1FC04D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E3199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Planejamento e levantamento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Levantar hosts, caminhos, robôs legítimos e ações por categoria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F6ACF0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Acesso ao ambiente Akamai e participação da equipe da Lumina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1C635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1CAC2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Plano de implantação aprovado</w:t>
            </w:r>
          </w:p>
        </w:tc>
      </w:tr>
      <w:tr w:rsidR="000025B6" w14:paraId="2299E885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84597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Configuração e observação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Configurar o Bot Manager Premier em modo de observação e analisar as detecções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928621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Licença provisionada pela Akamai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30851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a 2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DCF4A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Relatório do período de observação</w:t>
            </w:r>
          </w:p>
        </w:tc>
      </w:tr>
      <w:tr w:rsidR="000025B6" w14:paraId="02252140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A0166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Ativação da mitigação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Ativar as ações de mitigação em produção em janela aprovada, com plano de reversão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4147D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Aprovação da mudança pela Lumina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6D146F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B5DBA9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Mitigação ativa em produção</w:t>
            </w:r>
          </w:p>
        </w:tc>
      </w:tr>
      <w:tr w:rsidR="000025B6" w14:paraId="1A1E49D8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93883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Estabilização e aceite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Ajustar a configuração, transferir conhecimento e formalizar o aceite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FF24F1D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Mitigação ativa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DD1D171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55CC7F4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Documentação as-built, Relatório de aceite</w:t>
            </w:r>
          </w:p>
        </w:tc>
      </w:tr>
    </w:tbl>
    <w:p w14:paraId="613B77DA" w14:textId="77777777" w:rsidR="00BB0D50" w:rsidRDefault="00BB0D50">
      <w:pPr>
        <w:spacing w:after="60" w:line="276" w:lineRule="auto"/>
        <w:rPr>
          <w:i/>
          <w:iCs/>
          <w:color w:val="6B7280"/>
          <w:sz w:val="18"/>
          <w:szCs w:val="18"/>
        </w:rPr>
      </w:pPr>
    </w:p>
    <w:p w14:paraId="1C6D7A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10.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Critérios de Aceite</w:t>
      </w:r>
    </w:p>
    <w:p>
      <w:pPr>
        <w:spacing w:after="120" w:line="276" w:lineRule="auto"/>
      </w:pPr>
      <w:r>
        <w:t>A aceitação seguirá os critérios mínimos registrados na matriz de rastreabilidade. A POPULOS propõe, como instrumento complementar de apoio, checklists por entrega, sem prejuízo dos marcos formais de aceite do projeto: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Bot Manager Premier ativo com ações de mitigação em todos os hosts e caminhos do simulador listados no plano de implantação aprovado, verificado por inspeção da configuração e por teste de requisição automatizada que recebe a ação definida.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Relatório de telemetria entregue à Lumina com a contagem diária de requisições ao simulador classificadas como automatizadas e a ação aplicada, cobrindo ao menos 7 dias após a ativação.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Ativação da mitigação em produção concluída em janela aprovada antes de 15/12/2026, com plano de reversão documentado e aprovado pela Lumina.</w:t>
      </w:r>
    </w:p>
    <w:p w14:paraId="26E65A66" w14:textId="77777777" w:rsidR="00BB2913" w:rsidRDefault="00BB2913" w:rsidP="00BB2913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5A687A1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Marcos formais de aceite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Marcos: plano aprovado, relatório de observação, mitigação ativa e aceite final.</w:t>
            </w:r>
          </w:p>
        </w:tc>
      </w:tr>
    </w:tbl>
    <w:p w14:paraId="20ADFD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Garantia Técnica</w:t>
      </w:r>
    </w:p>
    <w:p>
      <w:pPr>
        <w:spacing w:after="120" w:line="276" w:lineRule="auto"/>
      </w:pPr>
      <w:r>
        <w:t>A garantia técnica cobre a correção de defeitos diretamente atribuíveis aos serviços executados pela POPULOS. O prazo consta do quadro Garantia e vigência.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04B9EB6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Garantia e vigência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POPULOS corrigirá defeitos diretamente atribuíveis aos serviços executados por 90 dias corridos após o aceite final.</w:t>
            </w:r>
          </w:p>
        </w:tc>
      </w:tr>
    </w:tbl>
    <w:p w14:paraId="4251E7E2" w14:textId="77777777" w:rsidR="00F71DA0" w:rsidRDefault="00F71DA0">
      <w:pPr>
        <w:spacing w:after="120" w:line="276" w:lineRule="auto"/>
      </w:pPr>
    </w:p>
    <w:p>
      <w:pPr>
        <w:spacing w:after="120" w:line="276" w:lineRule="auto"/>
      </w:pPr>
      <w:r>
        <w:t>A POPULOS permanece à disposição da Lumina Seguros para detalhar esta proposta.</w:t>
      </w:r>
    </w:p>
    <w:p w14:paraId="5A1A0001" w14:textId="77777777" w:rsidR="0039468C" w:rsidRDefault="00000000">
      <w:pPr>
        <w:pStyle w:val="Ttulo2"/>
        <w:keepNext/>
        <w:keepLines/>
        <w:spacing w:before="220" w:after="90"/>
      </w:pPr>
      <w:r>
        <w:rPr>
          <w:rFonts w:ascii="Lato" w:hAnsi="Lato"/>
          <w:b/>
          <w:bCs/>
          <w:sz w:val="25"/>
        </w:rPr>
        <w:t>Condições de atendimento</w:t>
      </w:r>
    </w:p>
    <w:p>
      <w:pPr>
        <w:spacing w:after="120" w:line="276" w:lineRule="auto"/>
      </w:pPr>
      <w:r>
        <w:t>Durante a execução e a garantia, a POPULOS adotará o padrão institucional de atendimento abaixo para falhas atribuíveis aos serviços executados.</w:t>
      </w:r>
    </w:p>
    <w:p w14:paraId="56D09804" w14:textId="77777777" w:rsidR="00263911" w:rsidRDefault="00263911">
      <w:pPr>
        <w:spacing w:after="120" w:line="276" w:lineRule="auto"/>
      </w:pPr>
    </w:p>
    <w:p w14:paraId="7FC73105" w14:textId="77777777" w:rsidR="00263911" w:rsidRDefault="00263911">
      <w:pPr>
        <w:spacing w:after="120" w:line="276" w:lineRule="auto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65"/>
        <w:gridCol w:w="3695"/>
      </w:tblGrid>
      <w:tr w:rsidR="000025B6" w14:paraId="086C88CC" w14:textId="77777777" w:rsidTr="00263911"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13410" w14:textId="77777777" w:rsidR="0039468C" w:rsidRDefault="00000000" w:rsidP="00263911">
            <w:r>
              <w:rPr>
                <w:b/>
                <w:bCs/>
                <w:color w:val="FFFFFF"/>
              </w:rPr>
              <w:lastRenderedPageBreak/>
              <w:t>Severidade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424D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Resposta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B73A7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Resolução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A0347" w14:textId="77777777" w:rsidR="0039468C" w:rsidRDefault="00000000" w:rsidP="00263911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025B6" w14:paraId="60073BC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8B0F5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ALTA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97F59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 hora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732B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1E8A8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alto impacto que possivelmente coloque em risco o ambiente de produção. A apresentação de uma solução de contorno (workaround) também é considerada tempo de solução.</w:t>
            </w:r>
          </w:p>
        </w:tc>
      </w:tr>
      <w:tr w:rsidR="000025B6" w14:paraId="3EC3F82F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93A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MÉDIA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9A2D7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91A41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8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0E4B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baixo impacto, podendo a maioria das funções do software ser usada; entretanto, alguma intervenção pode ser necessária. A apresentação de workaround também é considerada tempo de solução.</w:t>
            </w:r>
          </w:p>
        </w:tc>
      </w:tr>
      <w:tr w:rsidR="000025B6" w14:paraId="5BD768E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5966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4EE86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BAIXA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F878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16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E7798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ED53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Solicitações de mudança, atualizações, gerenciamento de usuários, dúvidas, novas instalações ou publicações de aplicativos e outras ações planejadas.</w:t>
            </w:r>
          </w:p>
        </w:tc>
      </w:tr>
    </w:tbl>
    <w:p w14:paraId="5A1A0003" w14:textId="43317108" w:rsidR="0039468C" w:rsidRDefault="00263911">
      <w:pPr>
        <w:spacing w:after="60"/>
      </w:pPr>
      <w:r>
        <w:br w:type="textWrapping" w:clear="all"/>
      </w:r>
    </w:p>
    <w:p w14:paraId="5FE30D07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Papéis e Responsabilidades do Projeto</w:t>
      </w:r>
    </w:p>
    <w:tbl>
      <w:tblPr>
        <w:tblW w:w="10348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13"/>
        <w:gridCol w:w="2835"/>
      </w:tblGrid>
      <w:tr w:rsidR="00F227EA" w14:paraId="6D32BE7C" w14:textId="77777777" w:rsidTr="0017666D">
        <w:trPr>
          <w:tblHeader/>
        </w:trPr>
        <w:tc>
          <w:tcPr>
            <w:tcW w:w="3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BF27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Função / Área</w:t>
            </w:r>
          </w:p>
        </w:tc>
        <w:tc>
          <w:tcPr>
            <w:tcW w:w="4513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0D71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2835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6C76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Compromisso</w:t>
            </w:r>
          </w:p>
        </w:tc>
      </w:tr>
      <w:tr w:rsidR="00F227EA" w14:paraId="652C4FBB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29029" w14:textId="77777777" w:rsidR="00F227EA" w:rsidRDefault="00000000">
            <w:r>
              <w:rPr>
                <w:b/>
                <w:bCs/>
                <w:sz w:val="19"/>
                <w:szCs w:val="19"/>
              </w:rPr>
              <w:t>Arquiteto POPULOS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14B24" w14:textId="77777777" w:rsidR="00F227EA" w:rsidRDefault="00F227EA">
            <w:r>
              <w:t>Desenho da política e aprovação técnica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C5A2E" w14:textId="77777777" w:rsidR="00F227EA" w:rsidRDefault="00F227EA">
            <w:r>
              <w:t>Parcial</w:t>
            </w:r>
          </w:p>
        </w:tc>
      </w:tr>
      <w:tr w:rsidR="00F227EA" w14:paraId="53D7511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B9B89" w14:textId="77777777" w:rsidR="00F227EA" w:rsidRDefault="00000000">
            <w:r>
              <w:rPr>
                <w:sz w:val="19"/>
                <w:szCs w:val="19"/>
              </w:rPr>
              <w:t>Engenheiro POPULOS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AD879" w14:textId="77777777" w:rsidR="00F227EA" w:rsidRDefault="00000000">
            <w:r>
              <w:rPr>
                <w:sz w:val="19"/>
                <w:szCs w:val="19"/>
              </w:rPr>
              <w:t>Configuração, observação, ativação e ajuste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5D9E" w14:textId="77777777" w:rsidR="00F227EA" w:rsidRDefault="00000000">
            <w:r>
              <w:rPr>
                <w:sz w:val="19"/>
                <w:szCs w:val="19"/>
              </w:rPr>
              <w:t>Integral</w:t>
            </w:r>
          </w:p>
        </w:tc>
      </w:tr>
      <w:tr w:rsidR="00F227EA" w14:paraId="5B6E9CA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DA46A" w14:textId="77777777" w:rsidR="00F227EA" w:rsidRDefault="00000000">
            <w:r>
              <w:rPr>
                <w:sz w:val="19"/>
                <w:szCs w:val="19"/>
              </w:rPr>
              <w:t>Gerente de projeto POPULOS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92290" w14:textId="77777777" w:rsidR="00F227EA" w:rsidRDefault="00000000">
            <w:r>
              <w:rPr>
                <w:sz w:val="19"/>
                <w:szCs w:val="19"/>
              </w:rPr>
              <w:t>Cronograma, riscos e aceite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FE705" w14:textId="77777777" w:rsidR="00F227EA" w:rsidRDefault="00000000">
            <w:r>
              <w:rPr>
                <w:sz w:val="19"/>
                <w:szCs w:val="19"/>
              </w:rPr>
              <w:t>Parcial</w:t>
            </w:r>
          </w:p>
        </w:tc>
      </w:tr>
      <w:tr w:rsidR="00F227EA" w14:paraId="2EFB69EF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C952" w14:textId="77777777" w:rsidR="00F227EA" w:rsidRDefault="00000000">
            <w:r>
              <w:rPr>
                <w:sz w:val="19"/>
                <w:szCs w:val="19"/>
              </w:rPr>
              <w:t>Lumina Seguros — Canais Digitais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719CB" w14:textId="77777777" w:rsidR="00F227EA" w:rsidRDefault="00000000">
            <w:r>
              <w:rPr>
                <w:sz w:val="19"/>
                <w:szCs w:val="19"/>
              </w:rPr>
              <w:t>Validar as ações por categoria de robô e o comportamento do simulador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553C4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1904114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Lumina Seguros — Arquitetura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EAE15" w14:textId="77777777" w:rsidR="00F227EA" w:rsidRDefault="00000000">
            <w:r>
              <w:rPr>
                <w:sz w:val="19"/>
                <w:szCs w:val="19"/>
              </w:rPr>
              <w:t>Aprovar janelas de mudança e planos de reversão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90EA9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244B339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Lumina Seguros — Contratos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EBDEA" w14:textId="77777777" w:rsidR="00F227EA" w:rsidRDefault="00000000">
            <w:r>
              <w:rPr>
                <w:sz w:val="19"/>
                <w:szCs w:val="19"/>
              </w:rPr>
              <w:t>Assinar o aditivo do Bot Manager Premier com a Akamai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87487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</w:tbl>
    <w:p w14:paraId="68A0A745" w14:textId="77777777" w:rsidR="00263911" w:rsidRDefault="00263911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4BCE6B76" w14:textId="17B07C63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Nota de Confidencialidade</w:t>
      </w:r>
    </w:p>
    <w:p>
      <w:pPr>
        <w:keepNext/>
        <w:spacing w:after="120" w:line="276" w:lineRule="auto"/>
      </w:pPr>
      <w:r>
        <w:t>Todas as informações deste documento são confidenciais e destinam-se exclusivamente à avaliação da proposta por Lumina Seguros e pela POPULOS.</w:t>
      </w:r>
    </w:p>
    <w:p>
      <w:pPr>
        <w:keepNext/>
        <w:spacing w:after="200" w:line="276" w:lineRule="auto"/>
      </w:pPr>
      <w:r>
        <w:t>Os direitos de propriedade intelectual sobre trabalhos preexistentes, roteiros de instalação, automações e métodos da POPULOS permanecem com a POPULOS. A documentação técnica específica do ambiente será entregue a Lumina Seguros conforme o escopo aprovado.</w:t>
      </w:r>
    </w:p>
    <w:p w14:paraId="797633B9" w14:textId="77777777" w:rsidR="00BD500C" w:rsidRDefault="00BD500C">
      <w:pPr>
        <w:spacing w:after="20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F04289C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FA577" w14:textId="77777777" w:rsidR="00F227EA" w:rsidRPr="00803FB7" w:rsidRDefault="00000000">
            <w:pPr>
              <w:spacing w:after="60"/>
              <w:rPr>
                <w:lang w:val="en-US"/>
              </w:rPr>
            </w:pPr>
            <w:r>
              <w:rPr>
                <w:rFonts w:ascii="Lato" w:eastAsia="Lato" w:hAnsi="Lato" w:cs="Lato"/>
                <w:b/>
                <w:bCs/>
                <w:color w:val="1F2A5E"/>
                <w:lang w:val="en-US"/>
              </w:rPr>
              <w:t>POPULOS — Enterprise Sales</w:t>
            </w:r>
          </w:p>
          <w:p w14:paraId="2B1BD1D3" w14:textId="2AAA9464" w:rsidR="00F227EA" w:rsidRPr="00803FB7" w:rsidRDefault="00BD500C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Brazil |  +55 (11) 3021-3761</w:t>
            </w:r>
          </w:p>
          <w:p w14:paraId="654D4E69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Locations</w:t>
            </w:r>
          </w:p>
          <w:p w14:paraId="61C60C47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lang w:val="en-US"/>
              </w:rPr>
              <w:t>Deerfield Beach — 3275 W Hillsboro BLVD, FL 33442, United States</w:t>
            </w:r>
          </w:p>
          <w:p w14:paraId="05D1DC7C" w14:textId="77777777" w:rsidR="00F227EA" w:rsidRDefault="00000000">
            <w:pPr>
              <w:spacing w:line="276" w:lineRule="auto"/>
            </w:pPr>
            <w:r>
              <w:t>Av. Tamboré, 267 — Alphaville, Barueri — SP, 06460-000, Brasil</w:t>
            </w:r>
          </w:p>
        </w:tc>
      </w:tr>
    </w:tbl>
    <w:p w14:paraId="4403C193" w14:textId="77777777" w:rsidR="00263911" w:rsidRDefault="00263911" w:rsidP="00BE28E3">
      <w:pPr>
        <w:spacing w:before="100"/>
        <w:jc w:val="center"/>
        <w:rPr>
          <w:i/>
          <w:iCs/>
          <w:color w:val="6B7280"/>
          <w:sz w:val="15"/>
          <w:szCs w:val="15"/>
          <w:lang w:val="en-US"/>
        </w:rPr>
      </w:pPr>
    </w:p>
    <w:p w14:paraId="3D96BEEA" w14:textId="763E02F1" w:rsidR="00F227EA" w:rsidRPr="00803FB7" w:rsidRDefault="00000000" w:rsidP="00BE28E3">
      <w:pPr>
        <w:spacing w:before="100"/>
        <w:jc w:val="center"/>
        <w:rPr>
          <w:lang w:val="en-US"/>
        </w:rPr>
      </w:pPr>
      <w:r>
        <w:rPr>
          <w:i/>
          <w:iCs/>
          <w:color w:val="6B7280"/>
          <w:sz w:val="15"/>
          <w:szCs w:val="15"/>
          <w:lang w:val="en-US"/>
        </w:rPr>
        <w:t>Copyright © POPULOS. All rights reserved. POPULOS, the POPULOS logo, and other marks appearing herein are property of POPULOS Technology and/or one or more of its subsidiaries. All other marks are the property of their respective owners.</w:t>
      </w:r>
    </w:p>
    <w:sectPr w:rsidR="00F227EA" w:rsidRPr="00803FB7" w:rsidSect="00BC59F2">
      <w:headerReference w:type="default" r:id="rId17"/>
      <w:footerReference w:type="default" r:id="rId18"/>
      <w:pgSz w:w="12240" w:h="15840"/>
      <w:pgMar w:top="1304" w:right="1077" w:bottom="1304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B45C6" w14:textId="77777777" w:rsidR="005854F8" w:rsidRDefault="005854F8">
      <w:r>
        <w:separator/>
      </w:r>
    </w:p>
  </w:endnote>
  <w:endnote w:type="continuationSeparator" w:id="0">
    <w:p w14:paraId="04629C59" w14:textId="77777777" w:rsidR="005854F8" w:rsidRDefault="0058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25736" w14:textId="77777777" w:rsidR="00F53D0F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0F5DD" w14:textId="77777777" w:rsidR="00F53D0F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B3EFD0" w14:textId="3D368F95" w:rsidR="00F227EA" w:rsidRDefault="009F3C05">
    <w:pPr>
      <w:pBdr>
        <w:top w:val="single" w:sz="6" w:space="4" w:color="6B46C1"/>
      </w:pBdr>
      <w:jc w:val="center"/>
    </w:pPr>
    <w:r>
      <w:rPr>
        <w:color w:val="6B7280"/>
        <w:sz w:val="16"/>
        <w:szCs w:val="16"/>
      </w:rPr>
      <w:t xml:space="preserve">POPULOS | AKAMAI Partner | Página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PAGE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2</w:t>
    </w:r>
    <w:r>
      <w:rPr>
        <w:b/>
        <w:bCs/>
        <w:color w:val="1F2A5E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NUMPAGES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3</w:t>
    </w:r>
    <w:r>
      <w:rPr>
        <w:b/>
        <w:bCs/>
        <w:color w:val="1F2A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A7FB05" w14:textId="77777777" w:rsidR="005854F8" w:rsidRDefault="005854F8">
      <w:r>
        <w:separator/>
      </w:r>
    </w:p>
  </w:footnote>
  <w:footnote w:type="continuationSeparator" w:id="0">
    <w:p w14:paraId="05B877FB" w14:textId="77777777" w:rsidR="005854F8" w:rsidRDefault="00585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2FFF6" w14:textId="77777777" w:rsidR="00F53D0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87A19" w14:textId="77777777" w:rsidR="00F53D0F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4DE86" w14:textId="541B9CF5" w:rsidR="00F227EA" w:rsidRPr="00841401" w:rsidRDefault="00000000" w:rsidP="00841401">
    <w:pPr>
      <w:pBdr>
        <w:bottom w:val="single" w:sz="6" w:space="4" w:color="6B46C1"/>
      </w:pBdr>
      <w:jc w:val="right"/>
      <w:rPr>
        <w:color w:val="6B7280"/>
        <w:sz w:val="18"/>
        <w:szCs w:val="18"/>
      </w:rPr>
    </w:pPr>
    <w:r>
      <w:rPr>
        <w:b/>
        <w:bCs/>
        <w:color w:val="1F2A5E"/>
        <w:sz w:val="18"/>
        <w:szCs w:val="18"/>
      </w:rPr>
      <w:t>PROPOSTA TÉCNICA | Proteção do simulador de cotação contra automação - Lumina Seguros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8130EA"/>
    <w:multiLevelType w:val="hybridMultilevel"/>
    <w:tmpl w:val="EB1C226E"/>
    <w:lvl w:ilvl="0" w:tplc="B4B4DADA">
      <w:start w:val="1"/>
      <w:numFmt w:val="bullet"/>
      <w:lvlText w:val="●"/>
      <w:lvlJc w:val="left"/>
      <w:pPr>
        <w:ind w:left="560" w:hanging="360"/>
      </w:pPr>
      <w:rPr>
        <w:color w:val="6B46C1"/>
        <w:sz w:val="22"/>
        <w:szCs w:val="22"/>
      </w:rPr>
    </w:lvl>
    <w:lvl w:ilvl="1" w:tplc="4572AA4A">
      <w:start w:val="1"/>
      <w:numFmt w:val="bullet"/>
      <w:lvlText w:val="◦"/>
      <w:lvlJc w:val="left"/>
      <w:pPr>
        <w:ind w:left="900" w:hanging="260"/>
      </w:pPr>
    </w:lvl>
    <w:lvl w:ilvl="2" w:tplc="5D949178">
      <w:numFmt w:val="decimal"/>
      <w:lvlText w:val=""/>
      <w:lvlJc w:val="left"/>
    </w:lvl>
    <w:lvl w:ilvl="3" w:tplc="3BAA3BFE">
      <w:numFmt w:val="decimal"/>
      <w:lvlText w:val=""/>
      <w:lvlJc w:val="left"/>
    </w:lvl>
    <w:lvl w:ilvl="4" w:tplc="EE0013DC">
      <w:numFmt w:val="decimal"/>
      <w:lvlText w:val=""/>
      <w:lvlJc w:val="left"/>
    </w:lvl>
    <w:lvl w:ilvl="5" w:tplc="1FBE12FA">
      <w:numFmt w:val="decimal"/>
      <w:lvlText w:val=""/>
      <w:lvlJc w:val="left"/>
    </w:lvl>
    <w:lvl w:ilvl="6" w:tplc="4E928B7C">
      <w:numFmt w:val="decimal"/>
      <w:lvlText w:val=""/>
      <w:lvlJc w:val="left"/>
    </w:lvl>
    <w:lvl w:ilvl="7" w:tplc="77986DFE">
      <w:numFmt w:val="decimal"/>
      <w:lvlText w:val=""/>
      <w:lvlJc w:val="left"/>
    </w:lvl>
    <w:lvl w:ilvl="8" w:tplc="42644CDA">
      <w:numFmt w:val="decimal"/>
      <w:lvlText w:val=""/>
      <w:lvlJc w:val="left"/>
    </w:lvl>
  </w:abstractNum>
  <w:abstractNum w:abstractNumId="1" w15:restartNumberingAfterBreak="0">
    <w:nsid w:val="6A07502B"/>
    <w:multiLevelType w:val="hybridMultilevel"/>
    <w:tmpl w:val="AC2A4652"/>
    <w:lvl w:ilvl="0" w:tplc="4F3078CE">
      <w:start w:val="1"/>
      <w:numFmt w:val="bullet"/>
      <w:lvlText w:val="●"/>
      <w:lvlJc w:val="left"/>
      <w:pPr>
        <w:ind w:left="720" w:hanging="360"/>
      </w:pPr>
    </w:lvl>
    <w:lvl w:ilvl="1" w:tplc="F58CB7D2">
      <w:start w:val="1"/>
      <w:numFmt w:val="bullet"/>
      <w:lvlText w:val="○"/>
      <w:lvlJc w:val="left"/>
      <w:pPr>
        <w:ind w:left="1440" w:hanging="360"/>
      </w:pPr>
    </w:lvl>
    <w:lvl w:ilvl="2" w:tplc="725A7476">
      <w:start w:val="1"/>
      <w:numFmt w:val="bullet"/>
      <w:lvlText w:val="■"/>
      <w:lvlJc w:val="left"/>
      <w:pPr>
        <w:ind w:left="2160" w:hanging="360"/>
      </w:pPr>
    </w:lvl>
    <w:lvl w:ilvl="3" w:tplc="5B1803F2">
      <w:start w:val="1"/>
      <w:numFmt w:val="bullet"/>
      <w:lvlText w:val="●"/>
      <w:lvlJc w:val="left"/>
      <w:pPr>
        <w:ind w:left="2880" w:hanging="360"/>
      </w:pPr>
    </w:lvl>
    <w:lvl w:ilvl="4" w:tplc="AB486F06">
      <w:start w:val="1"/>
      <w:numFmt w:val="bullet"/>
      <w:lvlText w:val="○"/>
      <w:lvlJc w:val="left"/>
      <w:pPr>
        <w:ind w:left="3600" w:hanging="360"/>
      </w:pPr>
    </w:lvl>
    <w:lvl w:ilvl="5" w:tplc="BDB2E41A">
      <w:start w:val="1"/>
      <w:numFmt w:val="bullet"/>
      <w:lvlText w:val="■"/>
      <w:lvlJc w:val="left"/>
      <w:pPr>
        <w:ind w:left="4320" w:hanging="360"/>
      </w:pPr>
    </w:lvl>
    <w:lvl w:ilvl="6" w:tplc="4A80A58C">
      <w:start w:val="1"/>
      <w:numFmt w:val="bullet"/>
      <w:lvlText w:val="●"/>
      <w:lvlJc w:val="left"/>
      <w:pPr>
        <w:ind w:left="5040" w:hanging="360"/>
      </w:pPr>
    </w:lvl>
    <w:lvl w:ilvl="7" w:tplc="99FA9986">
      <w:start w:val="1"/>
      <w:numFmt w:val="bullet"/>
      <w:lvlText w:val="●"/>
      <w:lvlJc w:val="left"/>
      <w:pPr>
        <w:ind w:left="5760" w:hanging="360"/>
      </w:pPr>
    </w:lvl>
    <w:lvl w:ilvl="8" w:tplc="1B668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140C5"/>
    <w:multiLevelType w:val="hybridMultilevel"/>
    <w:tmpl w:val="067292E6"/>
    <w:lvl w:ilvl="0" w:tplc="B4B4DADA">
      <w:start w:val="1"/>
      <w:numFmt w:val="bullet"/>
      <w:lvlText w:val="●"/>
      <w:lvlJc w:val="left"/>
      <w:pPr>
        <w:ind w:left="763" w:hanging="360"/>
      </w:pPr>
      <w:rPr>
        <w:rFonts w:hint="default"/>
        <w:color w:val="6B46C1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77605820">
    <w:abstractNumId w:val="1"/>
    <w:lvlOverride w:ilvl="0">
      <w:startOverride w:val="1"/>
    </w:lvlOverride>
  </w:num>
  <w:num w:numId="2" w16cid:durableId="1448089016">
    <w:abstractNumId w:val="0"/>
  </w:num>
  <w:num w:numId="3" w16cid:durableId="1596523485">
    <w:abstractNumId w:val="2"/>
  </w:num>
  <w:num w:numId="4" w16cid:durableId="8555763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EA"/>
    <w:rsid w:val="00040C3A"/>
    <w:rsid w:val="000439AE"/>
    <w:rsid w:val="00061930"/>
    <w:rsid w:val="000637DB"/>
    <w:rsid w:val="000B2FDA"/>
    <w:rsid w:val="000D66FE"/>
    <w:rsid w:val="000F4CAE"/>
    <w:rsid w:val="00122D97"/>
    <w:rsid w:val="00123062"/>
    <w:rsid w:val="00124352"/>
    <w:rsid w:val="0017666D"/>
    <w:rsid w:val="001D6306"/>
    <w:rsid w:val="00201DA6"/>
    <w:rsid w:val="00263911"/>
    <w:rsid w:val="002B62A7"/>
    <w:rsid w:val="003212B8"/>
    <w:rsid w:val="00367582"/>
    <w:rsid w:val="00384C04"/>
    <w:rsid w:val="0039468C"/>
    <w:rsid w:val="003D6743"/>
    <w:rsid w:val="003D68CE"/>
    <w:rsid w:val="004236FB"/>
    <w:rsid w:val="004260B1"/>
    <w:rsid w:val="004A0FD6"/>
    <w:rsid w:val="004D3A65"/>
    <w:rsid w:val="00563A4C"/>
    <w:rsid w:val="00585448"/>
    <w:rsid w:val="005854F8"/>
    <w:rsid w:val="005E1836"/>
    <w:rsid w:val="005E72CB"/>
    <w:rsid w:val="005F7E51"/>
    <w:rsid w:val="006161F1"/>
    <w:rsid w:val="00657CD9"/>
    <w:rsid w:val="00664B6A"/>
    <w:rsid w:val="006A41E5"/>
    <w:rsid w:val="007576C4"/>
    <w:rsid w:val="00803FB7"/>
    <w:rsid w:val="0081108E"/>
    <w:rsid w:val="00821580"/>
    <w:rsid w:val="00841401"/>
    <w:rsid w:val="008B4400"/>
    <w:rsid w:val="008D0CE0"/>
    <w:rsid w:val="008E6617"/>
    <w:rsid w:val="0093334E"/>
    <w:rsid w:val="00944AC1"/>
    <w:rsid w:val="00965FFC"/>
    <w:rsid w:val="009E38D4"/>
    <w:rsid w:val="009E74E3"/>
    <w:rsid w:val="009F3C05"/>
    <w:rsid w:val="00A1027D"/>
    <w:rsid w:val="00AC3773"/>
    <w:rsid w:val="00AD7401"/>
    <w:rsid w:val="00B511D1"/>
    <w:rsid w:val="00B55639"/>
    <w:rsid w:val="00BB0D50"/>
    <w:rsid w:val="00BB2913"/>
    <w:rsid w:val="00BC59F2"/>
    <w:rsid w:val="00BD500C"/>
    <w:rsid w:val="00BE28E3"/>
    <w:rsid w:val="00BF323B"/>
    <w:rsid w:val="00C21CFE"/>
    <w:rsid w:val="00C459CB"/>
    <w:rsid w:val="00C50EC5"/>
    <w:rsid w:val="00C579FF"/>
    <w:rsid w:val="00D24A21"/>
    <w:rsid w:val="00D25F5B"/>
    <w:rsid w:val="00D31BD9"/>
    <w:rsid w:val="00D45053"/>
    <w:rsid w:val="00E20C93"/>
    <w:rsid w:val="00ED213E"/>
    <w:rsid w:val="00ED2387"/>
    <w:rsid w:val="00ED4DB0"/>
    <w:rsid w:val="00F227EA"/>
    <w:rsid w:val="00F327E1"/>
    <w:rsid w:val="00F46CDF"/>
    <w:rsid w:val="00F50886"/>
    <w:rsid w:val="00F53D0F"/>
    <w:rsid w:val="00F71DA0"/>
    <w:rsid w:val="00F87B90"/>
    <w:rsid w:val="00F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E59E"/>
  <w15:docId w15:val="{B8AFE555-A88C-F341-BD58-3C839FBA15A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74151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48"/>
    <w:pPr>
      <w:jc w:val="both"/>
    </w:p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0">
    <w:name w:val="Normal0"/>
    <w:qFormat/>
    <w:rsid w:val="00AC3773"/>
    <w:pPr>
      <w:spacing w:after="200" w:line="312" w:lineRule="auto"/>
      <w:ind w:left="-6"/>
    </w:pPr>
    <w:rPr>
      <w:rFonts w:ascii="Lato" w:eastAsia="Lato" w:hAnsi="Lato" w:cs="Lato"/>
      <w:color w:val="595959"/>
      <w:sz w:val="20"/>
      <w:szCs w:val="20"/>
      <w:lang w:eastAsia="en-US"/>
    </w:rPr>
  </w:style>
  <w:style w:type="paragraph" w:customStyle="1" w:styleId="Subtitle0">
    <w:name w:val="Subtitle0"/>
    <w:basedOn w:val="Normal0"/>
    <w:next w:val="Normal0"/>
    <w:rsid w:val="00AC3773"/>
    <w:pPr>
      <w:keepNext/>
      <w:keepLines/>
    </w:pPr>
    <w:rPr>
      <w:b/>
      <w:color w:val="666666"/>
      <w:sz w:val="40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3773"/>
  </w:style>
  <w:style w:type="paragraph" w:styleId="Rodap">
    <w:name w:val="footer"/>
    <w:basedOn w:val="Normal"/>
    <w:link w:val="Rodap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3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aa116b-8286-452a-ad11-9bfb85584ae0">
      <Terms xmlns="http://schemas.microsoft.com/office/infopath/2007/PartnerControls"/>
    </lcf76f155ced4ddcb4097134ff3c332f>
    <TaxCatchAll xmlns="219277de-6618-4cc7-bdb8-2ede8afd49f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D9AD5308FF7D4B91152391E51B657F" ma:contentTypeVersion="19" ma:contentTypeDescription="Crie um novo documento." ma:contentTypeScope="" ma:versionID="6213242d335f4d963f0fc8e055b000e9">
  <xsd:schema xmlns:xsd="http://www.w3.org/2001/XMLSchema" xmlns:xs="http://www.w3.org/2001/XMLSchema" xmlns:p="http://schemas.microsoft.com/office/2006/metadata/properties" xmlns:ns2="57aa116b-8286-452a-ad11-9bfb85584ae0" xmlns:ns3="219277de-6618-4cc7-bdb8-2ede8afd49fb" targetNamespace="http://schemas.microsoft.com/office/2006/metadata/properties" ma:root="true" ma:fieldsID="4ce8b9b105c99073f40ae004358d12b6" ns2:_="" ns3:_="">
    <xsd:import namespace="57aa116b-8286-452a-ad11-9bfb85584ae0"/>
    <xsd:import namespace="219277de-6618-4cc7-bdb8-2ede8afd4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a116b-8286-452a-ad11-9bfb85584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66eb4a-84a7-4f03-9cf4-83584b28a2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277de-6618-4cc7-bdb8-2ede8afd49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50c78be-d6dd-4461-b83c-1af308392aaf}" ma:internalName="TaxCatchAll" ma:showField="CatchAllData" ma:web="219277de-6618-4cc7-bdb8-2ede8afd4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6CF224-2329-41B7-AB5E-00AECA73DCE6}">
  <ds:schemaRefs>
    <ds:schemaRef ds:uri="http://schemas.microsoft.com/office/2006/metadata/properties"/>
    <ds:schemaRef ds:uri="http://schemas.microsoft.com/office/infopath/2007/PartnerControls"/>
    <ds:schemaRef ds:uri="57aa116b-8286-452a-ad11-9bfb85584ae0"/>
    <ds:schemaRef ds:uri="219277de-6618-4cc7-bdb8-2ede8afd49fb"/>
  </ds:schemaRefs>
</ds:datastoreItem>
</file>

<file path=customXml/itemProps2.xml><?xml version="1.0" encoding="utf-8"?>
<ds:datastoreItem xmlns:ds="http://schemas.openxmlformats.org/officeDocument/2006/customXml" ds:itemID="{3BA5B480-FB04-CF4D-888F-22A6B84659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81703-7A1A-410C-944C-CACF4BA2BB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4AE9F9-6353-432E-B7B2-AD52FEF70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a116b-8286-452a-ad11-9bfb85584ae0"/>
    <ds:schemaRef ds:uri="219277de-6618-4cc7-bdb8-2ede8afd49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3449</Words>
  <Characters>20175</Characters>
  <Application>Microsoft Office Word</Application>
  <DocSecurity>0</DocSecurity>
  <Lines>567</Lines>
  <Paragraphs>326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— Lumina Seguros</dc:title>
  <dc:creator>POPULOS Sales Engineering</dc:creator>
  <cp:lastModifiedBy>Paulo Barbosa | Secbuilder</cp:lastModifiedBy>
  <cp:revision>3</cp:revision>
  <cp:lastPrinted>2026-07-23T18:30:00Z</cp:lastPrinted>
  <dcterms:created xsi:type="dcterms:W3CDTF">2026-07-23T18:30:00Z</dcterms:created>
  <dcterms:modified xsi:type="dcterms:W3CDTF">2026-07-23T18:30:00Z</dcterms:modified>
  <dc:subject>Proteção do simulador de cotação contra automação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0x01010010D9AD5308FF7D4B91152391E51B657F</vt:lpwstr>
  </property>
  <property fmtid="{D5CDD505-2E9C-101B-9397-08002B2CF9AE}" pid="3" name="MediaServiceImageTags">
    <vt:lpwstr/>
  </property>
</Properties>
</file>