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EE2A33" w14:textId="0B40027C" w:rsidR="00AC3773" w:rsidRDefault="00B55639" w:rsidP="00AC3773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  <w:r>
        <w:fldChar w:fldCharType="begin"/>
      </w:r>
      <w:r>
        <w:instrText xml:space="preserve"> INCLUDEPICTURE "https://yt3.googleusercontent.com/GM9aUAG2BP22F7JircpALbMAoRz2rOY94R9NJwkmcJ8NxGaWWXNtYA3hYYKkNvVyK3_utBIL=s900-c-k-c0x00ffffff-no-rj" \* MERGEFORMATINET </w:instrText>
      </w:r>
      <w:r>
        <w:fldChar w:fldCharType="separate"/>
      </w:r>
      <w:r>
        <w:fldChar w:fldCharType="end"/>
      </w:r>
      <w:r>
        <w:rPr>
          <w:rFonts w:ascii="Open Sans" w:eastAsia="Open Sans" w:hAnsi="Open Sans" w:cs="Open Sans"/>
          <w:noProof/>
          <w:color w:val="695D46"/>
        </w:rPr>
        <w:drawing>
          <wp:anchor distT="0" distB="0" distL="114300" distR="114300" simplePos="0" relativeHeight="251659264" behindDoc="1" locked="0" layoutInCell="1" allowOverlap="1" wp14:anchorId="43DCC4BD" wp14:editId="023D3B8F">
            <wp:simplePos x="0" y="0"/>
            <wp:positionH relativeFrom="page">
              <wp:posOffset>0</wp:posOffset>
            </wp:positionH>
            <wp:positionV relativeFrom="paragraph">
              <wp:posOffset>-339984</wp:posOffset>
            </wp:positionV>
            <wp:extent cx="7781192" cy="10729945"/>
            <wp:effectExtent l="0" t="0" r="4445" b="1905"/>
            <wp:wrapNone/>
            <wp:docPr id="130306582" name="Imagem 1" descr="A blue and white background with text  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06582" name="Imagem 1" descr="A blue and white background with text  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1192" cy="107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754C45" w14:textId="7E032A73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3A5E188D" w14:textId="00A8B694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323181CB" w14:textId="00855A1A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1643B38F" w14:textId="3A5BA659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0EB4215D" w14:textId="0767440C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0DE965B7" w14:textId="2148EEE9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047235B5" w14:textId="360FA79E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38E5ED0D" w14:textId="307D5FAD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51E2F662" w14:textId="4F63DEF6" w:rsidR="00C50EC5" w:rsidRPr="009A297D" w:rsidRDefault="00C50EC5" w:rsidP="00C50EC5">
      <w:pPr>
        <w:pStyle w:val="Subtitle0"/>
        <w:spacing w:after="0" w:line="276" w:lineRule="auto"/>
        <w:ind w:left="0" w:firstLine="1134"/>
        <w:rPr>
          <w:color w:val="FFFFFF" w:themeColor="background1"/>
          <w:sz w:val="48"/>
          <w:szCs w:val="48"/>
        </w:rPr>
      </w:pPr>
      <w:r>
        <w:rPr>
          <w:color w:val="FFFFFF" w:themeColor="background1"/>
          <w:sz w:val="48"/>
          <w:szCs w:val="48"/>
        </w:rPr>
        <w:t>PROPOSTA TÉCNICA</w:t>
      </w:r>
    </w:p>
    <w:p w14:paraId="0B130125" w14:textId="6D9BC620" w:rsidR="00C50EC5" w:rsidRDefault="00C50EC5" w:rsidP="00C50EC5">
      <w:pPr>
        <w:pStyle w:val="Subtitle0"/>
        <w:spacing w:after="0" w:line="276" w:lineRule="auto"/>
        <w:ind w:firstLine="1134"/>
        <w:rPr>
          <w:color w:val="FFFFFF" w:themeColor="background1"/>
        </w:rPr>
      </w:pPr>
    </w:p>
    <w:p>
      <w:pPr>
        <w:pStyle w:val="Subtitle0"/>
        <w:spacing w:after="0" w:line="276" w:lineRule="auto"/>
        <w:ind w:left="1134" w:right="758"/>
        <w:rPr>
          <w:b w:val="0"/>
          <w:bCs/>
          <w:color w:val="FFFFFF" w:themeColor="background1"/>
        </w:rPr>
      </w:pPr>
      <w:r>
        <w:rPr>
          <w:b w:val="0"/>
          <w:bCs/>
          <w:color w:val="FFFFFF" w:themeColor="background1"/>
        </w:rPr>
        <w:t>Proteção contra automação no simulador de cotação de seguro auto · Lumina Seguros · LUMINA-BOT-2026</w:t>
      </w:r>
    </w:p>
    <w:p>
      <w:pPr>
        <w:pStyle w:val="Normal0"/>
        <w:ind w:firstLine="1134"/>
        <w:rPr>
          <w:color w:val="FFFFFF" w:themeColor="background1"/>
        </w:rPr>
      </w:pPr>
      <w:r>
        <w:rPr>
          <w:color w:val="FFFFFF" w:themeColor="background1"/>
        </w:rPr>
        <w:t>EMPRESA: Lumina Seguros</w:t>
      </w:r>
    </w:p>
    <w:p>
      <w:pPr>
        <w:pStyle w:val="Normal0"/>
        <w:spacing w:after="0" w:line="276" w:lineRule="auto"/>
        <w:ind w:firstLine="1134"/>
        <w:rPr>
          <w:color w:val="FFFFFF" w:themeColor="background1"/>
        </w:rPr>
      </w:pPr>
      <w:r>
        <w:rPr>
          <w:color w:val="FFFFFF" w:themeColor="background1"/>
        </w:rPr>
        <w:t>| SETEMBRO 2026 |</w:t>
      </w:r>
    </w:p>
    <w:p w14:paraId="498C438A" w14:textId="799C8663" w:rsidR="00F227EA" w:rsidRDefault="00B55639" w:rsidP="00BC59F2">
      <w:pPr>
        <w:spacing w:line="240" w:lineRule="exact"/>
        <w:jc w:val="left"/>
        <w:sectPr w:rsidR="00F227EA">
          <w:headerReference w:type="default" r:id="rId12"/>
          <w:footerReference w:type="default" r:id="rId13"/>
          <w:headerReference w:type="first" r:id="rId14"/>
          <w:footerReference w:type="first" r:id="rId15"/>
          <w:pgSz w:w="12240" w:h="15840"/>
          <w:pgMar w:top="0" w:right="0" w:bottom="0" w:left="0" w:header="0" w:footer="0" w:gutter="0"/>
          <w:cols w:space="720"/>
          <w:titlePg/>
          <w:docGrid w:linePitch="360"/>
        </w:sect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05B9463" wp14:editId="09D1AD0E">
            <wp:simplePos x="0" y="0"/>
            <wp:positionH relativeFrom="column">
              <wp:posOffset>2580640</wp:posOffset>
            </wp:positionH>
            <wp:positionV relativeFrom="paragraph">
              <wp:posOffset>499745</wp:posOffset>
            </wp:positionV>
            <wp:extent cx="2092960" cy="2092960"/>
            <wp:effectExtent l="0" t="0" r="2540" b="2540"/>
            <wp:wrapNone/>
            <wp:docPr id="497703951" name="Imagem 2" descr="Logo do cli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ogo do client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6641" cy="2096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07EEC9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1.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Sobre a POPULOS</w:t>
      </w:r>
    </w:p>
    <w:p w14:paraId="3C604CD7" w14:textId="77777777" w:rsidR="00F227EA" w:rsidRDefault="00000000">
      <w:pPr>
        <w:spacing w:after="120" w:line="276" w:lineRule="auto"/>
      </w:pPr>
      <w:r>
        <w:t>A POPULOS nasceu em São Paulo com o objetivo de levar o futuro para organizações de todos os tipos e tamanhos, através da entrega de soluções que têm o poder de transformar radicalmente a forma como as pessoas trabalham, criam e colaboram.</w:t>
      </w:r>
    </w:p>
    <w:p w14:paraId="5570BA4F" w14:textId="61F7A7ED" w:rsidR="00F227EA" w:rsidRDefault="00000000">
      <w:pPr>
        <w:spacing w:after="120" w:line="276" w:lineRule="auto"/>
      </w:pPr>
      <w:r>
        <w:t>Muito mais do que entregar ferramentas tecnológicas, temos como objetivo ajudar organizações a pensar e executar o trabalho de forma diferente, entrando na era do trabalho 3.0. A POPULOS é especialista e líder na América Latina em soluções de Segurança, End-User Computing, Infraestrutura, Redes e Cloud.</w:t>
      </w:r>
    </w:p>
    <w:p w14:paraId="60A8393F" w14:textId="77777777" w:rsidR="00F227EA" w:rsidRDefault="00000000">
      <w:pPr>
        <w:spacing w:after="120" w:line="276" w:lineRule="auto"/>
      </w:pPr>
      <w:r>
        <w:t>Somos um agente da transformação digital. Nossa missão é compartilhar a visão do futuro do trabalho e entregar os meios para que organizações obtenham os melhores resultados em um mundo que se transforma rápido, suprindo os interesses das áreas de TI, segurança e operações.</w:t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Sobre a Akamai</w:t>
      </w:r>
    </w:p>
    <w:p>
      <w:pPr>
        <w:spacing w:after="120" w:line="276" w:lineRule="auto"/>
      </w:pPr>
      <w:r>
        <w:t>A Akamai opera uma plataforma distribuída de entrega e segurança na borda, já utilizada pela Lumina Seguros para entrega de aplicações, proteção de aplicações e APIs e DNS autoritativo.</w:t>
      </w:r>
    </w:p>
    <w:p>
      <w:pPr>
        <w:spacing w:after="120" w:line="276" w:lineRule="auto"/>
      </w:pPr>
      <w:r>
        <w:t>O Bot Manager Premier identifica requisições automatizadas na borda e aplica a resposta definida por objetivo de negócio, complementando o WAF já em operação na Lumina.</w:t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Parceria POPULOS e Akamai</w:t>
      </w:r>
    </w:p>
    <w:p>
      <w:pPr>
        <w:spacing w:after="120" w:line="276" w:lineRule="auto"/>
      </w:pPr>
      <w:r>
        <w:t>A POPULOS atende a Lumina Seguros desde 2024 na implantação e sustentação das soluções Akamai contratadas diretamente pela Lumina.</w:t>
      </w:r>
    </w:p>
    <w:p>
      <w:pPr>
        <w:pStyle w:val="PargrafodaLista"/>
        <w:numPr>
          <w:ilvl w:val="0"/>
          <w:numId w:val="3"/>
        </w:numPr>
        <w:spacing w:after="120" w:line="276" w:lineRule="auto"/>
      </w:pPr>
      <w:r>
        <w:t>Implantação e ajuste de políticas de detecção de bots na borda</w:t>
      </w:r>
    </w:p>
    <w:p>
      <w:pPr>
        <w:pStyle w:val="PargrafodaLista"/>
        <w:numPr>
          <w:ilvl w:val="0"/>
          <w:numId w:val="3"/>
        </w:numPr>
        <w:spacing w:after="120" w:line="276" w:lineRule="auto"/>
      </w:pPr>
      <w:r>
        <w:t>Configuração de propriedades de entrega e segurança Akamai</w:t>
      </w:r>
    </w:p>
    <w:p>
      <w:pPr>
        <w:pStyle w:val="PargrafodaLista"/>
        <w:numPr>
          <w:ilvl w:val="0"/>
          <w:numId w:val="3"/>
        </w:numPr>
        <w:spacing w:after="120" w:line="276" w:lineRule="auto"/>
      </w:pPr>
      <w:r>
        <w:t>Gestão de mudanças em produção com plano de reversão</w:t>
      </w:r>
    </w:p>
    <w:p>
      <w:pPr>
        <w:spacing w:after="120" w:line="276" w:lineRule="auto"/>
      </w:pPr>
      <w:r>
        <w:t>A composição final da equipe será confirmada no plano de projeto, preservando as competências exigidas para cada frente.</w:t>
      </w: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3AFBBE49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Aderência e qualificações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Equipe POPULOS com experiência na implantação de soluções Akamai já em operação na Lumina.</w:t>
            </w:r>
          </w:p>
        </w:tc>
      </w:tr>
    </w:tbl>
    <w:p w14:paraId="594D7819" w14:textId="77777777" w:rsidR="00ED2387" w:rsidRDefault="00ED2387">
      <w:pPr>
        <w:pStyle w:val="Ttulo1"/>
        <w:keepNext/>
        <w:keepLines/>
        <w:pBdr>
          <w:bottom w:val="single" w:sz="6" w:space="4" w:color="6B46C1"/>
        </w:pBdr>
        <w:spacing w:before="320" w:after="140"/>
        <w:rPr>
          <w:rFonts w:ascii="Lato" w:eastAsia="Lato" w:hAnsi="Lato" w:cs="Lato"/>
          <w:b/>
          <w:bCs/>
          <w:color w:val="6B46C1"/>
          <w:sz w:val="30"/>
          <w:szCs w:val="30"/>
        </w:rPr>
      </w:pPr>
    </w:p>
    <w:p w14:paraId="66BFB71B" w14:textId="0C054DC3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2.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Sumário Executivo</w:t>
      </w:r>
    </w:p>
    <w:p>
      <w:pPr>
        <w:spacing w:after="120" w:line="276" w:lineRule="auto"/>
      </w:pPr>
      <w:r>
        <w:rPr>
          <w:b/>
          <w:bCs/>
        </w:rPr>
        <w:t>A Lumina Seguros identificou que o simulador de cotação de seguro auto está sendo raspado por robôs, com milhares de cotações por hora vindas de automação que imita navegador comum e que o WAF atual não detecta. Segundo a Lumina, pelo menos metade das cotações seria automatizada, e cada cotação gera consultas pagas a dois bureaus de dados.</w:t>
      </w:r>
    </w:p>
    <w:p>
      <w:pPr>
        <w:spacing w:after="120" w:line="276" w:lineRule="auto"/>
      </w:pPr>
      <w:r>
        <w:t>A POPULOS propõe a implantação do Bot Manager Premier sobre as propriedades já entregues pela Akamai, com política dedicada ao fluxo de cotação, período de observação antes da mitigação e ativação em produção antes do congelamento de mudanças de fim de ano, para que a proteção esteja em operação no lançamento do novo seguro auto.</w:t>
      </w:r>
    </w:p>
    <w:p>
      <w:pPr>
        <w:keepLines/>
        <w:spacing w:after="120" w:line="276" w:lineRule="auto"/>
      </w:pPr>
      <w:r>
        <w:t>A licença do Bot Manager Premier será incluída por aditivo ao contrato direto entre a Lumina e a Akamai; a POPULOS presta os serviços de implantação.</w:t>
      </w:r>
    </w:p>
    <w:p>
      <w:pPr>
        <w:keepLines/>
        <w:spacing w:after="120" w:line="276" w:lineRule="auto"/>
      </w:pPr>
      <w:r>
        <w:t>Viabilidade frente a Lançamento do novo seguro auto (15/01/2027): depende de informações pendentes. A data limite considerada é 15/12/2026 (início de Congelamento de fim de ano em 15/12/2026). Prazo limite para a etapa "Assinatura do aditivo de licenciamento": 27/10/2026. Depois das pendências, a execução leva de 4 a 7 semanas. Ressalvas: não há folga de estabilização aprovada: a conclusão pode coincidir com a data limite; Assinatura do aditivo de licenciamento: prazo desconhecido (Qual a data prevista para a assinatura do aditivo de licenciamento do Bot Manager entre a Lumina e a Akamai?).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Proteção contra automação no simulador de cotação — Bot Manager Premier.</w:t>
      </w:r>
    </w:p>
    <w:p>
      <w:pPr>
        <w:spacing w:after="60" w:line="276" w:lineRule="auto"/>
      </w:pPr>
      <w:r>
        <w:rPr>
          <w:b/>
          <w:bCs/>
        </w:rPr>
        <w:t>Esta proposta cobre a proteção do simulador de cotação de seguro auto contra automação; os demais serviços Akamai da Lumina permanecem como estão.</w:t>
      </w:r>
    </w:p>
    <w:p w14:paraId="71911788" w14:textId="77777777" w:rsidR="003D6743" w:rsidRDefault="003D6743">
      <w:pPr>
        <w:spacing w:after="60" w:line="276" w:lineRule="auto"/>
      </w:pP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60F0B8BA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Modelo de fornecimento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a licença do Bot Manager será adicionada ao contrato direto entre a Lumina e a Akamai, por aditivo, com co-terminação em 31/03/2027. A POPULOS presta apenas os serviços.</w:t>
            </w:r>
          </w:p>
        </w:tc>
      </w:tr>
    </w:tbl>
    <w:p w14:paraId="0DEBA0B3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Objetivos do Projeto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Conter a raspagem automatizada do simulador de cotação de seguro auto por robôs que imitam navegadores (REQ-01, REQ-02)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Reduzir as cotações automatizadas que geram consultas pagas aos bureaus de dados (REQ-03)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Colocar a proteção contra automação em operação antes do congelamento de mudanças que antecede o lançamento do novo seguro auto (REQ-04)</w:t>
      </w:r>
    </w:p>
    <w:p w14:paraId="6845968B" w14:textId="77777777" w:rsidR="00BC59F2" w:rsidRDefault="00BC59F2" w:rsidP="00BC59F2">
      <w:pPr>
        <w:spacing w:after="60" w:line="270" w:lineRule="auto"/>
      </w:pPr>
    </w:p>
    <w:p w14:paraId="60915E81" w14:textId="77777777" w:rsidR="00BC59F2" w:rsidRDefault="00BC59F2" w:rsidP="00BC59F2">
      <w:pPr>
        <w:spacing w:after="60" w:line="270" w:lineRule="auto"/>
      </w:pPr>
    </w:p>
    <w:p w14:paraId="06204E69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3.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Descrição da Solução</w:t>
      </w:r>
    </w:p>
    <w:p>
      <w:pPr>
        <w:spacing w:after="120" w:line="276" w:lineRule="auto"/>
      </w:pPr>
      <w:r>
        <w:t>O Bot Manager Premier é ativado sobre as propriedades já entregues pela Akamai na Lumina, inspecionando na borda as requisições do simulador de cotação de seguro auto. As requisições classificadas como automatizadas recebem resposta conforme a política acordada antes de chegarem à origem, o que evita consultas desnecessárias aos bureaus de dados. O App &amp; API Protector já contratado continua responsável pelo WAF; o Bot Manager Premier acrescenta a camada de detecção de automação que imita navegador.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1891792"/>
            <wp:docPr id="497703952" name="Picture 4977039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891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3.1 Proteção contra automação no simulador de cotação</w:t>
      </w:r>
    </w:p>
    <w:p>
      <w:pPr>
        <w:spacing w:after="120" w:line="276" w:lineRule="auto"/>
      </w:pPr>
      <w:r>
        <w:t>Detecção e resposta à automação que raspa o simulador de cotação de seguro auto, com política por objetivo de negócio e telemetria para acompanhar o tráfego automatizado.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Bot Manager Premier: detecção de bots, resposta adaptativa, telemetria</w:t>
      </w: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479990F7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Limite da frente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Licenças Akamai são contratadas diretamente pela Lumina; a POPULOS presta apenas os serviços.</w:t>
            </w:r>
          </w:p>
        </w:tc>
      </w:tr>
    </w:tbl>
    <w:p>
      <w:pPr>
        <w:pStyle w:val="Ttulo2"/>
        <w:keepNext/>
        <w:keepLines/>
        <w:spacing w:before="16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3.2 Prontidão para eventos críticos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Ativação da mitigação e aceite: Ativação em produção concluída antes do congelamento de mudanças, sem alterações durante o período congelado.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Ativação da mitigação e aceite: Monitoramento do tráfego classificado como automatizado após a ativação, com relatório entregue no aceite.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Ativação da mitigação e aceite: Plano de reversão da política documentado e testado antes da ativação.</w:t>
      </w:r>
    </w:p>
    <w:p>
      <w:pPr>
        <w:pStyle w:val="Ttulo2"/>
        <w:keepNext/>
        <w:keepLines/>
        <w:spacing w:before="22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3.3 Matriz de rastreabilidade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936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Requisito</w:t>
            </w:r>
          </w:p>
        </w:tc>
        <w:tc>
          <w:tcPr>
            <w:tcW w:type="dxa" w:w="3168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Necessidade</w:t>
            </w:r>
          </w:p>
        </w:tc>
        <w:tc>
          <w:tcPr>
            <w:tcW w:type="dxa" w:w="1944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Componente</w:t>
            </w:r>
          </w:p>
        </w:tc>
        <w:tc>
          <w:tcPr>
            <w:tcW w:type="dxa" w:w="3456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Evidência de aceite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REQ-01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Detectar e mitigar a raspagem automatizada do simulador de cotação de seguro auto, que copia a tabela de preços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Bot Manager Premier com política dedicada ao fluxo de cotação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Política do Bot Manager Premier aplicada aos endpoints do simulador definidos no levantamento, em modo de mitigação em produção, comprovada por evidência de configuração.</w:t>
            </w:r>
          </w:p>
        </w:tc>
      </w:tr>
      <w:tr>
        <w:tc>
          <w:tcPr>
            <w:tcW w:type="dxa" w:w="93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REQ-02</w:t>
            </w:r>
          </w:p>
        </w:tc>
        <w:tc>
          <w:tcPr>
            <w:tcW w:type="dxa" w:w="3168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Identificar automação que se apresenta como navegador comum e não é detectada pelo WAF atual</w:t>
            </w:r>
          </w:p>
        </w:tc>
        <w:tc>
          <w:tcPr>
            <w:tcW w:type="dxa" w:w="1944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Bot Manager Premier (detecção de bots e segmentação), complementar ao App &amp; API Protector já contratado</w:t>
            </w:r>
          </w:p>
        </w:tc>
        <w:tc>
          <w:tcPr>
            <w:tcW w:type="dxa" w:w="345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Relatório do período de observação entregue, com o volume de requisições do simulador classificadas como automatizadas pelo Bot Manager Premier.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REQ-03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Reduzir as cotações automatizadas que disparam consultas pagas a dois bureaus de dados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Bot Manager Premier com resposta adaptativa antes que a requisição de cotação chegue à origem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Requisições classificadas como automatizadas recebem a resposta definida na política aprovada, verificada por amostra de registros do Bot Manager Premier após a ativação.</w:t>
            </w:r>
          </w:p>
        </w:tc>
      </w:tr>
      <w:tr>
        <w:tc>
          <w:tcPr>
            <w:tcW w:type="dxa" w:w="93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REQ-04</w:t>
            </w:r>
          </w:p>
        </w:tc>
        <w:tc>
          <w:tcPr>
            <w:tcW w:type="dxa" w:w="3168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Ter o Bot Manager em operação antes do lançamento do novo seguro auto em 15/01/2027, respeitando o congelamento de 15/12/2026 a 05/01/2027</w:t>
            </w:r>
          </w:p>
        </w:tc>
        <w:tc>
          <w:tcPr>
            <w:tcW w:type="dxa" w:w="1944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Cronograma de implantação com ativação em produção antes do congelamento de mudanças</w:t>
            </w:r>
          </w:p>
        </w:tc>
        <w:tc>
          <w:tcPr>
            <w:tcW w:type="dxa" w:w="345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Ativação da mitigação em produção concluída e registrada antes do início do congelamento de mudanças, com plano de reversão documentado.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REQ-05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Avaliar logins suspeitos na área do cliente, ainda não confirmados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Levantamento de evidências antes de qualquer decisão sobre o Account Protector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Critérios gerais da seção 10.</w:t>
            </w:r>
          </w:p>
        </w:tc>
      </w:tr>
    </w:tbl>
    <w:p w14:paraId="466647CD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>4. Dimensionamento e Abrangência</w:t>
      </w:r>
    </w:p>
    <w:p>
      <w:pPr>
        <w:spacing w:after="120" w:line="276" w:lineRule="auto"/>
      </w:pPr>
      <w:r>
        <w:rPr>
          <w:b/>
          <w:bCs/>
        </w:rPr>
        <w:t>O dimensionamento parte do volume de cotações informado pela Lumina e dos endpoints a confirmar no levantamento.</w:t>
      </w:r>
    </w:p>
    <w:p>
      <w:pPr>
        <w:pStyle w:val="Ttulo2"/>
        <w:keepNext/>
        <w:keepLines/>
        <w:spacing w:before="22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4.1 Itens de dimensionamento</w:t>
      </w:r>
    </w:p>
    <w:tbl>
      <w:tblPr>
        <w:tblW w:w="9790" w:type="dxa"/>
        <w:tblBorders>
          <w:top w:val="single" w:sz="2" w:space="0" w:color="D1D5DB"/>
          <w:bottom w:val="single" w:sz="2" w:space="0" w:color="D1D5DB"/>
          <w:insideH w:val="single" w:sz="2" w:space="0" w:color="E5E7EB"/>
          <w:insideV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0"/>
        <w:gridCol w:w="1000"/>
        <w:gridCol w:w="1000"/>
        <w:gridCol w:w="1080"/>
      </w:tblGrid>
      <w:tr w:rsidR="00F227EA" w14:paraId="69B947D6" w14:textId="77777777">
        <w:trPr>
          <w:tblHeader/>
        </w:trPr>
        <w:tc>
          <w:tcPr>
            <w:tcW w:w="226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100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Quantidade de referência</w:t>
            </w:r>
          </w:p>
        </w:tc>
        <w:tc>
          <w:tcPr>
            <w:tcW w:w="100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Base de planejamento</w:t>
            </w:r>
          </w:p>
        </w:tc>
        <w:tc>
          <w:tcPr>
            <w:tcW w:w="108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Classificação</w:t>
            </w:r>
          </w:p>
        </w:tc>
      </w:tr>
      <w:tr w:rsidR="00F227EA" w14:paraId="7A5CE6D8" w14:textId="77777777">
        <w:tc>
          <w:tcPr>
            <w:tcW w:w="22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Volume mensal de cotações do simulador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Cerca de 2,1 milhões (mês anterior à reunião)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Informado pela Lumina em 23/09/2026</w:t>
            </w:r>
          </w:p>
        </w:tc>
        <w:tc>
          <w:tcPr>
            <w:tcW w:w="10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Confirmado</w:t>
            </w:r>
          </w:p>
        </w:tc>
      </w:tr>
      <w:tr w:rsidR="00F227EA" w14:paraId="4569A9B2" w14:textId="77777777">
        <w:tc>
          <w:tcPr>
            <w:tcW w:w="226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Endpoints do simulador sob política de automação</w:t>
            </w:r>
          </w:p>
        </w:tc>
        <w:tc>
          <w:tcPr>
            <w:tcW w:w="1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A definir no levantamento</w:t>
            </w:r>
          </w:p>
        </w:tc>
        <w:tc>
          <w:tcPr>
            <w:tcW w:w="1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Hostnames e caminhos a confirmar pela Lumina</w:t>
            </w:r>
          </w:p>
        </w:tc>
        <w:tc>
          <w:tcPr>
            <w:tcW w:w="108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Pendente</w:t>
            </w:r>
          </w:p>
        </w:tc>
      </w:tr>
      <w:tr w:rsidR="00F227EA" w14:paraId="33FB2B15" w14:textId="77777777">
        <w:tc>
          <w:tcPr>
            <w:tcW w:w="22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Esforço de implantação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4 a 5 semanas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Estimativa da arquitetura POPULOS</w:t>
            </w:r>
          </w:p>
        </w:tc>
        <w:tc>
          <w:tcPr>
            <w:tcW w:w="10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Estimativa</w:t>
            </w:r>
          </w:p>
        </w:tc>
      </w:tr>
    </w:tbl>
    <w:p w14:paraId="675853AF" w14:textId="77777777" w:rsidR="00BD500C" w:rsidRDefault="00BD500C">
      <w:pPr>
        <w:spacing w:after="80" w:line="276" w:lineRule="auto"/>
        <w:rPr>
          <w:b/>
          <w:bCs/>
          <w:i/>
          <w:iCs/>
          <w:color w:val="6B7280"/>
          <w:sz w:val="18"/>
          <w:szCs w:val="18"/>
        </w:rPr>
      </w:pPr>
    </w:p>
    <w:p>
      <w:pPr>
        <w:pStyle w:val="Ttulo2"/>
        <w:keepNext/>
        <w:keepLines/>
        <w:pageBreakBefore w:val="0"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4.2 Componentes centralizados e serviços de borda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6624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Componente</w:t>
            </w:r>
          </w:p>
        </w:tc>
        <w:tc>
          <w:tcPr>
            <w:tcW w:type="dxa" w:w="2880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Posição na proposta</w:t>
            </w:r>
          </w:p>
        </w:tc>
      </w:tr>
      <w:tr>
        <w:tc>
          <w:tcPr>
            <w:tcW w:type="dxa" w:w="662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Bot Manager Premier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Recomendado</w:t>
            </w:r>
          </w:p>
        </w:tc>
      </w:tr>
      <w:tr>
        <w:tc>
          <w:tcPr>
            <w:tcW w:type="dxa" w:w="6624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Ion</w:t>
            </w:r>
          </w:p>
        </w:tc>
        <w:tc>
          <w:tcPr>
            <w:tcW w:type="dxa" w:w="2880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Já contratado — ambiente atual</w:t>
            </w:r>
          </w:p>
        </w:tc>
      </w:tr>
      <w:tr>
        <w:tc>
          <w:tcPr>
            <w:tcW w:type="dxa" w:w="662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App &amp; API Protector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Já contratado — ambiente atual</w:t>
            </w:r>
          </w:p>
        </w:tc>
      </w:tr>
      <w:tr>
        <w:tc>
          <w:tcPr>
            <w:tcW w:type="dxa" w:w="6624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Edge DNS</w:t>
            </w:r>
          </w:p>
        </w:tc>
        <w:tc>
          <w:tcPr>
            <w:tcW w:type="dxa" w:w="2880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Já contratado — ambiente atual</w:t>
            </w:r>
          </w:p>
        </w:tc>
      </w:tr>
    </w:tbl>
    <w:p w14:paraId="5941B891" w14:textId="465FDF3E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5.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Avaliação e Migração do Ambiente Atual</w:t>
      </w:r>
    </w:p>
    <w:p>
      <w:pPr>
        <w:spacing w:after="120" w:line="276" w:lineRule="auto"/>
      </w:pPr>
      <w:r>
        <w:t>Como primeira etapa, a POPULOS realizará o levantamento detalhado do ambiente atual, contemplando no mínimo: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Mapeamento dos endpoints, chamadas de API e jornada do simulador de cotação de seguro auto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Levantamento dos comparadores, parceiros e integrações legítimas que acessam o simulador de forma automatizada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Revisão da configuração atual das propriedades entregues pela Akamai e da política de WAF em uso</w:t>
      </w:r>
    </w:p>
    <w:p>
      <w:pPr>
        <w:spacing w:after="120" w:line="276" w:lineRule="auto"/>
      </w:pPr>
      <w:r>
        <w:t>O levantamento entrega o desenho da política de proteção contra automação, com endpoints e acessos legítimos definidos.</w:t>
      </w: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78B70CC4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Estratégia de migração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Não há migração: o Bot Manager Premier é ativado sobre as propriedades já existentes, com plano de reversão.</w:t>
            </w:r>
          </w:p>
        </w:tc>
      </w:tr>
    </w:tbl>
    <w:p w14:paraId="2171A501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6.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Serviços POPULOS — Metodologia de Implantação</w:t>
      </w:r>
    </w:p>
    <w:p>
      <w:pPr>
        <w:spacing w:after="120" w:line="276" w:lineRule="auto"/>
      </w:pPr>
      <w:r>
        <w:rPr>
          <w:b/>
          <w:bCs/>
        </w:rPr>
        <w:t>A implantação segue observação antes da mitigação: a política é configurada em modo de monitoramento, ajustada com base no tráfego real e só então ativada em produção.</w:t>
      </w:r>
    </w:p>
    <w:p w14:paraId="1DD6CC39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6.1 Escopo previsto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Levantamento dos endpoints e da jornada do simulador de cotação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Configuração do Bot Manager Premier nas propriedades que atendem o simulador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Período de observação em modo de monitoramento e ajuste da classificação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Ativação da mitigação em produção com plano de reversão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Repasse de conhecimento à equipe da Lumina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Documento de desenho da política de proteção contra automação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Relatório do período de observação com o tráfego classificado como automatizado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Configuração em produção documentada (as-built)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Sessão de repasse de conhecimento</w:t>
      </w:r>
    </w:p>
    <w:p w14:paraId="5DE8D494" w14:textId="399B44BD" w:rsidR="00ED213E" w:rsidRPr="00ED213E" w:rsidRDefault="00000000">
      <w:pPr>
        <w:pStyle w:val="Ttulo2"/>
        <w:keepNext/>
        <w:keepLines/>
        <w:spacing w:before="22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lastRenderedPageBreak/>
        <w:t>6.2 Metodologia POPULOS</w:t>
      </w:r>
    </w:p>
    <w:p w14:paraId="458C458F" w14:textId="77777777" w:rsidR="00F227EA" w:rsidRDefault="00000000">
      <w:pPr>
        <w:pStyle w:val="Ttulo3"/>
        <w:keepNext/>
        <w:keepLines/>
        <w:spacing w:before="160" w:after="70"/>
      </w:pPr>
      <w:r>
        <w:rPr>
          <w:rFonts w:ascii="Lato" w:eastAsia="Lato" w:hAnsi="Lato" w:cs="Lato"/>
          <w:b/>
          <w:bCs/>
          <w:sz w:val="22"/>
          <w:szCs w:val="22"/>
        </w:rPr>
        <w:t>Planejamento e levantamento</w:t>
      </w:r>
    </w:p>
    <w:p>
      <w:pPr>
        <w:spacing w:after="120" w:line="276" w:lineRule="auto"/>
      </w:pPr>
      <w:r>
        <w:t>Mapear endpoints do simulador, acessos legítimos automatizados e definir a política</w:t>
      </w:r>
    </w:p>
    <w:p w14:paraId="31BAB4E0" w14:textId="77777777" w:rsidR="00F227EA" w:rsidRDefault="00000000">
      <w:pPr>
        <w:pStyle w:val="Ttulo3"/>
        <w:keepNext/>
        <w:keepLines/>
        <w:spacing w:before="160" w:after="70"/>
      </w:pPr>
      <w:r>
        <w:rPr>
          <w:rFonts w:ascii="Lato" w:eastAsia="Lato" w:hAnsi="Lato" w:cs="Lato"/>
          <w:b/>
          <w:bCs/>
          <w:sz w:val="22"/>
          <w:szCs w:val="22"/>
        </w:rPr>
        <w:t>Configuração e observação</w:t>
      </w:r>
    </w:p>
    <w:p>
      <w:pPr>
        <w:spacing w:after="120" w:line="276" w:lineRule="auto"/>
      </w:pPr>
      <w:r>
        <w:t>Configurar o Bot Manager Premier em modo de monitoramento e ajustar a classificação</w:t>
      </w:r>
    </w:p>
    <w:p w14:paraId="0C49AE6D" w14:textId="77777777" w:rsidR="00F227EA" w:rsidRDefault="00000000">
      <w:pPr>
        <w:pStyle w:val="Ttulo3"/>
        <w:keepNext/>
        <w:keepLines/>
        <w:spacing w:before="160" w:after="70"/>
      </w:pPr>
      <w:r>
        <w:rPr>
          <w:rFonts w:ascii="Lato" w:eastAsia="Lato" w:hAnsi="Lato" w:cs="Lato"/>
          <w:b/>
          <w:bCs/>
          <w:sz w:val="22"/>
          <w:szCs w:val="22"/>
        </w:rPr>
        <w:t>Ativação da mitigação e aceite</w:t>
      </w:r>
    </w:p>
    <w:p>
      <w:pPr>
        <w:spacing w:after="120" w:line="276" w:lineRule="auto"/>
      </w:pPr>
      <w:r>
        <w:t>Ativar a mitigação em produção antes do congelamento de mudanças e obter o aceite</w:t>
      </w:r>
    </w:p>
    <w:p w14:paraId="1FE5BD3A" w14:textId="77777777" w:rsidR="00F227EA" w:rsidRDefault="00000000">
      <w:pPr>
        <w:pStyle w:val="Ttulo3"/>
        <w:keepNext/>
        <w:keepLines/>
        <w:spacing w:before="160" w:after="70"/>
      </w:pPr>
      <w:r>
        <w:rPr>
          <w:rFonts w:ascii="Lato" w:eastAsia="Lato" w:hAnsi="Lato" w:cs="Lato"/>
          <w:b/>
          <w:bCs/>
          <w:sz w:val="22"/>
          <w:szCs w:val="22"/>
        </w:rPr>
        <w:t>Gestão do Projeto</w:t>
      </w:r>
    </w:p>
    <w:p>
      <w:pPr>
        <w:spacing w:after="120" w:line="276" w:lineRule="auto"/>
      </w:pPr>
      <w:r>
        <w:t>A POPULOS conduzirá o planejamento, a gestão de riscos e dependências e os reportes periódicos, em alinhamento com o ponto focal do cliente.</w:t>
      </w:r>
    </w:p>
    <w:p w14:paraId="49957D70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7.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Limites do Escopo</w:t>
      </w:r>
    </w:p>
    <w:p w14:paraId="06FA1EDD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7.1 Passagem de conhecimento</w:t>
      </w:r>
    </w:p>
    <w:p>
      <w:pPr>
        <w:spacing w:after="120" w:line="276" w:lineRule="auto"/>
      </w:pPr>
      <w:r>
        <w:t>A POPULOS conduz sessão de repasse de conhecimento sobre a política, os relatórios e o procedimento de reversão.</w:t>
      </w:r>
    </w:p>
    <w:p w14:paraId="4A59FCA9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7.2 Homologação e testes</w:t>
      </w:r>
    </w:p>
    <w:p>
      <w:pPr>
        <w:spacing w:after="120" w:line="276" w:lineRule="auto"/>
      </w:pPr>
      <w:r>
        <w:t>Os testes incluem validação da classificação durante a observação, verificação da resposta aplicada após a ativação e teste do procedimento de reversão.</w:t>
      </w:r>
    </w:p>
    <w:p w14:paraId="7794161C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7.3 Áreas fora do escopo</w:t>
      </w:r>
    </w:p>
    <w:p w14:paraId="072132ED" w14:textId="77777777" w:rsidR="00F227EA" w:rsidRDefault="00000000">
      <w:pPr>
        <w:spacing w:after="120" w:line="276" w:lineRule="auto"/>
      </w:pPr>
      <w:r>
        <w:t>Qualquer área/tópico não expressamente enumerado no escopo previsto está fora deste projeto. Em especial, estão fora do escopo: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Fornecimento de licenças Akamai, contratadas diretamente pela Lumina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Sustentação contínua, coberta pelo contrato de sustentação vigente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Proteção de login na área do cliente, sujeita a levantamento de evidências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Alterações no código do simulador ou nas integrações com bureaus de dados</w:t>
      </w:r>
    </w:p>
    <w:p w14:paraId="29CE5CDD" w14:textId="77777777" w:rsidR="004D3A65" w:rsidRDefault="004D3A65" w:rsidP="004D3A65">
      <w:pPr>
        <w:spacing w:after="60" w:line="270" w:lineRule="auto"/>
      </w:pPr>
    </w:p>
    <w:p w14:paraId="5A6DAA59" w14:textId="77777777" w:rsidR="004D3A65" w:rsidRDefault="004D3A65" w:rsidP="004D3A65">
      <w:pPr>
        <w:spacing w:after="60" w:line="270" w:lineRule="auto"/>
      </w:pP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51C7CCBD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Itens que exigem contratação específica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Operação continuada, NOC 24x7, equipe residente, desenvolvimento de aplicações e serviços gerenciados adicionais não estão incluídos.</w:t>
            </w:r>
          </w:p>
        </w:tc>
      </w:tr>
    </w:tbl>
    <w:p w14:paraId="790651B6" w14:textId="77777777" w:rsidR="00F227EA" w:rsidRDefault="00000000">
      <w:pPr>
        <w:pStyle w:val="Ttulo1"/>
        <w:keepNext/>
        <w:keepLines/>
        <w:pageBreakBefore w:val="0"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8.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Premissas, Requisitos e Restrições</w:t>
      </w:r>
    </w:p>
    <w:p w14:paraId="0279B845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8.1 Premissas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A licença do Bot Manager Premier é provisionada pela Akamai em até 10 dias úteis após a assinatura do aditivo, conforme informado pela Akamai; a fase de configuração depende desse provisionamento.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O simulador de cotação é entregue por propriedades Akamai já em produção na Lumina; a confirmação ocorre no levantamento.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 Lumina disponibiliza janela de mudança para a ativação em produção antes do congelamento de mudanças de 15/12/2026.</w:t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8.2 Requisitos — Pessoas (Lumina Seguros)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Responsável pelos canais digitais, para aprovar a política de resposta à automação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Arquiteto de soluções, para validar endpoints e janelas de mudança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Equipe de desenvolvimento do simulador, para apoiar testes e integração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Responsável pelo contrato com a Akamai, para a assinatura do aditivo de licenciamento</w:t>
      </w:r>
    </w:p>
    <w:p w14:paraId="199C1D9F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8.3 Restrições</w:t>
      </w:r>
    </w:p>
    <w:p w14:paraId="15290CA5" w14:textId="77777777" w:rsidR="00F227EA" w:rsidRDefault="00000000">
      <w:pPr>
        <w:pStyle w:val="PargrafodaLista"/>
        <w:numPr>
          <w:ilvl w:val="0"/>
          <w:numId w:val="2"/>
        </w:numPr>
        <w:spacing w:after="60" w:line="270" w:lineRule="auto"/>
      </w:pPr>
      <w:r>
        <w:t>Nenhuma mudança em produção é realizada durante o congelamento de mudanças de 15/12/2026 a 05/01/2027.</w:t>
      </w:r>
    </w:p>
    <w:p w14:paraId="62D6CC0A" w14:textId="77777777" w:rsidR="00F227EA" w:rsidRDefault="00000000">
      <w:pPr>
        <w:pStyle w:val="PargrafodaLista"/>
        <w:numPr>
          <w:ilvl w:val="0"/>
          <w:numId w:val="2"/>
        </w:numPr>
        <w:spacing w:after="60" w:line="270" w:lineRule="auto"/>
      </w:pPr>
      <w:r>
        <w:t>A configuração depende do provisionamento da licença, contratada diretamente pela Lumina com a Akamai.</w:t>
      </w:r>
    </w:p>
    <w:p w14:paraId="655E7B04" w14:textId="77777777" w:rsidR="00F227EA" w:rsidRDefault="00000000">
      <w:pPr>
        <w:pStyle w:val="PargrafodaLista"/>
        <w:numPr>
          <w:ilvl w:val="0"/>
          <w:numId w:val="2"/>
        </w:numPr>
        <w:spacing w:after="60" w:line="270" w:lineRule="auto"/>
      </w:pPr>
      <w:r>
        <w:t>O escopo não inclui alterações no código do simulador nem nas integrações com bureaus de dados.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 ativação da mitigação depende da aprovação formal da política de resposta pela Lumina.</w:t>
      </w:r>
    </w:p>
    <w:p w14:paraId="359018A2" w14:textId="77777777" w:rsidR="00BB2913" w:rsidRDefault="00BB2913" w:rsidP="00BB2913">
      <w:pPr>
        <w:spacing w:after="60" w:line="270" w:lineRule="auto"/>
      </w:pPr>
    </w:p>
    <w:p w14:paraId="62DB3BC2" w14:textId="77777777" w:rsidR="00BB2913" w:rsidRDefault="00BB2913" w:rsidP="00BB2913">
      <w:pPr>
        <w:spacing w:after="60" w:line="270" w:lineRule="auto"/>
      </w:pPr>
    </w:p>
    <w:p w14:paraId="302BA2AD" w14:textId="77777777" w:rsidR="00BB2913" w:rsidRDefault="00BB2913" w:rsidP="00BB2913">
      <w:pPr>
        <w:spacing w:after="60" w:line="270" w:lineRule="auto"/>
      </w:pPr>
    </w:p>
    <w:p w14:paraId="1F60BE6A" w14:textId="77777777" w:rsidR="00BB2913" w:rsidRDefault="00BB2913" w:rsidP="00BB2913">
      <w:pPr>
        <w:spacing w:after="60" w:line="270" w:lineRule="auto"/>
      </w:pPr>
    </w:p>
    <w:p>
      <w:pPr>
        <w:pStyle w:val="Ttulo2"/>
        <w:keepNext/>
        <w:keepLines/>
        <w:spacing w:before="16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8.4 Riscos e mitigação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168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Risco</w:t>
            </w:r>
          </w:p>
        </w:tc>
        <w:tc>
          <w:tcPr>
            <w:tcW w:type="dxa" w:w="2304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Impacto</w:t>
            </w:r>
          </w:p>
        </w:tc>
        <w:tc>
          <w:tcPr>
            <w:tcW w:type="dxa" w:w="4032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Mitigação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Atraso na assinatura do aditivo de licenciamento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 ativação pode não ocorrer antes do congelamento de mudanças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Acompanhar a data de assinatura e antecipar o levantamento, que não depende da licença</w:t>
            </w:r>
          </w:p>
        </w:tc>
      </w:tr>
      <w:tr>
        <w:tc>
          <w:tcPr>
            <w:tcW w:type="dxa" w:w="3168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Bloqueio de acessos automatizados legítimos</w:t>
            </w:r>
          </w:p>
        </w:tc>
        <w:tc>
          <w:tcPr>
            <w:tcW w:type="dxa" w:w="2304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Interrupção de parceiros ou comparadores autorizados</w:t>
            </w:r>
          </w:p>
        </w:tc>
        <w:tc>
          <w:tcPr>
            <w:tcW w:type="dxa" w:w="4032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Mapear acessos legítimos no levantamento e observar o tráfego antes da mitigação</w:t>
            </w:r>
          </w:p>
        </w:tc>
      </w:tr>
    </w:tbl>
    <w:p w14:paraId="0C5AB9CA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9.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Cronograma Macro</w:t>
      </w:r>
    </w:p>
    <w:p>
      <w:pPr>
        <w:spacing w:after="120" w:line="276" w:lineRule="auto"/>
      </w:pPr>
      <w:r>
        <w:t>O cronograma soma 4 a 5 semanas de serviços, contadas a partir do provisionamento da licença para as fases que dependem dela.</w:t>
      </w:r>
    </w:p>
    <w:p>
      <w:pPr>
        <w:spacing w:after="120" w:line="276" w:lineRule="auto"/>
      </w:pPr>
      <w:r>
        <w:t>Planejamento e levantamento, configuração e observação, e ativação da mitigação com aceite, concluída antes do congelamento de mudanças.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8"/>
        <w:gridCol w:w="3024"/>
        <w:gridCol w:w="1944"/>
        <w:gridCol w:w="1296"/>
        <w:gridCol w:w="1584"/>
      </w:tblGrid>
      <w:tr w:rsidR="000025B6" w14:paraId="3B67D474" w14:textId="77777777">
        <w:trPr>
          <w:tblHeader/>
        </w:trPr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0C4EC7D" w14:textId="77777777" w:rsidR="0039468C" w:rsidRDefault="00000000">
            <w:r>
              <w:rPr>
                <w:b/>
                <w:bCs/>
                <w:color w:val="FFFFFF"/>
              </w:rPr>
              <w:t>Fase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DB1572C" w14:textId="77777777" w:rsidR="0039468C" w:rsidRDefault="00000000">
            <w:r>
              <w:rPr>
                <w:b/>
                <w:bCs/>
                <w:color w:val="FFFFFF"/>
              </w:rPr>
              <w:t>Atividade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769EBB4" w14:textId="77777777" w:rsidR="0039468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Dependência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584457C" w14:textId="77777777" w:rsidR="0039468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Duração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E6A91DF" w14:textId="77777777" w:rsidR="0039468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Evidência</w:t>
            </w:r>
          </w:p>
        </w:tc>
      </w:tr>
      <w:tr w:rsidR="000025B6" w14:paraId="3F1FC04D" w14:textId="77777777"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4E3199" w14:textId="77777777" w:rsidR="0039468C" w:rsidRDefault="00000000">
            <w:pPr>
              <w:jc w:val="left"/>
            </w:pPr>
            <w:r>
              <w:rPr>
                <w:b/>
                <w:bCs/>
                <w:color w:val="1F2A5E"/>
                <w:sz w:val="15"/>
                <w:szCs w:val="20"/>
              </w:rPr>
              <w:t>Planejamento e levantamento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color w:val="1F2A5E"/>
                <w:sz w:val="15"/>
                <w:szCs w:val="20"/>
              </w:rPr>
              <w:t>Mapear endpoints do simulador, acessos legítimos automatizados e definir a política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7F6ACF0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Disponibilidade da equipe da Lumina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A1C635C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1 semana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E1CAC2C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Documento de desenho da política</w:t>
            </w:r>
          </w:p>
        </w:tc>
      </w:tr>
      <w:tr w:rsidR="000025B6" w14:paraId="2299E885" w14:textId="77777777"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C84597" w14:textId="77777777" w:rsidR="0039468C" w:rsidRDefault="00000000">
            <w:pPr>
              <w:jc w:val="left"/>
            </w:pPr>
            <w:r>
              <w:rPr>
                <w:b/>
                <w:bCs/>
                <w:color w:val="1F2A5E"/>
                <w:sz w:val="15"/>
                <w:szCs w:val="20"/>
              </w:rPr>
              <w:t>Configuração e observação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color w:val="1F2A5E"/>
                <w:sz w:val="15"/>
                <w:szCs w:val="20"/>
              </w:rPr>
              <w:t>Configurar o Bot Manager Premier em modo de monitoramento e ajustar a classificação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E928621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Licença provisionada após a assinatura do aditivo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6308512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2 semanas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E6DCF4A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Relatório do período de observação</w:t>
            </w:r>
          </w:p>
        </w:tc>
      </w:tr>
      <w:tr w:rsidR="000025B6" w14:paraId="02252140" w14:textId="77777777"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7A0166" w14:textId="77777777" w:rsidR="0039468C" w:rsidRDefault="00000000">
            <w:pPr>
              <w:jc w:val="left"/>
            </w:pPr>
            <w:r>
              <w:rPr>
                <w:b/>
                <w:bCs/>
                <w:color w:val="1F2A5E"/>
                <w:sz w:val="15"/>
                <w:szCs w:val="20"/>
              </w:rPr>
              <w:t>Ativação da mitigação e aceite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color w:val="1F2A5E"/>
                <w:sz w:val="15"/>
                <w:szCs w:val="20"/>
              </w:rPr>
              <w:t>Ativar a mitigação em produção antes do congelamento de mudanças e obter o aceite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A4147D2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Janela de mudança aprovada pela Lumina antes de 15/12/2026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56D146F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1 a 2 semanas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4B5DBA9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Configuração em produção documentada (as-built), Sessão de repasse de conhecimento, Termo de aceite</w:t>
            </w:r>
          </w:p>
        </w:tc>
      </w:tr>
    </w:tbl>
    <w:p w14:paraId="613B77DA" w14:textId="77777777" w:rsidR="00BB0D50" w:rsidRDefault="00BB0D50">
      <w:pPr>
        <w:spacing w:after="60" w:line="276" w:lineRule="auto"/>
        <w:rPr>
          <w:i/>
          <w:iCs/>
          <w:color w:val="6B7280"/>
          <w:sz w:val="18"/>
          <w:szCs w:val="18"/>
        </w:rPr>
      </w:pPr>
    </w:p>
    <w:p w14:paraId="1C6D7AB0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10.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Critérios de Aceite</w:t>
      </w:r>
    </w:p>
    <w:p>
      <w:pPr>
        <w:spacing w:after="120" w:line="276" w:lineRule="auto"/>
      </w:pPr>
      <w:r>
        <w:t>A aceitação seguirá os critérios mínimos registrados na matriz de rastreabilidade. A POPULOS propõe, como instrumento complementar de apoio, checklists por entrega, sem prejuízo dos marcos formais de aceite do projeto: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Política do Bot Manager Premier aplicada aos endpoints do simulador definidos no levantamento, em modo de mitigação em produção, comprovada por evidência de configuração.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Relatório do período de observação entregue, com o volume de requisições do simulador classificadas como automatizadas pelo Bot Manager Premier.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Requisições classificadas como automatizadas recebem a resposta definida na política aprovada, verificada por amostra de registros do Bot Manager Premier após a ativação.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Ativação da mitigação em produção concluída e registrada antes do início do congelamento de mudanças, com plano de reversão documentado.</w:t>
      </w:r>
    </w:p>
    <w:p w14:paraId="26E65A66" w14:textId="77777777" w:rsidR="00BB2913" w:rsidRDefault="00BB2913" w:rsidP="00BB2913">
      <w:pPr>
        <w:spacing w:after="60" w:line="270" w:lineRule="auto"/>
      </w:pP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45A687A1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Marcos formais de aceite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Marcos: desenho da política aprovado, relatório de observação entregue e mitigação ativa em produção antes do congelamento.</w:t>
            </w:r>
          </w:p>
        </w:tc>
      </w:tr>
    </w:tbl>
    <w:p w14:paraId="20ADFDB0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11.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Garantia Técnica</w:t>
      </w:r>
    </w:p>
    <w:p>
      <w:pPr>
        <w:spacing w:after="120" w:line="276" w:lineRule="auto"/>
      </w:pPr>
      <w:r>
        <w:t>A garantia técnica cobre a correção de defeitos diretamente atribuíveis aos serviços executados pela POPULOS. O prazo consta do quadro Garantia e vigência.</w:t>
      </w: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04B9EB64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Garantia e vigência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a POPULOS corrigirá defeitos diretamente atribuíveis aos serviços executados por 90 dias corridos após o aceite final</w:t>
            </w:r>
          </w:p>
        </w:tc>
      </w:tr>
    </w:tbl>
    <w:p w14:paraId="4251E7E2" w14:textId="77777777" w:rsidR="00F71DA0" w:rsidRDefault="00F71DA0">
      <w:pPr>
        <w:spacing w:after="120" w:line="276" w:lineRule="auto"/>
      </w:pPr>
    </w:p>
    <w:p>
      <w:pPr>
        <w:spacing w:after="120" w:line="276" w:lineRule="auto"/>
      </w:pPr>
      <w:r>
        <w:t>A POPULOS permanece à disposição para esclarecer esta proposta e alinhar a data de início com a Lumina Seguros.</w:t>
      </w:r>
    </w:p>
    <w:p w14:paraId="5A1A0001" w14:textId="77777777" w:rsidR="0039468C" w:rsidRDefault="00000000">
      <w:pPr>
        <w:pStyle w:val="Ttulo2"/>
        <w:keepNext/>
        <w:keepLines/>
        <w:spacing w:before="220" w:after="90"/>
      </w:pPr>
      <w:r>
        <w:rPr>
          <w:rFonts w:ascii="Lato" w:hAnsi="Lato"/>
          <w:b/>
          <w:bCs/>
          <w:sz w:val="25"/>
        </w:rPr>
        <w:t>Condições de atendimento</w:t>
      </w:r>
    </w:p>
    <w:p>
      <w:pPr>
        <w:spacing w:after="120" w:line="276" w:lineRule="auto"/>
      </w:pPr>
      <w:r>
        <w:t>Durante a execução e a garantia, a POPULOS adotará o padrão institucional de atendimento abaixo para falhas atribuíveis aos serviços executados.</w:t>
      </w:r>
    </w:p>
    <w:p w14:paraId="56D09804" w14:textId="77777777" w:rsidR="00263911" w:rsidRDefault="00263911">
      <w:pPr>
        <w:spacing w:after="120" w:line="276" w:lineRule="auto"/>
      </w:pPr>
    </w:p>
    <w:p w14:paraId="7FC73105" w14:textId="77777777" w:rsidR="00263911" w:rsidRDefault="00263911">
      <w:pPr>
        <w:spacing w:after="120" w:line="276" w:lineRule="auto"/>
      </w:pPr>
    </w:p>
    <w:tbl>
      <w:tblPr>
        <w:tblpPr w:leftFromText="141" w:rightFromText="141" w:vertAnchor="text" w:tblpY="1"/>
        <w:tblOverlap w:val="never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065"/>
        <w:gridCol w:w="3695"/>
      </w:tblGrid>
      <w:tr w:rsidR="000025B6" w14:paraId="086C88CC" w14:textId="77777777" w:rsidTr="00263911">
        <w:trPr>
          <w:tblHeader/>
        </w:trPr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8C13410" w14:textId="77777777" w:rsidR="0039468C" w:rsidRDefault="00000000" w:rsidP="00263911">
            <w:r>
              <w:rPr>
                <w:b/>
                <w:bCs/>
                <w:color w:val="FFFFFF"/>
              </w:rPr>
              <w:lastRenderedPageBreak/>
              <w:t>Severidade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6F7424D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Tempo de Resposta</w:t>
            </w:r>
          </w:p>
        </w:tc>
        <w:tc>
          <w:tcPr>
            <w:tcW w:w="2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6B73A72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Tempo de Resolução</w:t>
            </w:r>
          </w:p>
        </w:tc>
        <w:tc>
          <w:tcPr>
            <w:tcW w:w="3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E4A0347" w14:textId="77777777" w:rsidR="0039468C" w:rsidRDefault="00000000" w:rsidP="00263911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0025B6" w14:paraId="60073BC3" w14:textId="77777777" w:rsidTr="00263911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26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C8B0F5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ALTA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397F59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1 hora</w:t>
            </w:r>
          </w:p>
        </w:tc>
        <w:tc>
          <w:tcPr>
            <w:tcW w:w="2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D732BA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4 horas</w:t>
            </w:r>
          </w:p>
        </w:tc>
        <w:tc>
          <w:tcPr>
            <w:tcW w:w="3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C1E8A8" w14:textId="77777777" w:rsidR="0039468C" w:rsidRDefault="00000000" w:rsidP="00263911">
            <w:r>
              <w:rPr>
                <w:color w:val="1F2937"/>
                <w:sz w:val="20"/>
                <w:szCs w:val="20"/>
              </w:rPr>
              <w:t>Situação de alto impacto que possivelmente coloque em risco o ambiente de produção. A apresentação de uma solução de contorno (workaround) também é considerada tempo de solução.</w:t>
            </w:r>
          </w:p>
        </w:tc>
      </w:tr>
      <w:tr w:rsidR="000025B6" w14:paraId="3EC3F82F" w14:textId="77777777" w:rsidTr="00263911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9770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8C93AA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MÉDIA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09A2D7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2 horas</w:t>
            </w:r>
          </w:p>
        </w:tc>
        <w:tc>
          <w:tcPr>
            <w:tcW w:w="2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B91A41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8 horas</w:t>
            </w:r>
          </w:p>
        </w:tc>
        <w:tc>
          <w:tcPr>
            <w:tcW w:w="3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30E4BE" w14:textId="77777777" w:rsidR="0039468C" w:rsidRDefault="00000000" w:rsidP="00263911">
            <w:r>
              <w:rPr>
                <w:color w:val="1F2937"/>
                <w:sz w:val="20"/>
                <w:szCs w:val="20"/>
              </w:rPr>
              <w:t>Situação de baixo impacto, podendo a maioria das funções do software ser usada; entretanto, alguma intervenção pode ser necessária. A apresentação de workaround também é considerada tempo de solução.</w:t>
            </w:r>
          </w:p>
        </w:tc>
      </w:tr>
      <w:tr w:rsidR="000025B6" w14:paraId="5BD768E3" w14:textId="77777777" w:rsidTr="00263911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5966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14EE86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BAIXA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0F8782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16 horas</w:t>
            </w:r>
          </w:p>
        </w:tc>
        <w:tc>
          <w:tcPr>
            <w:tcW w:w="2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CE7798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24 horas</w:t>
            </w:r>
          </w:p>
        </w:tc>
        <w:tc>
          <w:tcPr>
            <w:tcW w:w="3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CED53E" w14:textId="77777777" w:rsidR="0039468C" w:rsidRDefault="00000000" w:rsidP="00263911">
            <w:r>
              <w:rPr>
                <w:color w:val="1F2937"/>
                <w:sz w:val="20"/>
                <w:szCs w:val="20"/>
              </w:rPr>
              <w:t>Solicitações de mudança, atualizações, gerenciamento de usuários, dúvidas, novas instalações ou publicações de aplicativos e outras ações planejadas.</w:t>
            </w:r>
          </w:p>
        </w:tc>
      </w:tr>
    </w:tbl>
    <w:p w14:paraId="5A1A0003" w14:textId="43317108" w:rsidR="0039468C" w:rsidRDefault="00263911">
      <w:pPr>
        <w:spacing w:after="60"/>
      </w:pPr>
      <w:r>
        <w:br w:type="textWrapping" w:clear="all"/>
      </w:r>
    </w:p>
    <w:p w14:paraId="5FE30D07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12.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Papéis e Responsabilidades do Projeto</w:t>
      </w:r>
    </w:p>
    <w:tbl>
      <w:tblPr>
        <w:tblW w:w="10348" w:type="dxa"/>
        <w:tblBorders>
          <w:top w:val="single" w:sz="2" w:space="0" w:color="D1D5DB"/>
          <w:bottom w:val="single" w:sz="2" w:space="0" w:color="D1D5DB"/>
          <w:insideH w:val="single" w:sz="2" w:space="0" w:color="E5E7EB"/>
          <w:insideV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513"/>
        <w:gridCol w:w="2835"/>
      </w:tblGrid>
      <w:tr w:rsidR="00F227EA" w14:paraId="6D32BE7C" w14:textId="77777777" w:rsidTr="0017666D">
        <w:trPr>
          <w:tblHeader/>
        </w:trPr>
        <w:tc>
          <w:tcPr>
            <w:tcW w:w="300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7BF27" w14:textId="77777777" w:rsidR="00F227EA" w:rsidRDefault="00000000"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Função / Área</w:t>
            </w:r>
          </w:p>
        </w:tc>
        <w:tc>
          <w:tcPr>
            <w:tcW w:w="4513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D0D71" w14:textId="77777777" w:rsidR="00F227EA" w:rsidRDefault="00000000"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Responsabilidades</w:t>
            </w:r>
          </w:p>
        </w:tc>
        <w:tc>
          <w:tcPr>
            <w:tcW w:w="2835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96C76" w14:textId="77777777" w:rsidR="00F227EA" w:rsidRDefault="00000000"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Compromisso</w:t>
            </w:r>
          </w:p>
        </w:tc>
      </w:tr>
      <w:tr w:rsidR="00F227EA" w14:paraId="652C4FBB" w14:textId="77777777" w:rsidTr="0017666D">
        <w:tc>
          <w:tcPr>
            <w:tcW w:w="3000" w:type="dxa"/>
            <w:shd w:val="clear" w:color="auto" w:fill="E5E7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C29029" w14:textId="77777777" w:rsidR="00F227EA" w:rsidRDefault="00000000">
            <w:r>
              <w:rPr>
                <w:b/>
                <w:bCs/>
                <w:sz w:val="19"/>
                <w:szCs w:val="19"/>
              </w:rPr>
              <w:t>Arquiteto de soluções</w:t>
            </w:r>
          </w:p>
        </w:tc>
        <w:tc>
          <w:tcPr>
            <w:tcW w:w="4513" w:type="dxa"/>
            <w:shd w:val="clear" w:color="auto" w:fill="E5E7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214B24" w14:textId="77777777" w:rsidR="00F227EA" w:rsidRDefault="00F227EA">
            <w:r>
              <w:t>Desenho da política e validação técnica</w:t>
            </w:r>
          </w:p>
        </w:tc>
        <w:tc>
          <w:tcPr>
            <w:tcW w:w="2835" w:type="dxa"/>
            <w:shd w:val="clear" w:color="auto" w:fill="E5E7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4C5A2E" w14:textId="77777777" w:rsidR="00F227EA" w:rsidRDefault="00F227EA">
            <w:r>
              <w:t>Durante todo o projeto</w:t>
            </w:r>
          </w:p>
        </w:tc>
      </w:tr>
      <w:tr w:rsidR="00F227EA" w14:paraId="53D75110" w14:textId="77777777" w:rsidTr="0017666D">
        <w:tc>
          <w:tcPr>
            <w:tcW w:w="3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FB9B89" w14:textId="77777777" w:rsidR="00F227EA" w:rsidRDefault="00000000">
            <w:r>
              <w:rPr>
                <w:sz w:val="19"/>
                <w:szCs w:val="19"/>
              </w:rPr>
              <w:t>Engenheiro de implantação</w:t>
            </w:r>
          </w:p>
        </w:tc>
        <w:tc>
          <w:tcPr>
            <w:tcW w:w="4513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8AD879" w14:textId="77777777" w:rsidR="00F227EA" w:rsidRDefault="00000000">
            <w:r>
              <w:rPr>
                <w:sz w:val="19"/>
                <w:szCs w:val="19"/>
              </w:rPr>
              <w:t>Configuração, observação e ativação</w:t>
            </w:r>
          </w:p>
        </w:tc>
        <w:tc>
          <w:tcPr>
            <w:tcW w:w="2835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9F5D9E" w14:textId="77777777" w:rsidR="00F227EA" w:rsidRDefault="00000000">
            <w:r>
              <w:rPr>
                <w:sz w:val="19"/>
                <w:szCs w:val="19"/>
              </w:rPr>
              <w:t>Fases de configuração e ativação</w:t>
            </w:r>
          </w:p>
        </w:tc>
      </w:tr>
      <w:tr w:rsidR="00F227EA" w14:paraId="5B6E9CA2" w14:textId="77777777" w:rsidTr="0017666D"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4DA46A" w14:textId="77777777" w:rsidR="00F227EA" w:rsidRDefault="00000000">
            <w:r>
              <w:rPr>
                <w:sz w:val="19"/>
                <w:szCs w:val="19"/>
              </w:rPr>
              <w:t>Gerente de projeto</w:t>
            </w:r>
          </w:p>
        </w:tc>
        <w:tc>
          <w:tcPr>
            <w:tcW w:w="451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A92290" w14:textId="77777777" w:rsidR="00F227EA" w:rsidRDefault="00000000">
            <w:r>
              <w:rPr>
                <w:sz w:val="19"/>
                <w:szCs w:val="19"/>
              </w:rPr>
              <w:t>Cronograma, riscos e comunicação</w:t>
            </w:r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9FE705" w14:textId="77777777" w:rsidR="00F227EA" w:rsidRDefault="00000000">
            <w:r>
              <w:rPr>
                <w:sz w:val="19"/>
                <w:szCs w:val="19"/>
              </w:rPr>
              <w:t>Durante todo o projeto</w:t>
            </w:r>
          </w:p>
        </w:tc>
      </w:tr>
      <w:tr w:rsidR="00F227EA" w14:paraId="2EFB69EF" w14:textId="77777777" w:rsidTr="0017666D">
        <w:tc>
          <w:tcPr>
            <w:tcW w:w="3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7BC952" w14:textId="77777777" w:rsidR="00F227EA" w:rsidRDefault="00000000">
            <w:r>
              <w:rPr>
                <w:sz w:val="19"/>
                <w:szCs w:val="19"/>
              </w:rPr>
              <w:t>Lumina Seguros</w:t>
            </w:r>
          </w:p>
        </w:tc>
        <w:tc>
          <w:tcPr>
            <w:tcW w:w="4513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E719CB" w14:textId="77777777" w:rsidR="00F227EA" w:rsidRDefault="00000000">
            <w:r>
              <w:rPr>
                <w:sz w:val="19"/>
                <w:szCs w:val="19"/>
              </w:rPr>
              <w:t>Assinar o aditivo de licenciamento com a Akamai e informar a data de assinatura</w:t>
            </w:r>
          </w:p>
        </w:tc>
        <w:tc>
          <w:tcPr>
            <w:tcW w:w="2835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D553C4" w14:textId="77777777" w:rsidR="00F227EA" w:rsidRDefault="00000000">
            <w:r>
              <w:rPr>
                <w:sz w:val="19"/>
                <w:szCs w:val="19"/>
              </w:rPr>
              <w:t>Conforme plano</w:t>
            </w:r>
          </w:p>
        </w:tc>
      </w:tr>
      <w:tr w:rsidR="00F227EA" w14:paraId="19041142" w14:textId="77777777" w:rsidTr="0017666D"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Lumina Seguros</w:t>
            </w:r>
          </w:p>
        </w:tc>
        <w:tc>
          <w:tcPr>
            <w:tcW w:w="451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9EAE15" w14:textId="77777777" w:rsidR="00F227EA" w:rsidRDefault="00000000">
            <w:r>
              <w:rPr>
                <w:sz w:val="19"/>
                <w:szCs w:val="19"/>
              </w:rPr>
              <w:t>Indicar endpoints do simulador e acessos automatizados legítimos</w:t>
            </w:r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890EA9" w14:textId="77777777" w:rsidR="00F227EA" w:rsidRDefault="00000000">
            <w:r>
              <w:rPr>
                <w:sz w:val="19"/>
                <w:szCs w:val="19"/>
              </w:rPr>
              <w:t>Conforme plano</w:t>
            </w:r>
          </w:p>
        </w:tc>
      </w:tr>
      <w:tr w:rsidR="00F227EA" w14:paraId="244B3390" w14:textId="77777777" w:rsidTr="0017666D">
        <w:tc>
          <w:tcPr>
            <w:tcW w:w="3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Lumina Seguros</w:t>
            </w:r>
          </w:p>
        </w:tc>
        <w:tc>
          <w:tcPr>
            <w:tcW w:w="4513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1EBDEA" w14:textId="77777777" w:rsidR="00F227EA" w:rsidRDefault="00000000">
            <w:r>
              <w:rPr>
                <w:sz w:val="19"/>
                <w:szCs w:val="19"/>
              </w:rPr>
              <w:t>Aprovar janelas de mudança e a política de resposta antes da ativação</w:t>
            </w:r>
          </w:p>
        </w:tc>
        <w:tc>
          <w:tcPr>
            <w:tcW w:w="2835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687487" w14:textId="77777777" w:rsidR="00F227EA" w:rsidRDefault="00000000">
            <w:r>
              <w:rPr>
                <w:sz w:val="19"/>
                <w:szCs w:val="19"/>
              </w:rPr>
              <w:t>Conforme plano</w:t>
            </w:r>
          </w:p>
        </w:tc>
      </w:tr>
    </w:tbl>
    <w:p w14:paraId="68A0A745" w14:textId="77777777" w:rsidR="00263911" w:rsidRDefault="00263911">
      <w:pPr>
        <w:pStyle w:val="Ttulo1"/>
        <w:keepNext/>
        <w:keepLines/>
        <w:pBdr>
          <w:bottom w:val="single" w:sz="6" w:space="4" w:color="6B46C1"/>
        </w:pBdr>
        <w:spacing w:before="320" w:after="140"/>
        <w:rPr>
          <w:rFonts w:ascii="Lato" w:eastAsia="Lato" w:hAnsi="Lato" w:cs="Lato"/>
          <w:b/>
          <w:bCs/>
          <w:color w:val="6B46C1"/>
          <w:sz w:val="30"/>
          <w:szCs w:val="30"/>
        </w:rPr>
      </w:pPr>
    </w:p>
    <w:p w14:paraId="4BCE6B76" w14:textId="17B07C63" w:rsidR="00F227EA" w:rsidRDefault="00000000">
      <w:pPr>
        <w:pStyle w:val="Ttulo1"/>
        <w:keepNext/>
        <w:keepLines/>
        <w:pageBreakBefore w:val="0"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13.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Nota de Confidencialidade</w:t>
      </w:r>
    </w:p>
    <w:p>
      <w:pPr>
        <w:keepNext/>
        <w:spacing w:after="120" w:line="276" w:lineRule="auto"/>
      </w:pPr>
      <w:r>
        <w:t>Todas as informações deste documento são confidenciais e destinam-se exclusivamente à avaliação da proposta por Lumina Seguros e pela POPULOS.</w:t>
      </w:r>
    </w:p>
    <w:p>
      <w:pPr>
        <w:keepNext/>
        <w:spacing w:after="200" w:line="276" w:lineRule="auto"/>
      </w:pPr>
      <w:r>
        <w:t>Os direitos de propriedade intelectual sobre trabalhos preexistentes, roteiros de instalação, automações e métodos da POPULOS permanecem com a POPULOS. A documentação técnica específica do ambiente será entregue a Lumina Seguros conforme o escopo aprovado.</w:t>
      </w:r>
    </w:p>
    <w:p w14:paraId="797633B9" w14:textId="77777777" w:rsidR="00BD500C" w:rsidRDefault="00BD500C">
      <w:pPr>
        <w:spacing w:after="200" w:line="276" w:lineRule="auto"/>
      </w:pP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5F04289C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1FA577" w14:textId="77777777" w:rsidR="00F227EA" w:rsidRPr="00803FB7" w:rsidRDefault="00000000">
            <w:pPr>
              <w:spacing w:after="60"/>
              <w:rPr>
                <w:lang w:val="en-US"/>
              </w:rPr>
            </w:pPr>
            <w:r>
              <w:rPr>
                <w:rFonts w:ascii="Lato" w:eastAsia="Lato" w:hAnsi="Lato" w:cs="Lato"/>
                <w:b/>
                <w:bCs/>
                <w:color w:val="1F2A5E"/>
                <w:lang w:val="en-US"/>
              </w:rPr>
              <w:t>POPULOS — Enterprise Sales</w:t>
            </w:r>
          </w:p>
          <w:p w14:paraId="2B1BD1D3" w14:textId="2AAA9464" w:rsidR="00F227EA" w:rsidRPr="00803FB7" w:rsidRDefault="00BD500C">
            <w:pPr>
              <w:spacing w:after="40" w:line="276" w:lineRule="auto"/>
              <w:rPr>
                <w:lang w:val="en-US"/>
              </w:rPr>
            </w:pPr>
            <w:r>
              <w:rPr>
                <w:lang w:val="en-US"/>
              </w:rPr>
              <w:t>Brazil |  +55 (11) 3021-3761</w:t>
            </w:r>
          </w:p>
          <w:p w14:paraId="654D4E69" w14:textId="77777777" w:rsidR="00F227EA" w:rsidRPr="00803FB7" w:rsidRDefault="00000000">
            <w:pPr>
              <w:spacing w:after="20" w:line="276" w:lineRule="auto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Locations</w:t>
            </w:r>
          </w:p>
          <w:p w14:paraId="61C60C47" w14:textId="77777777" w:rsidR="00F227EA" w:rsidRPr="00803FB7" w:rsidRDefault="00000000">
            <w:pPr>
              <w:spacing w:after="20" w:line="276" w:lineRule="auto"/>
              <w:rPr>
                <w:lang w:val="en-US"/>
              </w:rPr>
            </w:pPr>
            <w:r>
              <w:rPr>
                <w:lang w:val="en-US"/>
              </w:rPr>
              <w:t>Deerfield Beach — 3275 W Hillsboro BLVD, FL 33442, United States</w:t>
            </w:r>
          </w:p>
          <w:p w14:paraId="05D1DC7C" w14:textId="77777777" w:rsidR="00F227EA" w:rsidRDefault="00000000">
            <w:pPr>
              <w:spacing w:line="276" w:lineRule="auto"/>
            </w:pPr>
            <w:r>
              <w:t>Av. Tamboré, 267 — Alphaville, Barueri — SP, 06460-000, Brasil</w:t>
            </w:r>
          </w:p>
        </w:tc>
      </w:tr>
    </w:tbl>
    <w:p w14:paraId="4403C193" w14:textId="77777777" w:rsidR="00263911" w:rsidRDefault="00263911" w:rsidP="00BE28E3">
      <w:pPr>
        <w:spacing w:before="100"/>
        <w:jc w:val="center"/>
        <w:rPr>
          <w:i/>
          <w:iCs/>
          <w:color w:val="6B7280"/>
          <w:sz w:val="15"/>
          <w:szCs w:val="15"/>
          <w:lang w:val="en-US"/>
        </w:rPr>
      </w:pPr>
    </w:p>
    <w:p w14:paraId="3D96BEEA" w14:textId="763E02F1" w:rsidR="00F227EA" w:rsidRPr="00803FB7" w:rsidRDefault="00000000" w:rsidP="00BE28E3">
      <w:pPr>
        <w:spacing w:before="100"/>
        <w:jc w:val="center"/>
        <w:rPr>
          <w:lang w:val="en-US"/>
        </w:rPr>
      </w:pPr>
      <w:r>
        <w:rPr>
          <w:i/>
          <w:iCs/>
          <w:color w:val="6B7280"/>
          <w:sz w:val="15"/>
          <w:szCs w:val="15"/>
          <w:lang w:val="en-US"/>
        </w:rPr>
        <w:t>Copyright © POPULOS. All rights reserved. POPULOS, the POPULOS logo, and other marks appearing herein are property of POPULOS Technology and/or one or more of its subsidiaries. All other marks are the property of their respective owners.</w:t>
      </w:r>
    </w:p>
    <w:sectPr w:rsidR="00F227EA" w:rsidRPr="00803FB7" w:rsidSect="00BC59F2">
      <w:headerReference w:type="default" r:id="rId17"/>
      <w:footerReference w:type="default" r:id="rId18"/>
      <w:pgSz w:w="12240" w:h="15840"/>
      <w:pgMar w:top="1304" w:right="1077" w:bottom="1304" w:left="107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C3B45C6" w14:textId="77777777" w:rsidR="005854F8" w:rsidRDefault="005854F8">
      <w:r>
        <w:separator/>
      </w:r>
    </w:p>
  </w:endnote>
  <w:endnote w:type="continuationSeparator" w:id="0">
    <w:p w14:paraId="04629C59" w14:textId="77777777" w:rsidR="005854F8" w:rsidRDefault="00585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625736" w14:textId="77777777" w:rsidR="00F53D0F" w:rsidRDefault="00000000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30F5DD" w14:textId="77777777" w:rsidR="00F53D0F" w:rsidRDefault="00000000">
    <w:r>
      <w:cr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B3EFD0" w14:textId="3D368F95" w:rsidR="00F227EA" w:rsidRDefault="009F3C05">
    <w:pPr>
      <w:pBdr>
        <w:top w:val="single" w:sz="6" w:space="4" w:color="6B46C1"/>
      </w:pBdr>
      <w:jc w:val="center"/>
    </w:pPr>
    <w:r>
      <w:rPr>
        <w:color w:val="6B7280"/>
        <w:sz w:val="16"/>
        <w:szCs w:val="16"/>
      </w:rPr>
      <w:t xml:space="preserve">POPULOS | AKAMAI Partner | Página </w:t>
    </w:r>
    <w:r>
      <w:rPr>
        <w:b/>
        <w:bCs/>
        <w:color w:val="1F2A5E"/>
        <w:sz w:val="16"/>
        <w:szCs w:val="16"/>
      </w:rPr>
      <w:fldChar w:fldCharType="begin"/>
    </w:r>
    <w:r>
      <w:rPr>
        <w:b/>
        <w:bCs/>
        <w:color w:val="1F2A5E"/>
        <w:sz w:val="16"/>
        <w:szCs w:val="16"/>
      </w:rPr>
      <w:instrText>PAGE</w:instrText>
    </w:r>
    <w:r>
      <w:rPr>
        <w:b/>
        <w:bCs/>
        <w:color w:val="1F2A5E"/>
        <w:sz w:val="16"/>
        <w:szCs w:val="16"/>
      </w:rPr>
      <w:fldChar w:fldCharType="separate"/>
    </w:r>
    <w:r w:rsidR="00803FB7">
      <w:rPr>
        <w:b/>
        <w:bCs/>
        <w:noProof/>
        <w:color w:val="1F2A5E"/>
        <w:sz w:val="16"/>
        <w:szCs w:val="16"/>
      </w:rPr>
      <w:t>2</w:t>
    </w:r>
    <w:r>
      <w:rPr>
        <w:b/>
        <w:bCs/>
        <w:color w:val="1F2A5E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de </w:t>
    </w:r>
    <w:r>
      <w:rPr>
        <w:b/>
        <w:bCs/>
        <w:color w:val="1F2A5E"/>
        <w:sz w:val="16"/>
        <w:szCs w:val="16"/>
      </w:rPr>
      <w:fldChar w:fldCharType="begin"/>
    </w:r>
    <w:r>
      <w:rPr>
        <w:b/>
        <w:bCs/>
        <w:color w:val="1F2A5E"/>
        <w:sz w:val="16"/>
        <w:szCs w:val="16"/>
      </w:rPr>
      <w:instrText>NUMPAGES</w:instrText>
    </w:r>
    <w:r>
      <w:rPr>
        <w:b/>
        <w:bCs/>
        <w:color w:val="1F2A5E"/>
        <w:sz w:val="16"/>
        <w:szCs w:val="16"/>
      </w:rPr>
      <w:fldChar w:fldCharType="separate"/>
    </w:r>
    <w:r w:rsidR="00803FB7">
      <w:rPr>
        <w:b/>
        <w:bCs/>
        <w:noProof/>
        <w:color w:val="1F2A5E"/>
        <w:sz w:val="16"/>
        <w:szCs w:val="16"/>
      </w:rPr>
      <w:t>3</w:t>
    </w:r>
    <w:r>
      <w:rPr>
        <w:b/>
        <w:bCs/>
        <w:color w:val="1F2A5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1A7FB05" w14:textId="77777777" w:rsidR="005854F8" w:rsidRDefault="005854F8">
      <w:r>
        <w:separator/>
      </w:r>
    </w:p>
  </w:footnote>
  <w:footnote w:type="continuationSeparator" w:id="0">
    <w:p w14:paraId="05B877FB" w14:textId="77777777" w:rsidR="005854F8" w:rsidRDefault="005854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42FFF6" w14:textId="77777777" w:rsidR="00F53D0F" w:rsidRDefault="00000000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B87A19" w14:textId="77777777" w:rsidR="00F53D0F" w:rsidRDefault="00000000">
    <w:r>
      <w:c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54DE86" w14:textId="541B9CF5" w:rsidR="00F227EA" w:rsidRPr="00841401" w:rsidRDefault="00000000" w:rsidP="00841401">
    <w:pPr>
      <w:pBdr>
        <w:bottom w:val="single" w:sz="6" w:space="4" w:color="6B46C1"/>
      </w:pBdr>
      <w:jc w:val="right"/>
      <w:rPr>
        <w:color w:val="6B7280"/>
        <w:sz w:val="18"/>
        <w:szCs w:val="18"/>
      </w:rPr>
    </w:pPr>
    <w:r>
      <w:rPr>
        <w:b/>
        <w:bCs/>
        <w:color w:val="1F2A5E"/>
        <w:sz w:val="18"/>
        <w:szCs w:val="18"/>
      </w:rPr>
      <w:t>PROPOSTA TÉCNICA | Proteção contra automação no simulador de cotação de seguro auto - Lumina Seguros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F8130EA"/>
    <w:multiLevelType w:val="hybridMultilevel"/>
    <w:tmpl w:val="EB1C226E"/>
    <w:lvl w:ilvl="0" w:tplc="B4B4DADA">
      <w:start w:val="1"/>
      <w:numFmt w:val="bullet"/>
      <w:lvlText w:val="●"/>
      <w:lvlJc w:val="left"/>
      <w:pPr>
        <w:ind w:left="560" w:hanging="360"/>
      </w:pPr>
      <w:rPr>
        <w:color w:val="6B46C1"/>
        <w:sz w:val="22"/>
        <w:szCs w:val="22"/>
      </w:rPr>
    </w:lvl>
    <w:lvl w:ilvl="1" w:tplc="4572AA4A">
      <w:start w:val="1"/>
      <w:numFmt w:val="bullet"/>
      <w:lvlText w:val="◦"/>
      <w:lvlJc w:val="left"/>
      <w:pPr>
        <w:ind w:left="900" w:hanging="260"/>
      </w:pPr>
    </w:lvl>
    <w:lvl w:ilvl="2" w:tplc="5D949178">
      <w:numFmt w:val="decimal"/>
      <w:lvlText w:val=""/>
      <w:lvlJc w:val="left"/>
    </w:lvl>
    <w:lvl w:ilvl="3" w:tplc="3BAA3BFE">
      <w:numFmt w:val="decimal"/>
      <w:lvlText w:val=""/>
      <w:lvlJc w:val="left"/>
    </w:lvl>
    <w:lvl w:ilvl="4" w:tplc="EE0013DC">
      <w:numFmt w:val="decimal"/>
      <w:lvlText w:val=""/>
      <w:lvlJc w:val="left"/>
    </w:lvl>
    <w:lvl w:ilvl="5" w:tplc="1FBE12FA">
      <w:numFmt w:val="decimal"/>
      <w:lvlText w:val=""/>
      <w:lvlJc w:val="left"/>
    </w:lvl>
    <w:lvl w:ilvl="6" w:tplc="4E928B7C">
      <w:numFmt w:val="decimal"/>
      <w:lvlText w:val=""/>
      <w:lvlJc w:val="left"/>
    </w:lvl>
    <w:lvl w:ilvl="7" w:tplc="77986DFE">
      <w:numFmt w:val="decimal"/>
      <w:lvlText w:val=""/>
      <w:lvlJc w:val="left"/>
    </w:lvl>
    <w:lvl w:ilvl="8" w:tplc="42644CDA">
      <w:numFmt w:val="decimal"/>
      <w:lvlText w:val=""/>
      <w:lvlJc w:val="left"/>
    </w:lvl>
  </w:abstractNum>
  <w:abstractNum w:abstractNumId="1" w15:restartNumberingAfterBreak="0">
    <w:nsid w:val="6A07502B"/>
    <w:multiLevelType w:val="hybridMultilevel"/>
    <w:tmpl w:val="AC2A4652"/>
    <w:lvl w:ilvl="0" w:tplc="4F3078CE">
      <w:start w:val="1"/>
      <w:numFmt w:val="bullet"/>
      <w:lvlText w:val="●"/>
      <w:lvlJc w:val="left"/>
      <w:pPr>
        <w:ind w:left="720" w:hanging="360"/>
      </w:pPr>
    </w:lvl>
    <w:lvl w:ilvl="1" w:tplc="F58CB7D2">
      <w:start w:val="1"/>
      <w:numFmt w:val="bullet"/>
      <w:lvlText w:val="○"/>
      <w:lvlJc w:val="left"/>
      <w:pPr>
        <w:ind w:left="1440" w:hanging="360"/>
      </w:pPr>
    </w:lvl>
    <w:lvl w:ilvl="2" w:tplc="725A7476">
      <w:start w:val="1"/>
      <w:numFmt w:val="bullet"/>
      <w:lvlText w:val="■"/>
      <w:lvlJc w:val="left"/>
      <w:pPr>
        <w:ind w:left="2160" w:hanging="360"/>
      </w:pPr>
    </w:lvl>
    <w:lvl w:ilvl="3" w:tplc="5B1803F2">
      <w:start w:val="1"/>
      <w:numFmt w:val="bullet"/>
      <w:lvlText w:val="●"/>
      <w:lvlJc w:val="left"/>
      <w:pPr>
        <w:ind w:left="2880" w:hanging="360"/>
      </w:pPr>
    </w:lvl>
    <w:lvl w:ilvl="4" w:tplc="AB486F06">
      <w:start w:val="1"/>
      <w:numFmt w:val="bullet"/>
      <w:lvlText w:val="○"/>
      <w:lvlJc w:val="left"/>
      <w:pPr>
        <w:ind w:left="3600" w:hanging="360"/>
      </w:pPr>
    </w:lvl>
    <w:lvl w:ilvl="5" w:tplc="BDB2E41A">
      <w:start w:val="1"/>
      <w:numFmt w:val="bullet"/>
      <w:lvlText w:val="■"/>
      <w:lvlJc w:val="left"/>
      <w:pPr>
        <w:ind w:left="4320" w:hanging="360"/>
      </w:pPr>
    </w:lvl>
    <w:lvl w:ilvl="6" w:tplc="4A80A58C">
      <w:start w:val="1"/>
      <w:numFmt w:val="bullet"/>
      <w:lvlText w:val="●"/>
      <w:lvlJc w:val="left"/>
      <w:pPr>
        <w:ind w:left="5040" w:hanging="360"/>
      </w:pPr>
    </w:lvl>
    <w:lvl w:ilvl="7" w:tplc="99FA9986">
      <w:start w:val="1"/>
      <w:numFmt w:val="bullet"/>
      <w:lvlText w:val="●"/>
      <w:lvlJc w:val="left"/>
      <w:pPr>
        <w:ind w:left="5760" w:hanging="360"/>
      </w:pPr>
    </w:lvl>
    <w:lvl w:ilvl="8" w:tplc="1B6682C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48140C5"/>
    <w:multiLevelType w:val="hybridMultilevel"/>
    <w:tmpl w:val="067292E6"/>
    <w:lvl w:ilvl="0" w:tplc="B4B4DADA">
      <w:start w:val="1"/>
      <w:numFmt w:val="bullet"/>
      <w:lvlText w:val="●"/>
      <w:lvlJc w:val="left"/>
      <w:pPr>
        <w:ind w:left="763" w:hanging="360"/>
      </w:pPr>
      <w:rPr>
        <w:rFonts w:hint="default"/>
        <w:color w:val="6B46C1"/>
        <w:sz w:val="22"/>
        <w:szCs w:val="22"/>
      </w:rPr>
    </w:lvl>
    <w:lvl w:ilvl="1" w:tplc="0416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num w:numId="1" w16cid:durableId="77605820">
    <w:abstractNumId w:val="1"/>
    <w:lvlOverride w:ilvl="0">
      <w:startOverride w:val="1"/>
    </w:lvlOverride>
  </w:num>
  <w:num w:numId="2" w16cid:durableId="1448089016">
    <w:abstractNumId w:val="0"/>
  </w:num>
  <w:num w:numId="3" w16cid:durableId="1596523485">
    <w:abstractNumId w:val="2"/>
  </w:num>
  <w:num w:numId="4" w16cid:durableId="85557630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7EA"/>
    <w:rsid w:val="00040C3A"/>
    <w:rsid w:val="000439AE"/>
    <w:rsid w:val="00061930"/>
    <w:rsid w:val="000637DB"/>
    <w:rsid w:val="000B2FDA"/>
    <w:rsid w:val="000D66FE"/>
    <w:rsid w:val="000F4CAE"/>
    <w:rsid w:val="00122D97"/>
    <w:rsid w:val="00123062"/>
    <w:rsid w:val="00124352"/>
    <w:rsid w:val="0017666D"/>
    <w:rsid w:val="001D6306"/>
    <w:rsid w:val="00201DA6"/>
    <w:rsid w:val="00263911"/>
    <w:rsid w:val="002B62A7"/>
    <w:rsid w:val="003212B8"/>
    <w:rsid w:val="00367582"/>
    <w:rsid w:val="00384C04"/>
    <w:rsid w:val="0039468C"/>
    <w:rsid w:val="003D6743"/>
    <w:rsid w:val="003D68CE"/>
    <w:rsid w:val="004236FB"/>
    <w:rsid w:val="004260B1"/>
    <w:rsid w:val="004A0FD6"/>
    <w:rsid w:val="004D3A65"/>
    <w:rsid w:val="00563A4C"/>
    <w:rsid w:val="00585448"/>
    <w:rsid w:val="005854F8"/>
    <w:rsid w:val="005E1836"/>
    <w:rsid w:val="005E72CB"/>
    <w:rsid w:val="005F7E51"/>
    <w:rsid w:val="006161F1"/>
    <w:rsid w:val="00657CD9"/>
    <w:rsid w:val="00664B6A"/>
    <w:rsid w:val="006A41E5"/>
    <w:rsid w:val="007576C4"/>
    <w:rsid w:val="00803FB7"/>
    <w:rsid w:val="0081108E"/>
    <w:rsid w:val="00821580"/>
    <w:rsid w:val="00841401"/>
    <w:rsid w:val="008B4400"/>
    <w:rsid w:val="008D0CE0"/>
    <w:rsid w:val="008E6617"/>
    <w:rsid w:val="0093334E"/>
    <w:rsid w:val="00944AC1"/>
    <w:rsid w:val="00965FFC"/>
    <w:rsid w:val="009E38D4"/>
    <w:rsid w:val="009E74E3"/>
    <w:rsid w:val="009F3C05"/>
    <w:rsid w:val="00A1027D"/>
    <w:rsid w:val="00AC3773"/>
    <w:rsid w:val="00AD7401"/>
    <w:rsid w:val="00B511D1"/>
    <w:rsid w:val="00B55639"/>
    <w:rsid w:val="00BB0D50"/>
    <w:rsid w:val="00BB2913"/>
    <w:rsid w:val="00BC59F2"/>
    <w:rsid w:val="00BD500C"/>
    <w:rsid w:val="00BE28E3"/>
    <w:rsid w:val="00BF323B"/>
    <w:rsid w:val="00C21CFE"/>
    <w:rsid w:val="00C459CB"/>
    <w:rsid w:val="00C50EC5"/>
    <w:rsid w:val="00C579FF"/>
    <w:rsid w:val="00D24A21"/>
    <w:rsid w:val="00D25F5B"/>
    <w:rsid w:val="00D31BD9"/>
    <w:rsid w:val="00D45053"/>
    <w:rsid w:val="00E20C93"/>
    <w:rsid w:val="00ED213E"/>
    <w:rsid w:val="00ED2387"/>
    <w:rsid w:val="00ED4DB0"/>
    <w:rsid w:val="00F227EA"/>
    <w:rsid w:val="00F327E1"/>
    <w:rsid w:val="00F46CDF"/>
    <w:rsid w:val="00F50886"/>
    <w:rsid w:val="00F53D0F"/>
    <w:rsid w:val="00F71DA0"/>
    <w:rsid w:val="00F87B90"/>
    <w:rsid w:val="00FD6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2E59E"/>
  <w15:docId w15:val="{B8AFE555-A88C-F341-BD58-3C839FBA15A5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374151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5448"/>
    <w:pPr>
      <w:jc w:val="both"/>
    </w:pPr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customStyle="1" w:styleId="Normal0">
    <w:name w:val="Normal0"/>
    <w:qFormat/>
    <w:rsid w:val="00AC3773"/>
    <w:pPr>
      <w:spacing w:after="200" w:line="312" w:lineRule="auto"/>
      <w:ind w:left="-6"/>
    </w:pPr>
    <w:rPr>
      <w:rFonts w:ascii="Lato" w:eastAsia="Lato" w:hAnsi="Lato" w:cs="Lato"/>
      <w:color w:val="595959"/>
      <w:sz w:val="20"/>
      <w:szCs w:val="20"/>
      <w:lang w:eastAsia="en-US"/>
    </w:rPr>
  </w:style>
  <w:style w:type="paragraph" w:customStyle="1" w:styleId="Subtitle0">
    <w:name w:val="Subtitle0"/>
    <w:basedOn w:val="Normal0"/>
    <w:next w:val="Normal0"/>
    <w:rsid w:val="00AC3773"/>
    <w:pPr>
      <w:keepNext/>
      <w:keepLines/>
    </w:pPr>
    <w:rPr>
      <w:b/>
      <w:color w:val="666666"/>
      <w:sz w:val="40"/>
      <w:szCs w:val="40"/>
    </w:rPr>
  </w:style>
  <w:style w:type="paragraph" w:styleId="Cabealho">
    <w:name w:val="header"/>
    <w:basedOn w:val="Normal"/>
    <w:link w:val="CabealhoChar"/>
    <w:uiPriority w:val="99"/>
    <w:unhideWhenUsed/>
    <w:rsid w:val="00AC377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C3773"/>
  </w:style>
  <w:style w:type="paragraph" w:styleId="Rodap">
    <w:name w:val="footer"/>
    <w:basedOn w:val="Normal"/>
    <w:link w:val="RodapChar"/>
    <w:uiPriority w:val="99"/>
    <w:unhideWhenUsed/>
    <w:rsid w:val="00AC377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C3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2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aa116b-8286-452a-ad11-9bfb85584ae0">
      <Terms xmlns="http://schemas.microsoft.com/office/infopath/2007/PartnerControls"/>
    </lcf76f155ced4ddcb4097134ff3c332f>
    <TaxCatchAll xmlns="219277de-6618-4cc7-bdb8-2ede8afd49fb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0D9AD5308FF7D4B91152391E51B657F" ma:contentTypeVersion="19" ma:contentTypeDescription="Crie um novo documento." ma:contentTypeScope="" ma:versionID="6213242d335f4d963f0fc8e055b000e9">
  <xsd:schema xmlns:xsd="http://www.w3.org/2001/XMLSchema" xmlns:xs="http://www.w3.org/2001/XMLSchema" xmlns:p="http://schemas.microsoft.com/office/2006/metadata/properties" xmlns:ns2="57aa116b-8286-452a-ad11-9bfb85584ae0" xmlns:ns3="219277de-6618-4cc7-bdb8-2ede8afd49fb" targetNamespace="http://schemas.microsoft.com/office/2006/metadata/properties" ma:root="true" ma:fieldsID="4ce8b9b105c99073f40ae004358d12b6" ns2:_="" ns3:_="">
    <xsd:import namespace="57aa116b-8286-452a-ad11-9bfb85584ae0"/>
    <xsd:import namespace="219277de-6618-4cc7-bdb8-2ede8afd49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aa116b-8286-452a-ad11-9bfb85584a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f566eb4a-84a7-4f03-9cf4-83584b28a2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9277de-6618-4cc7-bdb8-2ede8afd49f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150c78be-d6dd-4461-b83c-1af308392aaf}" ma:internalName="TaxCatchAll" ma:showField="CatchAllData" ma:web="219277de-6618-4cc7-bdb8-2ede8afd49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C6CF224-2329-41B7-AB5E-00AECA73DCE6}">
  <ds:schemaRefs>
    <ds:schemaRef ds:uri="http://schemas.microsoft.com/office/2006/metadata/properties"/>
    <ds:schemaRef ds:uri="http://schemas.microsoft.com/office/infopath/2007/PartnerControls"/>
    <ds:schemaRef ds:uri="57aa116b-8286-452a-ad11-9bfb85584ae0"/>
    <ds:schemaRef ds:uri="219277de-6618-4cc7-bdb8-2ede8afd49fb"/>
  </ds:schemaRefs>
</ds:datastoreItem>
</file>

<file path=customXml/itemProps2.xml><?xml version="1.0" encoding="utf-8"?>
<ds:datastoreItem xmlns:ds="http://schemas.openxmlformats.org/officeDocument/2006/customXml" ds:itemID="{3BA5B480-FB04-CF4D-888F-22A6B84659D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BF81703-7A1A-410C-944C-CACF4BA2BB7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74AE9F9-6353-432E-B7B2-AD52FEF704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aa116b-8286-452a-ad11-9bfb85584ae0"/>
    <ds:schemaRef ds:uri="219277de-6618-4cc7-bdb8-2ede8afd49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3449</Words>
  <Characters>20175</Characters>
  <Application>Microsoft Office Word</Application>
  <DocSecurity>0</DocSecurity>
  <Lines>567</Lines>
  <Paragraphs>326</Paragraphs>
  <ScaleCrop>false</ScaleCrop>
  <Company/>
  <LinksUpToDate>false</LinksUpToDate>
  <CharactersWithSpaces>23399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técnica — Lumina Seguros</dc:title>
  <dc:creator>POPULOS Sales Engineering</dc:creator>
  <cp:lastModifiedBy>Paulo Barbosa | Secbuilder</cp:lastModifiedBy>
  <cp:revision>3</cp:revision>
  <cp:lastPrinted>2026-07-23T18:30:00Z</cp:lastPrinted>
  <dcterms:created xsi:type="dcterms:W3CDTF">2026-07-23T18:30:00Z</dcterms:created>
  <dcterms:modified xsi:type="dcterms:W3CDTF">2026-07-23T18:30:00Z</dcterms:modified>
  <dc:subject>Proteção contra automação no simulador de cotação de seguro auto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0x01010010D9AD5308FF7D4B91152391E51B657F</vt:lpwstr>
  </property>
  <property fmtid="{D5CDD505-2E9C-101B-9397-08002B2CF9AE}" pid="3" name="MediaServiceImageTags">
    <vt:lpwstr/>
  </property>
</Properties>
</file>